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481965</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440055</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w:t>
      </w: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1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 w:lineRule="exact"/>
        <w:rPr>
          <w:sz w:val="24"/>
          <w:szCs w:val="24"/>
          <w:color w:val="auto"/>
        </w:rPr>
      </w:pPr>
    </w:p>
    <w:p>
      <w:pPr>
        <w:ind w:left="1920" w:hanging="263"/>
        <w:spacing w:after="0"/>
        <w:tabs>
          <w:tab w:leader="none" w:pos="19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45" w:lineRule="exact"/>
        <w:rPr>
          <w:rFonts w:ascii="MS PGothic" w:cs="MS PGothic" w:eastAsia="MS PGothic" w:hAnsi="MS PGothic"/>
          <w:sz w:val="15"/>
          <w:szCs w:val="15"/>
          <w:color w:val="auto"/>
        </w:rPr>
      </w:pPr>
    </w:p>
    <w:p>
      <w:pPr>
        <w:ind w:left="3900"/>
        <w:spacing w:after="0"/>
        <w:rPr>
          <w:rFonts w:ascii="MS PGothic" w:cs="MS PGothic" w:eastAsia="MS PGothic" w:hAnsi="MS PGothic"/>
          <w:sz w:val="15"/>
          <w:szCs w:val="15"/>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1" w:lineRule="exact"/>
        <w:rPr>
          <w:sz w:val="24"/>
          <w:szCs w:val="24"/>
          <w:color w:val="auto"/>
        </w:rPr>
      </w:pPr>
    </w:p>
    <w:p>
      <w:pPr>
        <w:ind w:left="2060" w:hanging="507"/>
        <w:spacing w:after="0"/>
        <w:tabs>
          <w:tab w:leader="none" w:pos="206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73" w:lineRule="exact"/>
        <w:rPr>
          <w:sz w:val="24"/>
          <w:szCs w:val="24"/>
          <w:color w:val="auto"/>
        </w:rPr>
      </w:pPr>
    </w:p>
    <w:p>
      <w:pPr>
        <w:ind w:left="420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Commission File Number: 001-35669</w:t>
      </w:r>
    </w:p>
    <w:p>
      <w:pPr>
        <w:spacing w:after="0" w:line="5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w:t>
      </w:r>
    </w:p>
    <w:p>
      <w:pPr>
        <w:spacing w:after="0" w:line="6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SHUTTERSTOCK, INC.</w:t>
      </w:r>
    </w:p>
    <w:p>
      <w:pPr>
        <w:spacing w:after="0" w:line="4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ectPr>
          <w:pgSz w:w="11900" w:h="16838" w:orient="portrait"/>
          <w:cols w:equalWidth="0" w:num="1">
            <w:col w:w="11340"/>
          </w:cols>
          <w:pgMar w:left="320" w:top="226" w:right="239" w:bottom="1440" w:gutter="0" w:footer="0" w:header="0"/>
        </w:sectPr>
      </w:pPr>
    </w:p>
    <w:p>
      <w:pPr>
        <w:spacing w:after="0" w:line="41"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80-0812659</w:t>
      </w:r>
    </w:p>
    <w:p>
      <w:pPr>
        <w:spacing w:after="0" w:line="58" w:lineRule="exact"/>
        <w:rPr>
          <w:sz w:val="24"/>
          <w:szCs w:val="24"/>
          <w:color w:val="auto"/>
        </w:rPr>
      </w:pPr>
    </w:p>
    <w:p>
      <w:pPr>
        <w:sectPr>
          <w:pgSz w:w="11900" w:h="16838" w:orient="portrait"/>
          <w:cols w:equalWidth="0" w:num="2">
            <w:col w:w="7620" w:space="720"/>
            <w:col w:w="3000"/>
          </w:cols>
          <w:pgMar w:left="320" w:top="226" w:right="23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61" w:lineRule="exact"/>
        <w:rPr>
          <w:sz w:val="24"/>
          <w:szCs w:val="24"/>
          <w:color w:val="auto"/>
        </w:rPr>
      </w:pPr>
    </w:p>
    <w:p>
      <w:pPr>
        <w:sectPr>
          <w:pgSz w:w="11900" w:h="16838" w:orient="portrait"/>
          <w:cols w:equalWidth="0" w:num="2">
            <w:col w:w="6980" w:space="720"/>
            <w:col w:w="3640"/>
          </w:cols>
          <w:pgMar w:left="320" w:top="226" w:right="239" w:bottom="1440" w:gutter="0" w:footer="0" w:header="0"/>
          <w:type w:val="continuous"/>
        </w:sectPr>
      </w:pPr>
    </w:p>
    <w:p>
      <w:pPr>
        <w:ind w:left="4860"/>
        <w:spacing w:after="0"/>
        <w:rPr>
          <w:sz w:val="20"/>
          <w:szCs w:val="20"/>
          <w:color w:val="auto"/>
        </w:rPr>
      </w:pPr>
      <w:r>
        <w:rPr>
          <w:rFonts w:ascii="Times New Roman" w:cs="Times New Roman" w:eastAsia="Times New Roman" w:hAnsi="Times New Roman"/>
          <w:sz w:val="16"/>
          <w:szCs w:val="16"/>
          <w:b w:val="1"/>
          <w:bCs w:val="1"/>
          <w:color w:val="auto"/>
        </w:rPr>
        <w:t>350 Fifth Avenue, 21st Floor</w:t>
      </w:r>
    </w:p>
    <w:p>
      <w:pPr>
        <w:spacing w:after="0" w:line="20"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New York, NY 10118</w:t>
      </w:r>
    </w:p>
    <w:p>
      <w:pPr>
        <w:spacing w:after="0" w:line="5"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39"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646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710-3417</w:t>
      </w:r>
    </w:p>
    <w:p>
      <w:pPr>
        <w:spacing w:after="0" w:line="3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40" w:lineRule="exact"/>
        <w:rPr>
          <w:sz w:val="24"/>
          <w:szCs w:val="24"/>
          <w:color w:val="auto"/>
        </w:rPr>
      </w:pPr>
    </w:p>
    <w:p>
      <w:pPr>
        <w:ind w:left="53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3"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w:t>
      </w:r>
    </w:p>
    <w:p>
      <w:pPr>
        <w:spacing w:after="0" w:line="22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720" w:type="dxa"/>
        <w:tblCellMar>
          <w:top w:w="0" w:type="dxa"/>
          <w:left w:w="0" w:type="dxa"/>
          <w:bottom w:w="0" w:type="dxa"/>
          <w:right w:w="0" w:type="dxa"/>
        </w:tblCellMar>
      </w:tblPr>
      <w:tr>
        <w:trPr>
          <w:trHeight w:val="198"/>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4"/>
        </w:trPr>
        <w:tc>
          <w:tcPr>
            <w:tcW w:w="39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0"/>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w w:val="99"/>
              </w:rPr>
              <w:t>Common Stock, $0.01 par value per share</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SSTK</w:t>
            </w:r>
          </w:p>
        </w:tc>
        <w:tc>
          <w:tcPr>
            <w:tcW w:w="370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99" w:lineRule="exact"/>
        <w:rPr>
          <w:sz w:val="24"/>
          <w:szCs w:val="24"/>
          <w:color w:val="auto"/>
        </w:rPr>
      </w:pPr>
    </w:p>
    <w:p>
      <w:pPr>
        <w:ind w:right="420" w:firstLine="395"/>
        <w:spacing w:after="0" w:line="197"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9" w:lineRule="exact"/>
        <w:rPr>
          <w:sz w:val="24"/>
          <w:szCs w:val="24"/>
          <w:color w:val="auto"/>
        </w:rPr>
      </w:pPr>
    </w:p>
    <w:p>
      <w:pPr>
        <w:ind w:right="180" w:firstLine="395"/>
        <w:spacing w:after="0" w:line="19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420" w:type="dxa"/>
        <w:tblCellMar>
          <w:top w:w="0" w:type="dxa"/>
          <w:left w:w="0" w:type="dxa"/>
          <w:bottom w:w="0" w:type="dxa"/>
          <w:right w:w="0" w:type="dxa"/>
        </w:tblCellMar>
      </w:tblPr>
      <w:tr>
        <w:trPr>
          <w:trHeight w:val="237"/>
        </w:trPr>
        <w:tc>
          <w:tcPr>
            <w:tcW w:w="2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Large 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Accelerated filer</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Non-accelerated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56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Emerging growth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106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28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0"/>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p>
        </w:tc>
        <w:tc>
          <w:tcPr>
            <w:tcW w:w="1960" w:type="dxa"/>
            <w:vAlign w:val="bottom"/>
          </w:tcPr>
          <w:p>
            <w:pPr>
              <w:spacing w:after="0"/>
              <w:rPr>
                <w:sz w:val="18"/>
                <w:szCs w:val="18"/>
                <w:color w:val="auto"/>
              </w:rPr>
            </w:pPr>
          </w:p>
        </w:tc>
        <w:tc>
          <w:tcPr>
            <w:tcW w:w="38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18"/>
                <w:szCs w:val="18"/>
                <w:color w:val="auto"/>
              </w:rPr>
            </w:pPr>
          </w:p>
        </w:tc>
        <w:tc>
          <w:tcPr>
            <w:tcW w:w="40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196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Yes</w:t>
            </w:r>
          </w:p>
        </w:tc>
        <w:tc>
          <w:tcPr>
            <w:tcW w:w="400" w:type="dxa"/>
            <w:vAlign w:val="bottom"/>
            <w:vMerge w:val="continue"/>
          </w:tcPr>
          <w:p>
            <w:pPr>
              <w:spacing w:after="0"/>
              <w:rPr>
                <w:sz w:val="19"/>
                <w:szCs w:val="19"/>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w:t>
            </w:r>
          </w:p>
        </w:tc>
        <w:tc>
          <w:tcPr>
            <w:tcW w:w="0" w:type="dxa"/>
            <w:vAlign w:val="bottom"/>
          </w:tcPr>
          <w:p>
            <w:pPr>
              <w:spacing w:after="0"/>
              <w:rPr>
                <w:sz w:val="1"/>
                <w:szCs w:val="1"/>
                <w:color w:val="auto"/>
              </w:rPr>
            </w:pPr>
          </w:p>
        </w:tc>
      </w:tr>
    </w:tbl>
    <w:p>
      <w:pPr>
        <w:ind w:left="420"/>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94"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October 21, 2022, 35,815,050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11898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8985"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30480</wp:posOffset>
            </wp:positionV>
            <wp:extent cx="7118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226" w:right="239" w:bottom="1440" w:gutter="0" w:footer="0" w:header="0"/>
          <w:type w:val="continuous"/>
        </w:sectPr>
      </w:pPr>
    </w:p>
    <w:bookmarkStart w:id="1" w:name="page2"/>
    <w:bookmarkEnd w:id="1"/>
    <w:p>
      <w:pPr>
        <w:ind w:left="3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92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10260" w:type="dxa"/>
            <w:vAlign w:val="bottom"/>
            <w:gridSpan w:val="22"/>
            <w:vMerge w:val="restart"/>
          </w:tcPr>
          <w:p>
            <w:pPr>
              <w:spacing w:after="0"/>
              <w:rPr>
                <w:sz w:val="20"/>
                <w:szCs w:val="20"/>
                <w:color w:val="auto"/>
              </w:rPr>
            </w:pPr>
            <w:r>
              <w:rPr>
                <w:rFonts w:ascii="Times New Roman" w:cs="Times New Roman" w:eastAsia="Times New Roman" w:hAnsi="Times New Roman"/>
                <w:sz w:val="16"/>
                <w:szCs w:val="16"/>
                <w:b w:val="1"/>
                <w:bCs w:val="1"/>
                <w:color w:val="0000FF"/>
              </w:rPr>
              <w:t>PART I. FINANCIAL INFORMATION</w:t>
            </w: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0260" w:type="dxa"/>
            <w:vAlign w:val="bottom"/>
            <w:gridSpan w:val="22"/>
            <w:vMerge w:val="continue"/>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w:t>
            </w:r>
          </w:p>
        </w:tc>
        <w:tc>
          <w:tcPr>
            <w:tcW w:w="9280" w:type="dxa"/>
            <w:vAlign w:val="bottom"/>
            <w:gridSpan w:val="17"/>
          </w:tcPr>
          <w:p>
            <w:pPr>
              <w:ind w:left="120"/>
              <w:spacing w:after="0"/>
              <w:rPr>
                <w:sz w:val="20"/>
                <w:szCs w:val="20"/>
                <w:color w:val="auto"/>
              </w:rPr>
            </w:pPr>
            <w:r>
              <w:rPr>
                <w:rFonts w:ascii="Times New Roman" w:cs="Times New Roman" w:eastAsia="Times New Roman" w:hAnsi="Times New Roman"/>
                <w:sz w:val="16"/>
                <w:szCs w:val="16"/>
                <w:color w:val="0000FF"/>
              </w:rPr>
              <w:t>Financial Statements (Unaudited)</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191"/>
        </w:trPr>
        <w:tc>
          <w:tcPr>
            <w:tcW w:w="3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8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7"/>
              </w:rPr>
              <w:t>Consolidated Balance Sheets</w:t>
            </w:r>
          </w:p>
        </w:tc>
        <w:tc>
          <w:tcPr>
            <w:tcW w:w="160" w:type="dxa"/>
            <w:vAlign w:val="bottom"/>
            <w:tcBorders>
              <w:top w:val="single" w:sz="8" w:color="0000FF"/>
            </w:tcBorders>
          </w:tcPr>
          <w:p>
            <w:pPr>
              <w:spacing w:after="0"/>
              <w:rPr>
                <w:sz w:val="16"/>
                <w:szCs w:val="16"/>
                <w:color w:val="auto"/>
              </w:rPr>
            </w:pPr>
          </w:p>
        </w:tc>
        <w:tc>
          <w:tcPr>
            <w:tcW w:w="7040" w:type="dxa"/>
            <w:vAlign w:val="bottom"/>
            <w:gridSpan w:val="8"/>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8"/>
              </w:rPr>
              <w:t>Consolidated Statements of Stockholders’ Equity</w:t>
            </w:r>
          </w:p>
        </w:tc>
        <w:tc>
          <w:tcPr>
            <w:tcW w:w="160" w:type="dxa"/>
            <w:vAlign w:val="bottom"/>
            <w:tcBorders>
              <w:top w:val="single" w:sz="8" w:color="0000FF"/>
            </w:tcBorders>
          </w:tcPr>
          <w:p>
            <w:pPr>
              <w:spacing w:after="0"/>
              <w:rPr>
                <w:sz w:val="16"/>
                <w:szCs w:val="16"/>
                <w:color w:val="auto"/>
              </w:rPr>
            </w:pPr>
          </w:p>
        </w:tc>
        <w:tc>
          <w:tcPr>
            <w:tcW w:w="5760" w:type="dxa"/>
            <w:vAlign w:val="bottom"/>
            <w:gridSpan w:val="3"/>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7"/>
              </w:rPr>
              <w:t>Consolidated Statements of Cash Flows</w:t>
            </w:r>
          </w:p>
        </w:tc>
        <w:tc>
          <w:tcPr>
            <w:tcW w:w="6520" w:type="dxa"/>
            <w:vAlign w:val="bottom"/>
            <w:gridSpan w:val="6"/>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40" w:type="dxa"/>
            <w:vAlign w:val="bottom"/>
            <w:gridSpan w:val="15"/>
          </w:tcPr>
          <w:p>
            <w:pPr>
              <w:spacing w:after="0"/>
              <w:rPr>
                <w:sz w:val="20"/>
                <w:szCs w:val="20"/>
                <w:color w:val="auto"/>
              </w:rPr>
            </w:pPr>
            <w:r>
              <w:rPr>
                <w:rFonts w:ascii="Times New Roman" w:cs="Times New Roman" w:eastAsia="Times New Roman" w:hAnsi="Times New Roman"/>
                <w:sz w:val="16"/>
                <w:szCs w:val="16"/>
                <w:color w:val="0000FF"/>
              </w:rPr>
              <w:t>Notes to Consolidated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gridSpan w:val="5"/>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6"/>
              </w:rPr>
              <w:t>Item 2.</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91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w:t>
            </w:r>
          </w:p>
        </w:tc>
        <w:tc>
          <w:tcPr>
            <w:tcW w:w="0" w:type="dxa"/>
            <w:vAlign w:val="bottom"/>
          </w:tcPr>
          <w:p>
            <w:pPr>
              <w:spacing w:after="0"/>
              <w:rPr>
                <w:sz w:val="1"/>
                <w:szCs w:val="1"/>
                <w:color w:val="auto"/>
              </w:rPr>
            </w:pPr>
          </w:p>
        </w:tc>
      </w:tr>
      <w:tr>
        <w:trPr>
          <w:trHeight w:val="191"/>
        </w:trPr>
        <w:tc>
          <w:tcPr>
            <w:tcW w:w="4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6"/>
              </w:rPr>
              <w:t>Item 3.</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56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3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39</w:t>
            </w:r>
          </w:p>
        </w:tc>
        <w:tc>
          <w:tcPr>
            <w:tcW w:w="0" w:type="dxa"/>
            <w:vAlign w:val="bottom"/>
          </w:tcPr>
          <w:p>
            <w:pPr>
              <w:spacing w:after="0"/>
              <w:rPr>
                <w:sz w:val="1"/>
                <w:szCs w:val="1"/>
                <w:color w:val="auto"/>
              </w:rPr>
            </w:pPr>
          </w:p>
        </w:tc>
      </w:tr>
      <w:tr>
        <w:trPr>
          <w:trHeight w:val="191"/>
        </w:trPr>
        <w:tc>
          <w:tcPr>
            <w:tcW w:w="4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5340" w:type="dxa"/>
            <w:vAlign w:val="bottom"/>
            <w:gridSpan w:val="2"/>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260" w:type="dxa"/>
            <w:vAlign w:val="bottom"/>
            <w:gridSpan w:val="22"/>
          </w:tcPr>
          <w:p>
            <w:pPr>
              <w:spacing w:after="0"/>
              <w:rPr>
                <w:sz w:val="20"/>
                <w:szCs w:val="20"/>
                <w:color w:val="auto"/>
              </w:rPr>
            </w:pPr>
            <w:r>
              <w:rPr>
                <w:rFonts w:ascii="Times New Roman" w:cs="Times New Roman" w:eastAsia="Times New Roman" w:hAnsi="Times New Roman"/>
                <w:sz w:val="16"/>
                <w:szCs w:val="16"/>
                <w:b w:val="1"/>
                <w:bCs w:val="1"/>
                <w:color w:val="0000FF"/>
              </w:rPr>
              <w:t>PART II. OTHER INFORMATION</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520" w:type="dxa"/>
            <w:vAlign w:val="bottom"/>
            <w:tcBorders>
              <w:top w:val="single" w:sz="8" w:color="0000FF"/>
            </w:tcBorders>
            <w:gridSpan w:val="2"/>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1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7"/>
              </w:rPr>
              <w:t>Legal Proceedings</w:t>
            </w:r>
          </w:p>
        </w:tc>
        <w:tc>
          <w:tcPr>
            <w:tcW w:w="140" w:type="dxa"/>
            <w:vAlign w:val="bottom"/>
            <w:tcBorders>
              <w:top w:val="single" w:sz="8" w:color="0000FF"/>
            </w:tcBorders>
          </w:tcPr>
          <w:p>
            <w:pPr>
              <w:spacing w:after="0"/>
              <w:rPr>
                <w:sz w:val="21"/>
                <w:szCs w:val="21"/>
                <w:color w:val="auto"/>
              </w:rPr>
            </w:pPr>
          </w:p>
        </w:tc>
        <w:tc>
          <w:tcPr>
            <w:tcW w:w="7840" w:type="dxa"/>
            <w:vAlign w:val="bottom"/>
            <w:gridSpan w:val="11"/>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191"/>
        </w:trPr>
        <w:tc>
          <w:tcPr>
            <w:tcW w:w="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4"/>
              </w:rPr>
              <w:t>Item 1A.</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6"/>
              </w:rPr>
              <w:t>Risk Factors</w:t>
            </w:r>
          </w:p>
        </w:tc>
        <w:tc>
          <w:tcPr>
            <w:tcW w:w="8360" w:type="dxa"/>
            <w:vAlign w:val="bottom"/>
            <w:gridSpan w:val="13"/>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191"/>
        </w:trPr>
        <w:tc>
          <w:tcPr>
            <w:tcW w:w="4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6"/>
              </w:rPr>
              <w:t>Item 6.</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9160" w:type="dxa"/>
            <w:vAlign w:val="bottom"/>
            <w:gridSpan w:val="16"/>
          </w:tcPr>
          <w:p>
            <w:pPr>
              <w:spacing w:after="0"/>
              <w:rPr>
                <w:sz w:val="20"/>
                <w:szCs w:val="20"/>
                <w:color w:val="auto"/>
              </w:rPr>
            </w:pPr>
            <w:r>
              <w:rPr>
                <w:rFonts w:ascii="Times New Roman" w:cs="Times New Roman" w:eastAsia="Times New Roman" w:hAnsi="Times New Roman"/>
                <w:sz w:val="16"/>
                <w:szCs w:val="16"/>
                <w:color w:val="0000FF"/>
              </w:rPr>
              <w:t>Exhibits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20" w:type="dxa"/>
            <w:vAlign w:val="bottom"/>
          </w:tcPr>
          <w:p>
            <w:pPr>
              <w:spacing w:after="0"/>
              <w:rPr>
                <w:sz w:val="24"/>
                <w:szCs w:val="24"/>
                <w:color w:val="auto"/>
              </w:rPr>
            </w:pPr>
          </w:p>
        </w:tc>
        <w:tc>
          <w:tcPr>
            <w:tcW w:w="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4"/>
              </w:rPr>
              <w:t>Signatures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134620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21" w:right="359"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9" w:lineRule="exact"/>
        <w:rPr>
          <w:sz w:val="20"/>
          <w:szCs w:val="20"/>
          <w:color w:val="auto"/>
        </w:rPr>
      </w:pPr>
    </w:p>
    <w:p>
      <w:pPr>
        <w:ind w:firstLine="395"/>
        <w:spacing w:after="0" w:line="245"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guidance, industry prospects, future business, future results of operations or financial condition, future dividends, future stock performance, our ability to consummate acquisitions and integrate the businesses we have acquired or may acquire into our existing operations, new or planned features, products or services,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Such risks and uncertainties include, among others, those discussed under the caption “Risk Factors” in our most recently filed Annual Report on Form 10-K, which was filed with the Securities and Exchange Commission (the “SEC”) on February 10, 2022 (our “2021 Form 10-K”), under the caption “Risk Factors” in our Quarterly Report on Form 10-Q for the quarter ended June 30, 2022, which was filed with the SEC on July 26, 2022, and in our consolidated financial statements, related notes, and the other information appearing elsewhere in the 2021 Form 10-K, this Quarterly Report on Form 10-Q and our other filings with the SEC. Given these risks and uncertainties, you should not place undue reliance on any forward-looking statements. The forward-looking statements contained in this Quarterly Report on Form 10-Q are made only as of the date hereof, and we do not intend, and, except as required by law, we undertake no obligation to update any forward-looking statements contained herein after the date of this report to reflect actual results or future events or circumstances.</w:t>
      </w:r>
    </w:p>
    <w:p>
      <w:pPr>
        <w:spacing w:after="0" w:line="92"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references in this Quarterly Report on Form 10-Q to the terms “Shutterstock,” “the Company,” “we,” “our” and “us” refer to Shutterstock, Inc. and its subsidiaries. “Shutterstock,” “Shutterstock Editorial,” “Asset Assurance,” “Offset,” “Bigstock,” “Rex Features,” “PremiumBeat,” “TurboSquid,” “PicMonkey,” “Pattern89,” “Shotzr,” “Pond5,” “Splash News,” “Shutterstock Studios” and “Shutterstock Editor” and their logos are registered trademarks and are the property of Shutterstock, Inc. or one of our subsidiaries. All other trademarks, service marks and trade names appearing in this Quarterly Report on Form 10-Q are the property of their respective owners.</w:t>
      </w:r>
    </w:p>
    <w:p>
      <w:pPr>
        <w:spacing w:after="0" w:line="200" w:lineRule="exact"/>
        <w:rPr>
          <w:sz w:val="20"/>
          <w:szCs w:val="20"/>
          <w:color w:val="auto"/>
        </w:rPr>
      </w:pPr>
    </w:p>
    <w:p>
      <w:pPr>
        <w:spacing w:after="0" w:line="35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6"/>
              </w:rPr>
              <w:t>Shutterstock, Inc.</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(In thousands, except par value amount)</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8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8"/>
                <w:szCs w:val="18"/>
                <w:color w:val="auto"/>
              </w:rPr>
            </w:pP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6"/>
        </w:trPr>
        <w:tc>
          <w:tcPr>
            <w:tcW w:w="8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76,244</w:t>
            </w:r>
          </w:p>
        </w:tc>
        <w:tc>
          <w:tcPr>
            <w:tcW w:w="120" w:type="dxa"/>
            <w:vAlign w:val="bottom"/>
          </w:tcPr>
          <w:p>
            <w:pPr>
              <w:spacing w:after="0"/>
              <w:rPr>
                <w:sz w:val="18"/>
                <w:szCs w:val="18"/>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314,017</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receivable, net of allowance of $3,498 and $1,910</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52,713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47,707</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32,095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26,491</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7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161,052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388,215</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48,074</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assets</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32,946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34,570</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123,822</w:t>
            </w:r>
          </w:p>
        </w:tc>
        <w:tc>
          <w:tcPr>
            <w:tcW w:w="0" w:type="dxa"/>
            <w:vAlign w:val="bottom"/>
          </w:tcPr>
          <w:p>
            <w:pPr>
              <w:spacing w:after="0"/>
              <w:rPr>
                <w:sz w:val="1"/>
                <w:szCs w:val="1"/>
                <w:color w:val="auto"/>
              </w:rPr>
            </w:pPr>
          </w:p>
        </w:tc>
      </w:tr>
      <w:tr>
        <w:trPr>
          <w:trHeight w:val="212"/>
        </w:trPr>
        <w:tc>
          <w:tcPr>
            <w:tcW w:w="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5"/>
              </w:rPr>
              <w:t>Goodwill</w:t>
            </w: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379,505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219,816</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assets, net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10,512</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26,229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26,701</w:t>
            </w:r>
          </w:p>
        </w:tc>
        <w:tc>
          <w:tcPr>
            <w:tcW w:w="0" w:type="dxa"/>
            <w:vAlign w:val="bottom"/>
          </w:tcPr>
          <w:p>
            <w:pPr>
              <w:spacing w:after="0"/>
              <w:rPr>
                <w:sz w:val="1"/>
                <w:szCs w:val="1"/>
                <w:color w:val="auto"/>
              </w:rPr>
            </w:pPr>
          </w:p>
        </w:tc>
      </w:tr>
      <w:tr>
        <w:trPr>
          <w:trHeight w:val="202"/>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8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840,180</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851,710</w:t>
            </w: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720" w:type="dxa"/>
            <w:vAlign w:val="bottom"/>
            <w:gridSpan w:val="4"/>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10,092</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Accrued expenses</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80,699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99,529</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29,004</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174,384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180,979</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Debt</w:t>
            </w: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14,180</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7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360,073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333,784</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2,781</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36,966</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10,158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9,697</w:t>
            </w:r>
          </w:p>
        </w:tc>
        <w:tc>
          <w:tcPr>
            <w:tcW w:w="0" w:type="dxa"/>
            <w:vAlign w:val="bottom"/>
          </w:tcPr>
          <w:p>
            <w:pPr>
              <w:spacing w:after="0"/>
              <w:rPr>
                <w:sz w:val="1"/>
                <w:szCs w:val="1"/>
                <w:color w:val="auto"/>
              </w:rPr>
            </w:pPr>
          </w:p>
        </w:tc>
      </w:tr>
      <w:tr>
        <w:trPr>
          <w:trHeight w:val="206"/>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3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409,597</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383,228</w:t>
            </w:r>
          </w:p>
        </w:tc>
        <w:tc>
          <w:tcPr>
            <w:tcW w:w="0" w:type="dxa"/>
            <w:vAlign w:val="bottom"/>
          </w:tcPr>
          <w:p>
            <w:pPr>
              <w:spacing w:after="0"/>
              <w:rPr>
                <w:sz w:val="1"/>
                <w:szCs w:val="1"/>
                <w:color w:val="auto"/>
              </w:rPr>
            </w:pPr>
          </w:p>
        </w:tc>
      </w:tr>
      <w:tr>
        <w:trPr>
          <w:trHeight w:val="199"/>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7720" w:type="dxa"/>
            <w:vAlign w:val="bottom"/>
            <w:gridSpan w:val="4"/>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Stockholders’ equity:</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0" w:type="dxa"/>
            <w:vAlign w:val="bottom"/>
          </w:tcPr>
          <w:p>
            <w:pPr>
              <w:spacing w:after="0"/>
              <w:rPr>
                <w:sz w:val="13"/>
                <w:szCs w:val="13"/>
                <w:color w:val="auto"/>
              </w:rPr>
            </w:pPr>
          </w:p>
        </w:tc>
        <w:tc>
          <w:tcPr>
            <w:tcW w:w="732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6"/>
                <w:szCs w:val="16"/>
                <w:color w:val="auto"/>
              </w:rPr>
              <w:t>Common stock, $0.01 par value; 200,000 shares authorized; 39,585 and 39,209 shares issued and 35,809 and</w:t>
            </w:r>
          </w:p>
        </w:tc>
        <w:tc>
          <w:tcPr>
            <w:tcW w:w="36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36,417 shares outstanding as of September 30, 2022 and December 31, 2021, respectively</w:t>
            </w:r>
          </w:p>
        </w:tc>
        <w:tc>
          <w:tcPr>
            <w:tcW w:w="3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Treasury stock, at cost; 3,776 and 2,792 shares as of September 30, 2022 and December 31, 2021, respectively</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(127,196)</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380,325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376,537</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Accumulated comprehensive loss</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(10,788)</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Retained earnings</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272,590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229,537</w:t>
            </w:r>
          </w:p>
        </w:tc>
        <w:tc>
          <w:tcPr>
            <w:tcW w:w="0" w:type="dxa"/>
            <w:vAlign w:val="bottom"/>
          </w:tcPr>
          <w:p>
            <w:pPr>
              <w:spacing w:after="0"/>
              <w:rPr>
                <w:sz w:val="1"/>
                <w:szCs w:val="1"/>
                <w:color w:val="auto"/>
              </w:rPr>
            </w:pPr>
          </w:p>
        </w:tc>
      </w:tr>
      <w:tr>
        <w:trPr>
          <w:trHeight w:val="206"/>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430,583</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468,482</w:t>
            </w:r>
          </w:p>
        </w:tc>
        <w:tc>
          <w:tcPr>
            <w:tcW w:w="0" w:type="dxa"/>
            <w:vAlign w:val="bottom"/>
          </w:tcPr>
          <w:p>
            <w:pPr>
              <w:spacing w:after="0"/>
              <w:rPr>
                <w:sz w:val="1"/>
                <w:szCs w:val="1"/>
                <w:color w:val="auto"/>
              </w:rPr>
            </w:pPr>
          </w:p>
        </w:tc>
      </w:tr>
      <w:tr>
        <w:trPr>
          <w:trHeight w:val="202"/>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840,180</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851,710</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2220" w:type="dxa"/>
            <w:vAlign w:val="bottom"/>
            <w:gridSpan w:val="4"/>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5"/>
        </w:trPr>
        <w:tc>
          <w:tcPr>
            <w:tcW w:w="5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Pr>
          <w:p>
            <w:pPr>
              <w:spacing w:after="0"/>
              <w:rPr>
                <w:sz w:val="16"/>
                <w:szCs w:val="16"/>
                <w:color w:val="auto"/>
              </w:rPr>
            </w:pPr>
          </w:p>
        </w:tc>
      </w:tr>
      <w:tr>
        <w:trPr>
          <w:trHeight w:val="37"/>
        </w:trPr>
        <w:tc>
          <w:tcPr>
            <w:tcW w:w="59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80"/>
        </w:trPr>
        <w:tc>
          <w:tcPr>
            <w:tcW w:w="5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59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38"/>
        </w:trPr>
        <w:tc>
          <w:tcPr>
            <w:tcW w:w="5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11"/>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204,096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194,439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610,100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567,632</w:t>
            </w:r>
          </w:p>
        </w:tc>
      </w:tr>
      <w:tr>
        <w:trPr>
          <w:trHeight w:val="197"/>
        </w:trPr>
        <w:tc>
          <w:tcPr>
            <w:tcW w:w="5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1"/>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09"/>
        </w:trPr>
        <w:tc>
          <w:tcPr>
            <w:tcW w:w="5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79,911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69,634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226,381</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199,223</w:t>
            </w:r>
          </w:p>
        </w:tc>
      </w:tr>
      <w:tr>
        <w:trPr>
          <w:trHeight w:val="212"/>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54,456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155,335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142,273</w:t>
            </w:r>
          </w:p>
        </w:tc>
      </w:tr>
      <w:tr>
        <w:trPr>
          <w:trHeight w:val="209"/>
        </w:trPr>
        <w:tc>
          <w:tcPr>
            <w:tcW w:w="5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13,565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36,289</w:t>
            </w:r>
          </w:p>
        </w:tc>
      </w:tr>
      <w:tr>
        <w:trPr>
          <w:trHeight w:val="212"/>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30,189</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34,615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94,085</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96,335</w:t>
            </w:r>
          </w:p>
        </w:tc>
      </w:tr>
      <w:tr>
        <w:trPr>
          <w:trHeight w:val="202"/>
        </w:trPr>
        <w:tc>
          <w:tcPr>
            <w:tcW w:w="59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175,411</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172,270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524,123</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474,120</w:t>
            </w:r>
          </w:p>
        </w:tc>
      </w:tr>
      <w:tr>
        <w:trPr>
          <w:trHeight w:val="206"/>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22,169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85,977</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93,512</w:t>
            </w:r>
          </w:p>
        </w:tc>
      </w:tr>
      <w:tr>
        <w:trPr>
          <w:trHeight w:val="209"/>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(3,449)</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(2,888)</w:t>
            </w:r>
          </w:p>
        </w:tc>
      </w:tr>
      <w:tr>
        <w:trPr>
          <w:trHeight w:val="206"/>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20,420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82,528</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90,624</w:t>
            </w:r>
          </w:p>
        </w:tc>
      </w:tr>
      <w:tr>
        <w:trPr>
          <w:trHeight w:val="209"/>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4,099</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4,391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13,471</w:t>
            </w:r>
          </w:p>
        </w:tc>
        <w:tc>
          <w:tcPr>
            <w:tcW w:w="12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15,627</w:t>
            </w:r>
          </w:p>
        </w:tc>
      </w:tr>
      <w:tr>
        <w:trPr>
          <w:trHeight w:val="204"/>
        </w:trPr>
        <w:tc>
          <w:tcPr>
            <w:tcW w:w="5920" w:type="dxa"/>
            <w:vAlign w:val="bottom"/>
            <w:tcBorders>
              <w:bottom w:val="single" w:sz="8" w:color="CCEEFF"/>
            </w:tcBorders>
            <w:shd w:val="clear" w:color="auto" w:fill="CCEEFF"/>
          </w:tcPr>
          <w:p>
            <w:pPr>
              <w:ind w:left="360"/>
              <w:spacing w:after="0" w:line="179" w:lineRule="exact"/>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Borders>
              <w:bottom w:val="single" w:sz="8" w:color="auto"/>
            </w:tcBorders>
            <w:shd w:val="clear" w:color="auto" w:fill="CCEEFF"/>
          </w:tcPr>
          <w:p>
            <w:pPr>
              <w:jc w:val="right"/>
              <w:ind w:right="22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23,040</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4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2"/>
              <w:spacing w:after="0" w:line="179" w:lineRule="exact"/>
              <w:rPr>
                <w:sz w:val="20"/>
                <w:szCs w:val="20"/>
                <w:color w:val="auto"/>
              </w:rPr>
            </w:pPr>
            <w:r>
              <w:rPr>
                <w:rFonts w:ascii="Times New Roman" w:cs="Times New Roman" w:eastAsia="Times New Roman" w:hAnsi="Times New Roman"/>
                <w:sz w:val="16"/>
                <w:szCs w:val="16"/>
                <w:color w:val="auto"/>
              </w:rPr>
              <w:t>16,029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69,057</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61"/>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74,997</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157"/>
        </w:trPr>
        <w:tc>
          <w:tcPr>
            <w:tcW w:w="5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11"/>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09"/>
        </w:trPr>
        <w:tc>
          <w:tcPr>
            <w:tcW w:w="5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28"/>
        </w:trPr>
        <w:tc>
          <w:tcPr>
            <w:tcW w:w="5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5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11"/>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09"/>
        </w:trPr>
        <w:tc>
          <w:tcPr>
            <w:tcW w:w="5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35,929</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36,622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36,117</w:t>
            </w: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36,510</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28"/>
        </w:trPr>
        <w:tc>
          <w:tcPr>
            <w:tcW w:w="5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36,269</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37,417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36,681</w:t>
            </w: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37,285</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320" w:type="dxa"/>
            <w:vAlign w:val="bottom"/>
          </w:tcPr>
          <w:p>
            <w:pPr>
              <w:spacing w:after="0"/>
              <w:rPr>
                <w:sz w:val="14"/>
                <w:szCs w:val="14"/>
                <w:color w:val="auto"/>
              </w:rPr>
            </w:pPr>
          </w:p>
        </w:tc>
        <w:tc>
          <w:tcPr>
            <w:tcW w:w="19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5"/>
        </w:trPr>
        <w:tc>
          <w:tcPr>
            <w:tcW w:w="6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gridSpan w:val="3"/>
          </w:tcPr>
          <w:p>
            <w:pPr>
              <w:jc w:val="center"/>
              <w:ind w:left="54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center"/>
              <w:ind w:left="50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6"/>
                <w:szCs w:val="16"/>
                <w:color w:val="auto"/>
              </w:rPr>
            </w:pPr>
          </w:p>
        </w:tc>
      </w:tr>
      <w:tr>
        <w:trPr>
          <w:trHeight w:val="37"/>
        </w:trPr>
        <w:tc>
          <w:tcPr>
            <w:tcW w:w="62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80"/>
        </w:trPr>
        <w:tc>
          <w:tcPr>
            <w:tcW w:w="6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2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91"/>
        </w:trPr>
        <w:tc>
          <w:tcPr>
            <w:tcW w:w="6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23,040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16,029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69,057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74,997</w:t>
            </w:r>
          </w:p>
        </w:tc>
      </w:tr>
      <w:tr>
        <w:trPr>
          <w:trHeight w:val="209"/>
        </w:trPr>
        <w:tc>
          <w:tcPr>
            <w:tcW w:w="6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w w:val="98"/>
              </w:rPr>
              <w:t>(6,101)</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(1,842)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(11,932)</w:t>
            </w: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8"/>
              </w:rPr>
              <w:t>(1,552)</w:t>
            </w:r>
          </w:p>
        </w:tc>
      </w:tr>
      <w:tr>
        <w:trPr>
          <w:trHeight w:val="20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4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8"/>
              </w:rPr>
              <w:t>(6,101)</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(1,842)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(11,932)</w:t>
            </w:r>
          </w:p>
        </w:tc>
        <w:tc>
          <w:tcPr>
            <w:tcW w:w="12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8"/>
              </w:rPr>
              <w:t>(1,552)</w:t>
            </w:r>
          </w:p>
        </w:tc>
      </w:tr>
      <w:tr>
        <w:trPr>
          <w:trHeight w:val="202"/>
        </w:trPr>
        <w:tc>
          <w:tcPr>
            <w:tcW w:w="6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16,939</w:t>
            </w:r>
          </w:p>
        </w:tc>
        <w:tc>
          <w:tcPr>
            <w:tcW w:w="100" w:type="dxa"/>
            <w:vAlign w:val="bottom"/>
          </w:tcPr>
          <w:p>
            <w:pPr>
              <w:spacing w:after="0"/>
              <w:rPr>
                <w:sz w:val="17"/>
                <w:szCs w:val="17"/>
                <w:color w:val="auto"/>
              </w:rPr>
            </w:pPr>
          </w:p>
        </w:tc>
        <w:tc>
          <w:tcPr>
            <w:tcW w:w="6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14,187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57,125</w:t>
            </w:r>
          </w:p>
        </w:tc>
        <w:tc>
          <w:tcPr>
            <w:tcW w:w="120" w:type="dxa"/>
            <w:vAlign w:val="bottom"/>
          </w:tcPr>
          <w:p>
            <w:pPr>
              <w:spacing w:after="0"/>
              <w:rPr>
                <w:sz w:val="17"/>
                <w:szCs w:val="17"/>
                <w:color w:val="auto"/>
              </w:rPr>
            </w:pPr>
          </w:p>
        </w:tc>
        <w:tc>
          <w:tcPr>
            <w:tcW w:w="5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73,445</w:t>
            </w:r>
          </w:p>
        </w:tc>
      </w:tr>
      <w:tr>
        <w:trPr>
          <w:trHeight w:val="21"/>
        </w:trPr>
        <w:tc>
          <w:tcPr>
            <w:tcW w:w="6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40" w:type="dxa"/>
            <w:vAlign w:val="bottom"/>
          </w:tcPr>
          <w:p>
            <w:pPr>
              <w:spacing w:after="0"/>
              <w:rPr>
                <w:sz w:val="11"/>
                <w:szCs w:val="11"/>
                <w:color w:val="auto"/>
              </w:rPr>
            </w:pPr>
          </w:p>
        </w:tc>
        <w:tc>
          <w:tcPr>
            <w:tcW w:w="16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780" w:type="dxa"/>
            <w:vAlign w:val="bottom"/>
            <w:gridSpan w:val="5"/>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4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2"/>
              </w:rPr>
              <w:t>Accumulated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4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140" w:type="dxa"/>
            <w:vAlign w:val="bottom"/>
          </w:tcPr>
          <w:p>
            <w:pPr>
              <w:spacing w:after="0"/>
              <w:rPr>
                <w:sz w:val="4"/>
                <w:szCs w:val="4"/>
                <w:color w:val="auto"/>
              </w:rPr>
            </w:pPr>
          </w:p>
        </w:tc>
        <w:tc>
          <w:tcPr>
            <w:tcW w:w="102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60" w:type="dxa"/>
            <w:vAlign w:val="bottom"/>
          </w:tcPr>
          <w:p>
            <w:pPr>
              <w:spacing w:after="0"/>
              <w:rPr>
                <w:sz w:val="4"/>
                <w:szCs w:val="4"/>
                <w:color w:val="auto"/>
              </w:rPr>
            </w:pPr>
          </w:p>
        </w:tc>
        <w:tc>
          <w:tcPr>
            <w:tcW w:w="820" w:type="dxa"/>
            <w:vAlign w:val="bottom"/>
            <w:gridSpan w:val="2"/>
            <w:vMerge w:val="restart"/>
          </w:tcPr>
          <w:p>
            <w:pPr>
              <w:ind w:left="80"/>
              <w:spacing w:after="0" w:line="10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840" w:type="dxa"/>
            <w:vAlign w:val="bottom"/>
            <w:vMerge w:val="continue"/>
          </w:tcPr>
          <w:p>
            <w:pPr>
              <w:spacing w:after="0"/>
              <w:rPr>
                <w:sz w:val="2"/>
                <w:szCs w:val="2"/>
                <w:color w:val="auto"/>
              </w:rPr>
            </w:pP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2"/>
                <w:szCs w:val="2"/>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2"/>
                <w:szCs w:val="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vMerge w:val="restart"/>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line="20" w:lineRule="exact"/>
              <w:rPr>
                <w:sz w:val="1"/>
                <w:szCs w:val="1"/>
                <w:color w:val="auto"/>
              </w:rPr>
            </w:pPr>
          </w:p>
        </w:tc>
      </w:tr>
      <w:tr>
        <w:trPr>
          <w:trHeight w:val="151"/>
        </w:trPr>
        <w:tc>
          <w:tcPr>
            <w:tcW w:w="38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1"/>
              </w:rPr>
              <w:t>Capital</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Income / (Loss)</w:t>
            </w:r>
          </w:p>
        </w:tc>
        <w:tc>
          <w:tcPr>
            <w:tcW w:w="16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39,482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(183,800)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370,934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258,183</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429,093</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9,088</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(16,208)</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(8,633)</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(6,101)</w:t>
            </w:r>
          </w:p>
        </w:tc>
        <w:tc>
          <w:tcPr>
            <w:tcW w:w="0" w:type="dxa"/>
            <w:vAlign w:val="bottom"/>
          </w:tcPr>
          <w:p>
            <w:pPr>
              <w:spacing w:after="0"/>
              <w:rPr>
                <w:sz w:val="1"/>
                <w:szCs w:val="1"/>
                <w:color w:val="auto"/>
              </w:rPr>
            </w:pPr>
          </w:p>
        </w:tc>
      </w:tr>
      <w:tr>
        <w:trPr>
          <w:trHeight w:val="191"/>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23,040</w:t>
            </w:r>
          </w:p>
        </w:tc>
        <w:tc>
          <w:tcPr>
            <w:tcW w:w="0" w:type="dxa"/>
            <w:vAlign w:val="bottom"/>
          </w:tcPr>
          <w:p>
            <w:pPr>
              <w:spacing w:after="0"/>
              <w:rPr>
                <w:sz w:val="1"/>
                <w:szCs w:val="1"/>
                <w:color w:val="auto"/>
              </w:rPr>
            </w:pPr>
          </w:p>
        </w:tc>
      </w:tr>
      <w:tr>
        <w:trPr>
          <w:trHeight w:val="222"/>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39,585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380,325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272,590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430,583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2021</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39,173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(100,027)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360,404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(7,391)</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211,956</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465,334</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8,743</w:t>
            </w: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(4,858)</w:t>
            </w: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(7,683)</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16,029</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2021</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39,191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(104,885)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368,320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220,302</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474,896</w:t>
            </w:r>
          </w:p>
        </w:tc>
        <w:tc>
          <w:tcPr>
            <w:tcW w:w="0" w:type="dxa"/>
            <w:vAlign w:val="bottom"/>
          </w:tcPr>
          <w:p>
            <w:pPr>
              <w:spacing w:after="0"/>
              <w:rPr>
                <w:sz w:val="1"/>
                <w:szCs w:val="1"/>
                <w:color w:val="auto"/>
              </w:rPr>
            </w:pPr>
          </w:p>
        </w:tc>
      </w:tr>
      <w:tr>
        <w:trPr>
          <w:trHeight w:val="39"/>
        </w:trPr>
        <w:tc>
          <w:tcPr>
            <w:tcW w:w="38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376,537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229,537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468,482</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23,958</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(21,973)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(21,976)</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(72,812)</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(26,004)</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(11,932)</w:t>
            </w:r>
          </w:p>
        </w:tc>
        <w:tc>
          <w:tcPr>
            <w:tcW w:w="0" w:type="dxa"/>
            <w:vAlign w:val="bottom"/>
          </w:tcPr>
          <w:p>
            <w:pPr>
              <w:spacing w:after="0"/>
              <w:rPr>
                <w:sz w:val="1"/>
                <w:szCs w:val="1"/>
                <w:color w:val="auto"/>
              </w:rPr>
            </w:pPr>
          </w:p>
        </w:tc>
      </w:tr>
      <w:tr>
        <w:trPr>
          <w:trHeight w:val="191"/>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69,057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69,057</w:t>
            </w:r>
          </w:p>
        </w:tc>
        <w:tc>
          <w:tcPr>
            <w:tcW w:w="0" w:type="dxa"/>
            <w:vAlign w:val="bottom"/>
          </w:tcPr>
          <w:p>
            <w:pPr>
              <w:spacing w:after="0"/>
              <w:rPr>
                <w:sz w:val="1"/>
                <w:szCs w:val="1"/>
                <w:color w:val="auto"/>
              </w:rPr>
            </w:pPr>
          </w:p>
        </w:tc>
      </w:tr>
      <w:tr>
        <w:trPr>
          <w:trHeight w:val="222"/>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39,585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380,325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272,590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430,583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2,558</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(100,027)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360,939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(7,681)</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168,305</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421,925</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26,639</w:t>
            </w: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84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(21,273)</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(4,858)</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(23,000)</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(1,552)</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74,997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74,997</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2021</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39,191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(104,885)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368,320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220,302</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474,896</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4"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5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5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91"/>
        </w:trPr>
        <w:tc>
          <w:tcPr>
            <w:tcW w:w="8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69,057</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74,997</w:t>
            </w: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33,731</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26,639</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Bad debt expense</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w:t>
            </w:r>
          </w:p>
        </w:tc>
      </w:tr>
      <w:tr>
        <w:trPr>
          <w:trHeight w:val="209"/>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(11,469)</w:t>
            </w: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and other current and non-current liabilities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24,639</w:t>
            </w:r>
          </w:p>
        </w:tc>
      </w:tr>
      <w:tr>
        <w:trPr>
          <w:trHeight w:val="209"/>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revenue</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13,147</w:t>
            </w:r>
          </w:p>
        </w:tc>
      </w:tr>
      <w:tr>
        <w:trPr>
          <w:trHeight w:val="20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97,289</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161,858</w:t>
            </w:r>
          </w:p>
        </w:tc>
      </w:tr>
      <w:tr>
        <w:trPr>
          <w:trHeight w:val="192"/>
        </w:trPr>
        <w:tc>
          <w:tcPr>
            <w:tcW w:w="8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1"/>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(21,167)</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Business combination, net of cash acquired</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(181,772)</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Asset acquisitions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(31,440)</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of content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(7,890)</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Security deposit payment</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0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(257,905)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(242,407)</w:t>
            </w:r>
          </w:p>
        </w:tc>
      </w:tr>
      <w:tr>
        <w:trPr>
          <w:trHeight w:val="192"/>
        </w:trPr>
        <w:tc>
          <w:tcPr>
            <w:tcW w:w="85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1"/>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 of treasury shares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related to settlement of employee taxes related to RSU vesting</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(21,273)</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 of cash dividend</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(23,000)</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credit facility</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(70,277)</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(46,426)</w:t>
            </w:r>
          </w:p>
        </w:tc>
      </w:tr>
      <w:tr>
        <w:trPr>
          <w:trHeight w:val="74"/>
        </w:trPr>
        <w:tc>
          <w:tcPr>
            <w:tcW w:w="850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r>
      <w:tr>
        <w:trPr>
          <w:trHeight w:val="202"/>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(237,773)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(127,995)</w:t>
            </w:r>
          </w:p>
        </w:tc>
      </w:tr>
      <w:tr>
        <w:trPr>
          <w:trHeight w:val="265"/>
        </w:trPr>
        <w:tc>
          <w:tcPr>
            <w:tcW w:w="85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0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314,017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428,574</w:t>
            </w:r>
          </w:p>
        </w:tc>
      </w:tr>
      <w:tr>
        <w:trPr>
          <w:trHeight w:val="229"/>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76,244</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300,579</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8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Information:</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19,476</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14,811</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interest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Operations</w:t>
      </w:r>
    </w:p>
    <w:p>
      <w:pPr>
        <w:spacing w:after="0" w:line="152"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Shutterstock, Inc. (the “Company” or “Shutterstock”) is the leading global creative platform for transformative brands and media companies. The Company’s platform brings together users and contributors of content by providing readily-searchable content that our customers pay to license and by compensating contributors as their content is licensed. Contributors upload their content to the Company’s web properties in exchange for royalty payments based on customer download activity.</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key offerings include:</w:t>
      </w:r>
    </w:p>
    <w:p>
      <w:pPr>
        <w:spacing w:after="0" w:line="148" w:lineRule="exact"/>
        <w:rPr>
          <w:sz w:val="20"/>
          <w:szCs w:val="20"/>
          <w:color w:val="auto"/>
        </w:rPr>
      </w:pPr>
    </w:p>
    <w:p>
      <w:pPr>
        <w:ind w:left="960" w:right="220" w:hanging="323"/>
        <w:spacing w:after="0" w:line="268" w:lineRule="auto"/>
        <w:tabs>
          <w:tab w:leader="none" w:pos="9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64" w:lineRule="exact"/>
        <w:rPr>
          <w:rFonts w:ascii="Times New Roman" w:cs="Times New Roman" w:eastAsia="Times New Roman" w:hAnsi="Times New Roman"/>
          <w:sz w:val="18"/>
          <w:szCs w:val="18"/>
          <w:color w:val="auto"/>
        </w:rPr>
      </w:pPr>
    </w:p>
    <w:p>
      <w:pPr>
        <w:ind w:left="960" w:right="60" w:hanging="323"/>
        <w:spacing w:after="0" w:line="268" w:lineRule="auto"/>
        <w:tabs>
          <w:tab w:leader="none" w:pos="9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64" w:lineRule="exact"/>
        <w:rPr>
          <w:rFonts w:ascii="Times New Roman" w:cs="Times New Roman" w:eastAsia="Times New Roman" w:hAnsi="Times New Roman"/>
          <w:sz w:val="18"/>
          <w:szCs w:val="18"/>
          <w:color w:val="auto"/>
        </w:rPr>
      </w:pPr>
    </w:p>
    <w:p>
      <w:pPr>
        <w:ind w:left="940" w:hanging="303"/>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08" w:lineRule="exact"/>
        <w:rPr>
          <w:rFonts w:ascii="Times New Roman" w:cs="Times New Roman" w:eastAsia="Times New Roman" w:hAnsi="Times New Roman"/>
          <w:sz w:val="18"/>
          <w:szCs w:val="18"/>
          <w:color w:val="auto"/>
        </w:rPr>
      </w:pPr>
    </w:p>
    <w:p>
      <w:pPr>
        <w:ind w:left="960" w:right="20" w:hanging="323"/>
        <w:spacing w:after="0" w:line="256" w:lineRule="auto"/>
        <w:tabs>
          <w:tab w:leader="none" w:pos="9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 This offering became available upon the Company’s acquisition of TurboSquid, Inc. on February 1, 2021.</w:t>
      </w:r>
    </w:p>
    <w:p>
      <w:pPr>
        <w:spacing w:after="0" w:line="74" w:lineRule="exact"/>
        <w:rPr>
          <w:rFonts w:ascii="Times New Roman" w:cs="Times New Roman" w:eastAsia="Times New Roman" w:hAnsi="Times New Roman"/>
          <w:sz w:val="18"/>
          <w:szCs w:val="18"/>
          <w:color w:val="auto"/>
        </w:rPr>
      </w:pPr>
    </w:p>
    <w:p>
      <w:pPr>
        <w:ind w:left="960" w:right="160" w:hanging="323"/>
        <w:spacing w:after="0" w:line="256" w:lineRule="auto"/>
        <w:tabs>
          <w:tab w:leader="none" w:pos="95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Creative Design Software - consisting of the Company’s online graphic design and image editing platform. This offering became available after the Company completed the acquisition of substantially all of the assets and assumption of certain liabilities from PicMonkey, LLC (“PicMonkey”) on September 3, 2021.</w:t>
      </w:r>
    </w:p>
    <w:p>
      <w:pPr>
        <w:spacing w:after="0" w:line="114" w:lineRule="exact"/>
        <w:rPr>
          <w:sz w:val="20"/>
          <w:szCs w:val="20"/>
          <w:color w:val="auto"/>
        </w:rPr>
      </w:pPr>
    </w:p>
    <w:p>
      <w:pPr>
        <w:jc w:val="both"/>
        <w:ind w:right="420" w:firstLine="395"/>
        <w:spacing w:after="0" w:line="256" w:lineRule="auto"/>
        <w:rPr>
          <w:sz w:val="20"/>
          <w:szCs w:val="20"/>
          <w:color w:val="auto"/>
        </w:rPr>
      </w:pPr>
      <w:r>
        <w:rPr>
          <w:rFonts w:ascii="Times New Roman" w:cs="Times New Roman" w:eastAsia="Times New Roman" w:hAnsi="Times New Roman"/>
          <w:sz w:val="18"/>
          <w:szCs w:val="18"/>
          <w:color w:val="auto"/>
        </w:rPr>
        <w:t>On May 11, 2022, the Company completed its acquisition of Pond5, Inc. (“Pond5”), a video-first content marketplace which expands Shutterstock’s content offerings across footage, image and music. On May 28, 2022, Shutterstock acquired SCP 2020 Limited (“Splash News”), an entertainment news network for newsrooms and media companies, which offers image and video content across celebrity, red carpet and live events.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52" w:lineRule="exact"/>
        <w:rPr>
          <w:sz w:val="20"/>
          <w:szCs w:val="20"/>
          <w:color w:val="auto"/>
        </w:rPr>
      </w:pPr>
    </w:p>
    <w:p>
      <w:pPr>
        <w:ind w:right="340" w:firstLine="395"/>
        <w:spacing w:after="0" w:line="303" w:lineRule="auto"/>
        <w:rPr>
          <w:sz w:val="20"/>
          <w:szCs w:val="20"/>
          <w:color w:val="auto"/>
        </w:rPr>
      </w:pPr>
      <w:r>
        <w:rPr>
          <w:rFonts w:ascii="Times New Roman" w:cs="Times New Roman" w:eastAsia="Times New Roman" w:hAnsi="Times New Roman"/>
          <w:sz w:val="16"/>
          <w:szCs w:val="16"/>
          <w:color w:val="auto"/>
        </w:rPr>
        <w:t>The unaudited condensed consolidated financial statements and accompanying notes have been prepared in accordance with accounting principles generally accepted in the United States of America (“GAAP”) for interim financial information and with the instructions to Form 10-Q and Article 10 of Regulation S-X. Accordingly, these financial statements do not include all information and footnotes required by GAAP for complete financial statements.</w:t>
      </w:r>
    </w:p>
    <w:p>
      <w:pPr>
        <w:spacing w:after="0" w:line="40"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The interim Consolidated Balance Sheet as of September 30, 2022, and the Consolidated Statements of Operations, Comprehensive Income and Stockholders’ Equity for the three and nine months ended September 30, 2022 and 2021, and the Consolidated Statements of Cash Flows for the nine months ended September 30, 2022 and 2021, are unaudited. The Consolidated Balance Sheet as of December 31, 2021, included herein, was derived from the audited financial statements as of that date, but does not include all disclosures required by GAAP. These unaudited interim financial statements have been prepared on a basis consistent with the Company’s annual financial statements and, in the opinion of management, reflect all adjustments, which include all normal recurring adjustments necessary to fairly state the Company’s financial position as of September 30, 2022, and its consolidated results of operations, comprehensive income, stockholders’ equity and cash flows for the three and nine months ended September 30, 2022 and 2021. The financial data and the other financial information disclosed in the notes to the financial statements related to these periods are also unaudited. The results of operations for the nine months ended September 30, 2022 are not necessarily indicative of the results to be expected for the fiscal year ending December 31, 2022 or for any other future annual or interim period.</w:t>
      </w:r>
    </w:p>
    <w:p>
      <w:pPr>
        <w:spacing w:after="0" w:line="89"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Company’s audited consolidated financial statements and notes thereto as of and for the year ended December 31, 2021 included in the Company’s Annual Report on Form 10-K, which was filed with the SEC on February 10, 2022. The unaudited consolidated financial statements include the accounts of the Company and its wholly owned subsidiaries. All intercompany balances and transactions have been eliminated in</w:t>
      </w:r>
    </w:p>
    <w:p>
      <w:pPr>
        <w:spacing w:after="0" w:line="200" w:lineRule="exact"/>
        <w:rPr>
          <w:sz w:val="20"/>
          <w:szCs w:val="20"/>
          <w:color w:val="auto"/>
        </w:rPr>
      </w:pPr>
    </w:p>
    <w:p>
      <w:pPr>
        <w:spacing w:after="0" w:line="35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20"/>
        <w:spacing w:after="0" w:line="396" w:lineRule="auto"/>
        <w:rPr>
          <w:sz w:val="20"/>
          <w:szCs w:val="20"/>
          <w:color w:val="auto"/>
        </w:rPr>
      </w:pPr>
      <w:r>
        <w:rPr>
          <w:rFonts w:ascii="Times New Roman" w:cs="Times New Roman" w:eastAsia="Times New Roman" w:hAnsi="Times New Roman"/>
          <w:sz w:val="18"/>
          <w:szCs w:val="18"/>
          <w:color w:val="auto"/>
        </w:rPr>
        <w:t xml:space="preserve">consolidation. Certain immaterial changes in presentation have been made to conform the prior period presentation to current period reporting. </w:t>
      </w:r>
      <w:r>
        <w:rPr>
          <w:rFonts w:ascii="Times New Roman" w:cs="Times New Roman" w:eastAsia="Times New Roman" w:hAnsi="Times New Roman"/>
          <w:sz w:val="18"/>
          <w:szCs w:val="18"/>
          <w:b w:val="1"/>
          <w:bCs w:val="1"/>
          <w:i w:val="1"/>
          <w:iCs w:val="1"/>
          <w:color w:val="auto"/>
        </w:rPr>
        <w:t>Use of Estimates</w:t>
      </w:r>
    </w:p>
    <w:p>
      <w:pPr>
        <w:spacing w:after="0" w:line="1" w:lineRule="exact"/>
        <w:rPr>
          <w:sz w:val="20"/>
          <w:szCs w:val="20"/>
          <w:color w:val="auto"/>
        </w:rPr>
      </w:pPr>
    </w:p>
    <w:p>
      <w:pPr>
        <w:ind w:right="160" w:firstLine="395"/>
        <w:spacing w:after="0" w:line="249"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cash and cash equivalents consist primarily of bank deposits and money market funds.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113" w:lineRule="exact"/>
        <w:rPr>
          <w:sz w:val="20"/>
          <w:szCs w:val="20"/>
          <w:color w:val="auto"/>
        </w:rPr>
      </w:pPr>
    </w:p>
    <w:p>
      <w:pPr>
        <w:ind w:right="200" w:firstLine="395"/>
        <w:spacing w:after="0" w:line="252" w:lineRule="auto"/>
        <w:rPr>
          <w:sz w:val="20"/>
          <w:szCs w:val="20"/>
          <w:color w:val="auto"/>
        </w:rPr>
      </w:pPr>
      <w:r>
        <w:rPr>
          <w:rFonts w:ascii="Times New Roman" w:cs="Times New Roman" w:eastAsia="Times New Roman" w:hAnsi="Times New Roman"/>
          <w:sz w:val="18"/>
          <w:szCs w:val="18"/>
          <w:color w:val="auto"/>
        </w:rPr>
        <w:t>The Company’s accounts receivable consists of customer obligations due under normal trade terms, carried at their face value less an allowance for doubtful accounts, if required. The Company determines its allowance for doubtful accounts based on an evaluation of (i) the aging of its accounts receivable considering historical receivables loss rates, (ii) on a customer-by-customer basis, where appropriate, and (iii) the economic environments in which the Company operates.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nine months ended September 30, 2022, the Company recorded bad debt expense of $1.0 million. As of September 30, 2022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2021, the Company’s allowance for doubtful accounts was approximately $3.5 million and $1.9 million, respectively. The allowance for doubtful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is included as a reduction of accounts receivable on the Consolidated Balance Sheets.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Chargeback and Sales Refund Allowance</w:t>
      </w:r>
    </w:p>
    <w:p>
      <w:pPr>
        <w:spacing w:after="0" w:line="113" w:lineRule="exact"/>
        <w:rPr>
          <w:sz w:val="20"/>
          <w:szCs w:val="20"/>
          <w:color w:val="auto"/>
        </w:rPr>
      </w:pPr>
    </w:p>
    <w:p>
      <w:pPr>
        <w:ind w:right="440" w:firstLine="395"/>
        <w:spacing w:after="0" w:line="303" w:lineRule="auto"/>
        <w:rPr>
          <w:sz w:val="20"/>
          <w:szCs w:val="20"/>
          <w:color w:val="auto"/>
        </w:rPr>
      </w:pPr>
      <w:r>
        <w:rPr>
          <w:rFonts w:ascii="Times New Roman" w:cs="Times New Roman" w:eastAsia="Times New Roman" w:hAnsi="Times New Roman"/>
          <w:sz w:val="16"/>
          <w:szCs w:val="16"/>
          <w:color w:val="auto"/>
        </w:rPr>
        <w:t>The Company establishes a chargeback allowance and sales refund reserve allowance based on factors surrounding historical credit card chargeback trends, historical sales refund trends and other information. As of September 30, 2022 and December 31, 2021, the Company’s combined allowance for chargebacks and sales refunds was $0.4 million, which was included as a component of other current liabilities on the Consolidated Balance Sheets.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3"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The majority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Subsequent to the acquisition of PicMonkey, the Company also generates revenue from tools made available through the Company’s platform.</w:t>
      </w:r>
    </w:p>
    <w:p>
      <w:pPr>
        <w:spacing w:after="0" w:line="118"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The Company recognizes revenue upon the satisfaction of performance obligations. For content licenses, the Company recognizes revenue on both its subscription-based and transaction-based products when content is downloaded by a customer, at which time the license is provided. In addition, the Company estimates expected unused licenses for subscription-based products and recognizes the revenue associated with the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For revenue associated with tools made available through the Company’s platform, revenue is recognized on a straight-line basis over the subscription period. The Company expenses contract acquisition costs as incurred, to the extent that the amortization period would otherwise be one year or less.</w:t>
      </w:r>
    </w:p>
    <w:p>
      <w:pPr>
        <w:spacing w:after="0" w:line="108"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Collectability is reasonably assured at the time the electronic order or contract is entered. The majority of the Company’s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200" w:lineRule="exact"/>
        <w:rPr>
          <w:sz w:val="20"/>
          <w:szCs w:val="20"/>
          <w:color w:val="auto"/>
        </w:rPr>
      </w:pPr>
    </w:p>
    <w:p>
      <w:pPr>
        <w:spacing w:after="0" w:line="39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52" w:lineRule="exact"/>
        <w:rPr>
          <w:sz w:val="20"/>
          <w:szCs w:val="20"/>
          <w:color w:val="auto"/>
        </w:rPr>
      </w:pPr>
    </w:p>
    <w:p>
      <w:pPr>
        <w:ind w:right="820" w:firstLine="395"/>
        <w:spacing w:after="0" w:line="268" w:lineRule="auto"/>
        <w:rPr>
          <w:sz w:val="20"/>
          <w:szCs w:val="20"/>
          <w:color w:val="auto"/>
        </w:rPr>
      </w:pPr>
      <w:r>
        <w:rPr>
          <w:rFonts w:ascii="Times New Roman" w:cs="Times New Roman" w:eastAsia="Times New Roman" w:hAnsi="Times New Roman"/>
          <w:sz w:val="18"/>
          <w:szCs w:val="18"/>
          <w:color w:val="auto"/>
        </w:rPr>
        <w:t>Interest expense is comprised of borrowing costs on debt. In addition, interest expense includes amortization of debt issuance costs and unused commitment fees associated with the Company’s credit facility.</w:t>
      </w:r>
    </w:p>
    <w:p>
      <w:pPr>
        <w:spacing w:after="0" w:line="64"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Debt issuance costs are recorded in prepaid expenses and other current assets and other assets in the Consolidated Balance Sheets and are amortized over the term of the credit facility.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 and Long-term Investments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3" w:lineRule="exact"/>
        <w:rPr>
          <w:sz w:val="20"/>
          <w:szCs w:val="20"/>
          <w:color w:val="auto"/>
        </w:rPr>
      </w:pPr>
    </w:p>
    <w:p>
      <w:pPr>
        <w:ind w:right="440" w:firstLine="395"/>
        <w:spacing w:after="0" w:line="268" w:lineRule="auto"/>
        <w:rPr>
          <w:sz w:val="20"/>
          <w:szCs w:val="20"/>
          <w:color w:val="auto"/>
        </w:rPr>
      </w:pPr>
      <w:r>
        <w:rPr>
          <w:rFonts w:ascii="Times New Roman" w:cs="Times New Roman" w:eastAsia="Times New Roman" w:hAnsi="Times New Roman"/>
          <w:sz w:val="18"/>
          <w:szCs w:val="18"/>
          <w:color w:val="auto"/>
        </w:rPr>
        <w:t>The Company had no assets or liabilities requiring fair value hierarchy disclosures as of September 30, 2022 or December 31, 2021, except as noted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58"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Cash equivalents include money market accounts and are classified as a level 1 measurement based on quoted prices in active markets for identical assets that the reporting entity can access at the measurement date. As of December 31, 2021, the Company had cash equivalent balances of $195.1 million. As of September 30, 2022, the Company did not have any cash equivalent balances.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Fair Value Measurements</w:t>
      </w:r>
    </w:p>
    <w:p>
      <w:pPr>
        <w:spacing w:after="0" w:line="58"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accrued expenses approximate fair value because of the short-term nature of these instruments. Debt consists of principal amounts outstanding under our credit facility, which approximates fair value as underlying interest rates are reset regularly based on current market rates and is classified as Level 2. The Company’s non-financial assets, which include property and equipment, intangible assets and goodwill, are not required to be measured at fair value on a recurring basis. However, if the Company is required to evaluate a non-financial asset for impairment, whether due to certain triggering events or because annual impairment testing is required, a resulting asset impairment would require that the non-financial asset be recorded at fair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p>
      <w:pPr>
        <w:spacing w:after="0" w:line="150" w:lineRule="exact"/>
        <w:rPr>
          <w:sz w:val="20"/>
          <w:szCs w:val="20"/>
          <w:color w:val="auto"/>
        </w:rPr>
      </w:pPr>
    </w:p>
    <w:p>
      <w:pPr>
        <w:jc w:val="both"/>
        <w:ind w:right="320" w:firstLine="395"/>
        <w:spacing w:after="0" w:line="252" w:lineRule="auto"/>
        <w:rPr>
          <w:sz w:val="20"/>
          <w:szCs w:val="20"/>
          <w:color w:val="auto"/>
        </w:rPr>
      </w:pPr>
      <w:r>
        <w:rPr>
          <w:rFonts w:ascii="Times New Roman" w:cs="Times New Roman" w:eastAsia="Times New Roman" w:hAnsi="Times New Roman"/>
          <w:sz w:val="18"/>
          <w:szCs w:val="18"/>
          <w:color w:val="auto"/>
        </w:rPr>
        <w:t>As of September 30, 2022 and December 31, 2021, the Company’s long-term investments were in equity securities with no readily determinable fair value, totaled $20.0 million, and were reported within other assets on the Consolidated Balance Sheets. The Company uses the measurement alternative for these equity investments and their carrying value is reported at cost, adjusted for impairments or any observable price changes in ordinary transactions with identical or similar investments.</w:t>
      </w:r>
    </w:p>
    <w:p>
      <w:pPr>
        <w:spacing w:after="0" w:line="104"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On a quarterly basis, the Company evaluates the carrying value of its long-term investments for impairment, which includes an assessment of revenue growth, earnings performance, working capital and general market conditions. As of September 30, 2022, no adjustments to the carrying values of the Company’s long-term investments were identified as a result of this assessment. Changes in performance negatively impacting operating results and cash flows of these investments could result in the Company recording an impairment charge in future periods.</w:t>
      </w:r>
    </w:p>
    <w:p>
      <w:pPr>
        <w:spacing w:after="0" w:line="200" w:lineRule="exact"/>
        <w:rPr>
          <w:sz w:val="20"/>
          <w:szCs w:val="20"/>
          <w:color w:val="auto"/>
        </w:rPr>
      </w:pPr>
    </w:p>
    <w:p>
      <w:pPr>
        <w:spacing w:after="0" w:line="297" w:lineRule="exact"/>
        <w:rPr>
          <w:sz w:val="20"/>
          <w:szCs w:val="20"/>
          <w:color w:val="auto"/>
        </w:rPr>
      </w:pPr>
    </w:p>
    <w:p>
      <w:pPr>
        <w:jc w:val="right"/>
        <w:ind w:left="400" w:right="10020" w:hanging="395"/>
        <w:spacing w:after="0" w:line="413" w:lineRule="auto"/>
        <w:tabs>
          <w:tab w:leader="none" w:pos="244"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Acquisitions </w:t>
      </w:r>
      <w:r>
        <w:rPr>
          <w:rFonts w:ascii="Times New Roman" w:cs="Times New Roman" w:eastAsia="Times New Roman" w:hAnsi="Times New Roman"/>
          <w:sz w:val="16"/>
          <w:szCs w:val="16"/>
          <w:i w:val="1"/>
          <w:iCs w:val="1"/>
          <w:color w:val="auto"/>
        </w:rPr>
        <w:t>Pond5, Inc.</w:t>
      </w:r>
    </w:p>
    <w:p>
      <w:pPr>
        <w:spacing w:after="0" w:line="303" w:lineRule="auto"/>
        <w:rPr>
          <w:sz w:val="20"/>
          <w:szCs w:val="20"/>
          <w:color w:val="auto"/>
        </w:rPr>
      </w:pPr>
      <w:r>
        <w:rPr>
          <w:rFonts w:ascii="Times New Roman" w:cs="Times New Roman" w:eastAsia="Times New Roman" w:hAnsi="Times New Roman"/>
          <w:sz w:val="16"/>
          <w:szCs w:val="16"/>
          <w:color w:val="auto"/>
        </w:rPr>
        <w:t>On May 11, 2022, the Company completed its acquisition of Pond5, for approximately $218.0 million. The total purchase price was paid with existing cash on hand as well as a $50 million drawdown on a newly established revolving credit facility (See Note 7). In connection with the acquisition, the Company incurred approximately $3.6 million of transaction costs, which is included in general and administrative expenses on the Consolidated Statements of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149225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00" w:firstLine="395"/>
        <w:spacing w:after="0" w:line="268" w:lineRule="auto"/>
        <w:rPr>
          <w:sz w:val="20"/>
          <w:szCs w:val="20"/>
          <w:color w:val="auto"/>
        </w:rPr>
      </w:pPr>
      <w:r>
        <w:rPr>
          <w:rFonts w:ascii="Times New Roman" w:cs="Times New Roman" w:eastAsia="Times New Roman" w:hAnsi="Times New Roman"/>
          <w:sz w:val="18"/>
          <w:szCs w:val="18"/>
          <w:color w:val="auto"/>
        </w:rPr>
        <w:t>Pond5 is a New York based company that operates a video-first content marketplace for royalty-free and editorial video. The Company believes its acquisition of this video-first content marketplace provides expanded offerings across footage, image and music.</w:t>
      </w:r>
    </w:p>
    <w:p>
      <w:pPr>
        <w:spacing w:after="0" w:line="64"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The identifiable intangible assets, which include customer relationships, developed technology and trade names have weighted average useful lives of approximately 14.2 years, 5 years and 10 years, respectively. The goodwill arising from the transaction is primarily attributable to expected operational synergies and is not deductible for income tax purposes.</w:t>
      </w:r>
    </w:p>
    <w:p>
      <w:pPr>
        <w:spacing w:after="0" w:line="200" w:lineRule="exact"/>
        <w:rPr>
          <w:sz w:val="20"/>
          <w:szCs w:val="20"/>
          <w:color w:val="auto"/>
        </w:rPr>
      </w:pPr>
    </w:p>
    <w:p>
      <w:pPr>
        <w:spacing w:after="0" w:line="25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Splash News</w:t>
      </w:r>
    </w:p>
    <w:p>
      <w:pPr>
        <w:spacing w:after="0" w:line="111" w:lineRule="exact"/>
        <w:rPr>
          <w:sz w:val="20"/>
          <w:szCs w:val="20"/>
          <w:color w:val="auto"/>
        </w:rPr>
      </w:pPr>
    </w:p>
    <w:p>
      <w:pPr>
        <w:jc w:val="both"/>
        <w:ind w:right="520" w:firstLine="395"/>
        <w:spacing w:after="0" w:line="256" w:lineRule="auto"/>
        <w:rPr>
          <w:sz w:val="20"/>
          <w:szCs w:val="20"/>
          <w:color w:val="auto"/>
        </w:rPr>
      </w:pPr>
      <w:r>
        <w:rPr>
          <w:rFonts w:ascii="Times New Roman" w:cs="Times New Roman" w:eastAsia="Times New Roman" w:hAnsi="Times New Roman"/>
          <w:sz w:val="18"/>
          <w:szCs w:val="18"/>
          <w:color w:val="auto"/>
        </w:rPr>
        <w:t>On May 28, 2022, the Company completed its acquisition of Splash News, for approximately $6.3 million. The total purchase price was paid with existing cash on hand in the three months ended June 30, 2022. In connection with the acquisition, the Company incurred approximately $0.3 million of transaction costs, which is included in general and administrative expenses on the Consolidated Statements of Operations.</w:t>
      </w:r>
    </w:p>
    <w:p>
      <w:pPr>
        <w:spacing w:after="0" w:line="75" w:lineRule="exact"/>
        <w:rPr>
          <w:sz w:val="20"/>
          <w:szCs w:val="20"/>
          <w:color w:val="auto"/>
        </w:rPr>
      </w:pP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Splash News is a United Kingdom based entertainment news network and is a source for image and video content across celebrity, red carpet and live events. The Company believes this acquisition expands Shutterstock Editorial’s Newsroom offering for access to premium exclusive content.</w:t>
      </w:r>
    </w:p>
    <w:p>
      <w:pPr>
        <w:spacing w:after="0" w:line="64"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The identifiable intangible asset, developed technology, has a useful life of approximately 4 years. The goodwill arising from the transaction is primarily attributable to expected operational synergies and is not deductible for income tax purposes.</w:t>
      </w:r>
    </w:p>
    <w:p>
      <w:pPr>
        <w:spacing w:after="0" w:line="64"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The Pond5 and Splash News transactions were accounted for using the acquisition method and, accordingly, the results of the acquired businesses have been included in the Company’s results of operations from the respective acquisition dates. For the three and nine months ended September 30, 2022, revenue of $13.1 million and $20.3 million, respectively, was included in the Consolidated Statements of Operations related to these acquired companies. The fair value of consideration transferred in these business combinations has been allocated to the intangible and tangible assets acquired and liabilities assumed at the acquisition date, with the remaining unallocated amount recorded as goodwill. The identifiable intangible assets of these acquisitions are being amortized on a straight-line basis. The fair value of the customer relationships was determined using a variation of the income approach known as the multiple-period excess earnings method. The fair value of the trade name was determined using the relief-from-royalty method, and the fair value of the developed technology was determined using the relief-from-royalty and the cost to recreate methods.</w:t>
      </w:r>
    </w:p>
    <w:p>
      <w:pPr>
        <w:spacing w:after="0" w:line="200" w:lineRule="exact"/>
        <w:rPr>
          <w:sz w:val="20"/>
          <w:szCs w:val="20"/>
          <w:color w:val="auto"/>
        </w:rPr>
      </w:pPr>
    </w:p>
    <w:p>
      <w:pPr>
        <w:spacing w:after="0" w:line="35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purchase price for these acquisitions has been allocated to the assets acquired and liabilities assumed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 (in thousands):</w:t>
            </w: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Pond5</w:t>
            </w:r>
            <w:r>
              <w:rPr>
                <w:rFonts w:ascii="Times New Roman" w:cs="Times New Roman" w:eastAsia="Times New Roman" w:hAnsi="Times New Roman"/>
                <w:sz w:val="18"/>
                <w:szCs w:val="18"/>
                <w:b w:val="1"/>
                <w:bCs w:val="1"/>
                <w:color w:val="auto"/>
                <w:vertAlign w:val="superscript"/>
              </w:rPr>
              <w:t>1</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Splash News</w:t>
            </w:r>
            <w:r>
              <w:rPr>
                <w:rFonts w:ascii="Times New Roman" w:cs="Times New Roman" w:eastAsia="Times New Roman" w:hAnsi="Times New Roman"/>
                <w:sz w:val="18"/>
                <w:szCs w:val="18"/>
                <w:b w:val="1"/>
                <w:bCs w:val="1"/>
                <w:color w:val="auto"/>
                <w:vertAlign w:val="superscript"/>
              </w:rPr>
              <w:t>1</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11,675</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11,855</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 of use asset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r>
      <w:tr>
        <w:trPr>
          <w:trHeight w:val="209"/>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2"/>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relationships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34,900</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34,900</w:t>
            </w:r>
          </w:p>
        </w:tc>
      </w:tr>
      <w:tr>
        <w:trPr>
          <w:trHeight w:val="209"/>
        </w:trPr>
        <w:tc>
          <w:tcPr>
            <w:tcW w:w="6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Trade name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w:t>
            </w:r>
          </w:p>
        </w:tc>
      </w:tr>
      <w:tr>
        <w:trPr>
          <w:trHeight w:val="212"/>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Developed technology</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27,600</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28,863</w:t>
            </w:r>
          </w:p>
        </w:tc>
      </w:tr>
      <w:tr>
        <w:trPr>
          <w:trHeight w:val="202"/>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67,800</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69,063</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158,957</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5,565</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164,522</w:t>
            </w:r>
          </w:p>
        </w:tc>
      </w:tr>
      <w:tr>
        <w:trPr>
          <w:trHeight w:val="20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242,481</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8,033</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250,514</w:t>
            </w:r>
          </w:p>
        </w:tc>
      </w:tr>
      <w:tr>
        <w:trPr>
          <w:trHeight w:val="204"/>
        </w:trPr>
        <w:tc>
          <w:tcPr>
            <w:tcW w:w="6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(9,304)</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(10,832)</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tax liability</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(6,381)</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(6,570)</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Lease liability</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w:t>
            </w:r>
          </w:p>
        </w:tc>
      </w:tr>
      <w:tr>
        <w:trPr>
          <w:trHeight w:val="202"/>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(24,467)</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(26,184)</w:t>
            </w:r>
          </w:p>
        </w:tc>
      </w:tr>
      <w:tr>
        <w:trPr>
          <w:trHeight w:val="231"/>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218,014</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6,316</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224,330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____________________________________________________</w:t>
      </w:r>
    </w:p>
    <w:p>
      <w:pPr>
        <w:spacing w:after="0" w:line="147" w:lineRule="exact"/>
        <w:rPr>
          <w:sz w:val="20"/>
          <w:szCs w:val="20"/>
          <w:color w:val="auto"/>
        </w:rPr>
      </w:pPr>
    </w:p>
    <w:p>
      <w:pPr>
        <w:ind w:right="40" w:firstLine="5"/>
        <w:spacing w:after="0" w:line="219" w:lineRule="auto"/>
        <w:tabs>
          <w:tab w:leader="none" w:pos="101"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allocation of the purchase price is preliminary and will be finalized within the allowable measurement period once independent valuations of the fair value of the assets acquired and liabilities assumed are completed. During the three months ended September 30, 2022, the Company updated its preliminary allocation of the Pond5 purchase price to the assets acquired and liabilities assumed. This resulted in a (i) $4.0 million increase to goodwill, (ii) a $4.1 million decrease to intangible assets, including a $7.0 million decrease to the value of customer relationships, partially offset by a $2.3 million increase to the value of the developed technology, and (iii) other immaterial adjustments.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Acquisitions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PicMonkey, LLC</w:t>
      </w:r>
    </w:p>
    <w:p>
      <w:pPr>
        <w:spacing w:after="0" w:line="111"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On September 3, 2021, the Company completed the acquisition of substantially all of the assets and assumption of certain liabilities from PicMonkey, for approximately $109.4 million. The total purchase price was paid with existing cash on hand in the three months ended September 30, 2021. In connection with the acquisition, the Company incurred approximately $2 million of transaction costs, which is included in general and administrative expenses on the Consolidated Statements of Operations.</w:t>
      </w:r>
    </w:p>
    <w:p>
      <w:pPr>
        <w:spacing w:after="0" w:line="78"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PicMonkey is a Washington-based company that operates an online graphic design and image editing platform that enables creators of any skill level to design high-quality visual assets. The Company believes this acquisition provides Shutterstock’s global customer community with professional-grade, easy-to-use design tools.</w:t>
      </w:r>
    </w:p>
    <w:p>
      <w:pPr>
        <w:spacing w:after="0" w:line="75"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identifiable intangible assets, which include customer relationships, developed technology and trade names, have weighted average lives of approximately 12 years, 5 years and 10 years, respectively. The goodwill arising from the transaction is primarily attributable to expected operational synergies and is expected to be deductible for income tax purposes.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TurboSquid, Inc.</w:t>
      </w:r>
    </w:p>
    <w:p>
      <w:pPr>
        <w:spacing w:after="0" w:line="111"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On February 1, 2021, the Company completed its acquisition of TurboSquid, Inc. (“TurboSquid”), for approximately $77.3 million. The total purchase price was paid with existing cash on hand in the three months ended March 31, 2021. In connection with the acquisition, the Company incurred approximately $1.6 million of transaction costs, which is included in general and administrative expenses on the Consolidated Statements of Operations.</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0" w:firstLine="395"/>
        <w:spacing w:after="0" w:line="256" w:lineRule="auto"/>
        <w:rPr>
          <w:sz w:val="20"/>
          <w:szCs w:val="20"/>
          <w:color w:val="auto"/>
        </w:rPr>
      </w:pPr>
      <w:r>
        <w:rPr>
          <w:rFonts w:ascii="Times New Roman" w:cs="Times New Roman" w:eastAsia="Times New Roman" w:hAnsi="Times New Roman"/>
          <w:sz w:val="18"/>
          <w:szCs w:val="18"/>
          <w:color w:val="auto"/>
        </w:rPr>
        <w:t>TurboSquid is a Louisiana-based company that operates a marketplace offering more than one million 3D models, a marketplace for 2D images derived from 3D objects and a digital asset management solution. The Company believes this acquisition establishes Shutterstock as the premium destination for 3D models as well as 3D models in an easy-to-use 2D format.</w:t>
      </w:r>
    </w:p>
    <w:p>
      <w:pPr>
        <w:spacing w:after="0" w:line="75"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The identifiable intangible assets, which include customer relationships, developed technology, trade names and contributor content, have weighted average useful lives of approximately 12 years, 4.7 years, 10 years and 4 years, respectively. The goodwill arising from the transaction is primarily attributable to expected operational synergies and is not deductible for income tax purposes.</w:t>
      </w:r>
    </w:p>
    <w:p>
      <w:pPr>
        <w:spacing w:after="0" w:line="200" w:lineRule="exact"/>
        <w:rPr>
          <w:sz w:val="20"/>
          <w:szCs w:val="20"/>
          <w:color w:val="auto"/>
        </w:rPr>
      </w:pPr>
    </w:p>
    <w:p>
      <w:pPr>
        <w:spacing w:after="0" w:line="217"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The PicMonkey and TurboSquid transactions were accounted for using the acquisition method and, accordingly, the results of the acquired businesses have been included in the Company’s results of operations from the respective acquisition dates. The fair value of consideration transferred in these business combinations has been allocated to the intangible and tangible assets acquired and liabilities assumed at the acquisition date, with the remaining unallocated amount recorded as goodwill. The identifiable intangible assets of these acquisitions are being amortized on a straight-line basis. The fair value of the customer relationships was determined using a variation of the income approach known as the multiple-period excess earnings method. The fair value of the trade names and developed technology were determined using the relief-from-royalty method, and the fair value of the contributor content was determined using the cost-to-recreate method.</w:t>
      </w:r>
    </w:p>
    <w:p>
      <w:pPr>
        <w:spacing w:after="0" w:line="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purchase price for these acquisitions has been allocated to the assets acquired and liabilities assumed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 (in thousands):</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PicMonkey</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TurboSquid</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2"/>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5,165</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5,165</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and equipment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 of use asset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r>
      <w:tr>
        <w:trPr>
          <w:trHeight w:val="209"/>
        </w:trPr>
        <w:tc>
          <w:tcPr>
            <w:tcW w:w="6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2"/>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Customer relationships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37,800</w:t>
            </w:r>
          </w:p>
        </w:tc>
      </w:tr>
      <w:tr>
        <w:trPr>
          <w:trHeight w:val="209"/>
        </w:trPr>
        <w:tc>
          <w:tcPr>
            <w:tcW w:w="6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Trade name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w:t>
            </w:r>
          </w:p>
        </w:tc>
      </w:tr>
      <w:tr>
        <w:trPr>
          <w:trHeight w:val="212"/>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Developed technology</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20,700</w:t>
            </w:r>
          </w:p>
        </w:tc>
      </w:tr>
      <w:tr>
        <w:trPr>
          <w:trHeight w:val="209"/>
        </w:trPr>
        <w:tc>
          <w:tcPr>
            <w:tcW w:w="6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Contributor content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06"/>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Intangible assets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44,700</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21,500</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66,200</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71,607</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59,491</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131,098</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tax asset</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r>
      <w:tr>
        <w:trPr>
          <w:trHeight w:val="202"/>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120,685</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88,181</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208,866</w:t>
            </w:r>
          </w:p>
        </w:tc>
      </w:tr>
      <w:tr>
        <w:trPr>
          <w:trHeight w:val="35"/>
        </w:trPr>
        <w:tc>
          <w:tcPr>
            <w:tcW w:w="6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1"/>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(4,685)</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(8,557)</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(8,557)</w:t>
            </w:r>
          </w:p>
        </w:tc>
      </w:tr>
      <w:tr>
        <w:trPr>
          <w:trHeight w:val="209"/>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tax liability</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(3,923)</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(4,456)</w:t>
            </w:r>
          </w:p>
        </w:tc>
      </w:tr>
      <w:tr>
        <w:trPr>
          <w:trHeight w:val="212"/>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Lease liability</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r>
      <w:tr>
        <w:trPr>
          <w:trHeight w:val="202"/>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(11,290)</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(22,141)</w:t>
            </w:r>
          </w:p>
        </w:tc>
      </w:tr>
      <w:tr>
        <w:trPr>
          <w:trHeight w:val="231"/>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109,395</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77,330</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186,725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Pro-Forma Financial Information (unaudited)</w:t>
      </w:r>
    </w:p>
    <w:p>
      <w:pPr>
        <w:spacing w:after="0" w:line="111" w:lineRule="exact"/>
        <w:rPr>
          <w:sz w:val="20"/>
          <w:szCs w:val="20"/>
          <w:color w:val="auto"/>
        </w:rPr>
      </w:pPr>
    </w:p>
    <w:p>
      <w:pPr>
        <w:ind w:right="160" w:firstLine="395"/>
        <w:spacing w:after="0" w:line="283" w:lineRule="auto"/>
        <w:rPr>
          <w:sz w:val="20"/>
          <w:szCs w:val="20"/>
          <w:color w:val="auto"/>
        </w:rPr>
      </w:pPr>
      <w:r>
        <w:rPr>
          <w:rFonts w:ascii="Times New Roman" w:cs="Times New Roman" w:eastAsia="Times New Roman" w:hAnsi="Times New Roman"/>
          <w:sz w:val="16"/>
          <w:szCs w:val="16"/>
          <w:color w:val="auto"/>
        </w:rPr>
        <w:t>The following unaudited pro forma consolidated financial information (in thousands) reflects the results of operations of the Company for the three and nine months ended September 30, 2022 and 2021, as if the Pond5 and Splash News acquisitions had been completed on January 1, 2021 and as if the TurboSquid and PicMonkey acquisitions had been completed on January 1, 2020, after giving effect to certain purchase accounting adjustments, primarily related to intangible assets and transaction costs. These pro forma results have been prepared for comparative purposes only and are not necessarily indicative of what the Company’s operating results would have been, had the acquisitions actually taken place at the beginning of the previous annual period.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20" w:type="dxa"/>
            <w:vAlign w:val="bottom"/>
            <w:gridSpan w:val="4"/>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1"/>
        </w:trPr>
        <w:tc>
          <w:tcPr>
            <w:tcW w:w="54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194,439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610,100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567,632</w:t>
            </w:r>
          </w:p>
        </w:tc>
      </w:tr>
      <w:tr>
        <w:trPr>
          <w:trHeight w:val="209"/>
        </w:trPr>
        <w:tc>
          <w:tcPr>
            <w:tcW w:w="5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213,350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630,383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630,666</w:t>
            </w:r>
          </w:p>
        </w:tc>
      </w:tr>
      <w:tr>
        <w:trPr>
          <w:trHeight w:val="21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54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27,139</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20,420</w:t>
            </w:r>
          </w:p>
        </w:tc>
        <w:tc>
          <w:tcPr>
            <w:tcW w:w="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82,528</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90,624</w:t>
            </w:r>
          </w:p>
        </w:tc>
      </w:tr>
      <w:tr>
        <w:trPr>
          <w:trHeight w:val="21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23,253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is summarized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r>
      <w:tr>
        <w:trPr>
          <w:trHeight w:val="24"/>
        </w:trPr>
        <w:tc>
          <w:tcPr>
            <w:tcW w:w="79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52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250,600</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221,429</w:t>
            </w: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10,238</w:t>
            </w: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19,876</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19,453</w:t>
            </w:r>
          </w:p>
        </w:tc>
      </w:tr>
      <w:tr>
        <w:trPr>
          <w:trHeight w:val="20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280,693</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251,120</w:t>
            </w: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(225,552)</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(203,046)</w:t>
            </w:r>
          </w:p>
        </w:tc>
      </w:tr>
      <w:tr>
        <w:trPr>
          <w:trHeight w:val="20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55,141</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48,074</w:t>
            </w:r>
          </w:p>
        </w:tc>
      </w:tr>
      <w:tr>
        <w:trPr>
          <w:trHeight w:val="21"/>
        </w:trPr>
        <w:tc>
          <w:tcPr>
            <w:tcW w:w="7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$8.7 million and $7.9 million for the three months ended September 30, 2022 and 2021, respectively, and $25.0 million and $23.8 million for the nine months ended September 30, 2022 and 2021, respectively. Cost of revenues included depreciation expense of $8.0 million and $7.1 million for the three months ended September 30, 2022 and 2021, respectively, and $22.7 million and $21.3 million for the nine months ended September 30, 2022 and 2021, respectively. General and administrative expense included depreciation expense of $0.8 million and $0.8 million for the three months ended September 30, 2022 and 2021, respectively, and $2.3 million and $2.5 million for the nine months ended September 30, 2022 and 2021,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Internal-Use Software</w:t>
      </w:r>
    </w:p>
    <w:p>
      <w:pPr>
        <w:spacing w:after="0" w:line="58" w:lineRule="exact"/>
        <w:rPr>
          <w:sz w:val="20"/>
          <w:szCs w:val="20"/>
          <w:color w:val="auto"/>
        </w:rPr>
      </w:pPr>
    </w:p>
    <w:p>
      <w:pPr>
        <w:ind w:right="360" w:firstLine="395"/>
        <w:spacing w:after="0" w:line="303" w:lineRule="auto"/>
        <w:rPr>
          <w:sz w:val="20"/>
          <w:szCs w:val="20"/>
          <w:color w:val="auto"/>
        </w:rPr>
      </w:pPr>
      <w:r>
        <w:rPr>
          <w:rFonts w:ascii="Times New Roman" w:cs="Times New Roman" w:eastAsia="Times New Roman" w:hAnsi="Times New Roman"/>
          <w:sz w:val="16"/>
          <w:szCs w:val="16"/>
          <w:color w:val="auto"/>
        </w:rPr>
        <w:t>The Company capitalized costs related to the development of internal-use software of $10.9 million and $6.7 million for the three months ended September 30, 2022 and 2021, respectively, and $31.1 million and $20.9 million for the nine months ended September 30, 2022 and 2021, respectively. Capitalized amounts are included as a component of property and equipment under computer equipment and software on the Consolidated Balance Sheets.</w:t>
      </w:r>
    </w:p>
    <w:p>
      <w:pPr>
        <w:spacing w:after="0" w:line="40" w:lineRule="exact"/>
        <w:rPr>
          <w:sz w:val="20"/>
          <w:szCs w:val="20"/>
          <w:color w:val="auto"/>
        </w:rPr>
      </w:pPr>
    </w:p>
    <w:p>
      <w:pPr>
        <w:jc w:val="both"/>
        <w:ind w:right="580" w:firstLine="395"/>
        <w:spacing w:after="0" w:line="303" w:lineRule="auto"/>
        <w:rPr>
          <w:sz w:val="20"/>
          <w:szCs w:val="20"/>
          <w:color w:val="auto"/>
        </w:rPr>
      </w:pPr>
      <w:r>
        <w:rPr>
          <w:rFonts w:ascii="Times New Roman" w:cs="Times New Roman" w:eastAsia="Times New Roman" w:hAnsi="Times New Roman"/>
          <w:sz w:val="16"/>
          <w:szCs w:val="16"/>
          <w:color w:val="auto"/>
        </w:rPr>
        <w:t>The portion of total depreciation expense related to capitalized internal-use software was $7.6 million and $6.7 million for the three months ended September 30, 2022 and 2021, respectively, and $21.6 million and $20.1 million for the nine months ended September 30, 2022 and 2021, respectively. Depreciation expense related to capitalized internal-use software is included in cost of revenue in the Consolidated Statements of Operations.</w:t>
      </w:r>
    </w:p>
    <w:p>
      <w:pPr>
        <w:spacing w:after="0" w:line="40"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capitalized internal-use software of $48.4 million and $39.0 million, respectively, net of accumulated depreciation, which was included in property and equipment, net.</w:t>
      </w:r>
    </w:p>
    <w:p>
      <w:pPr>
        <w:spacing w:after="0" w:line="200" w:lineRule="exact"/>
        <w:rPr>
          <w:sz w:val="20"/>
          <w:szCs w:val="20"/>
          <w:color w:val="auto"/>
        </w:rPr>
      </w:pPr>
    </w:p>
    <w:p>
      <w:pPr>
        <w:spacing w:after="0" w:line="3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3"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The Company’s goodwill balance is attributable to its Content reporting unit and is tested for impairment annually on October 1 or upon a triggering event. No triggering events were identified during the nine months ended September 30, 2022.</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summarizes the changes in the Company’s goodwill balance during the nine months ended September 30, 2022 (in thousands):</w:t>
      </w:r>
    </w:p>
    <w:p>
      <w:pPr>
        <w:spacing w:after="0" w:line="60"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42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Goodwill related to acquisitions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35495" cy="133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September 30, 2022</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1163" w:hanging="1163"/>
        <w:spacing w:after="0"/>
        <w:tabs>
          <w:tab w:leader="none" w:pos="116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219,816</w:t>
      </w:r>
    </w:p>
    <w:p>
      <w:pPr>
        <w:spacing w:after="0" w:line="26" w:lineRule="exact"/>
        <w:rPr>
          <w:rFonts w:ascii="Times New Roman" w:cs="Times New Roman" w:eastAsia="Times New Roman" w:hAnsi="Times New Roman"/>
          <w:sz w:val="16"/>
          <w:szCs w:val="16"/>
          <w:color w:val="auto"/>
        </w:rPr>
      </w:pPr>
    </w:p>
    <w:p>
      <w:pPr>
        <w:ind w:left="116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164,522</w:t>
      </w:r>
    </w:p>
    <w:p>
      <w:pPr>
        <w:spacing w:after="0" w:line="26" w:lineRule="exact"/>
        <w:rPr>
          <w:rFonts w:ascii="Times New Roman" w:cs="Times New Roman" w:eastAsia="Times New Roman" w:hAnsi="Times New Roman"/>
          <w:sz w:val="16"/>
          <w:szCs w:val="16"/>
          <w:color w:val="auto"/>
        </w:rPr>
      </w:pPr>
    </w:p>
    <w:p>
      <w:pPr>
        <w:ind w:left="126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(4,833)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195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spacing w:after="0" w:line="31" w:lineRule="exact"/>
        <w:rPr>
          <w:sz w:val="20"/>
          <w:szCs w:val="20"/>
          <w:color w:val="auto"/>
        </w:rPr>
      </w:pPr>
    </w:p>
    <w:p>
      <w:pPr>
        <w:ind w:left="1163" w:hanging="1163"/>
        <w:spacing w:after="0"/>
        <w:tabs>
          <w:tab w:leader="none" w:pos="1163"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379,505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1195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9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42545</wp:posOffset>
            </wp:positionV>
            <wp:extent cx="11195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777" w:space="720"/>
            <w:col w:w="1743"/>
          </w:cols>
          <w:pgMar w:left="320" w:top="121" w:right="3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Intangible assets consisted of the following as of September 30, 2022 and December 31, 2021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6"/>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As of September 30, 2022</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6"/>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center"/>
              <w:ind w:right="44"/>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 w:type="dxa"/>
            <w:vAlign w:val="bottom"/>
          </w:tcPr>
          <w:p>
            <w:pPr>
              <w:spacing w:after="0"/>
              <w:rPr>
                <w:sz w:val="10"/>
                <w:szCs w:val="10"/>
                <w:color w:val="auto"/>
              </w:rPr>
            </w:pPr>
          </w:p>
        </w:tc>
        <w:tc>
          <w:tcPr>
            <w:tcW w:w="900" w:type="dxa"/>
            <w:vAlign w:val="bottom"/>
          </w:tcPr>
          <w:p>
            <w:pPr>
              <w:jc w:val="center"/>
              <w:ind w:right="124"/>
              <w:spacing w:after="0" w:line="125"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center"/>
              <w:ind w:right="44"/>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900" w:type="dxa"/>
            <w:vAlign w:val="bottom"/>
          </w:tcPr>
          <w:p>
            <w:pPr>
              <w:jc w:val="center"/>
              <w:ind w:right="104"/>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5"/>
        </w:trPr>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44"/>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 Life</w:t>
            </w:r>
          </w:p>
        </w:tc>
        <w:tc>
          <w:tcPr>
            <w:tcW w:w="180" w:type="dxa"/>
            <w:vAlign w:val="bottom"/>
          </w:tcPr>
          <w:p>
            <w:pPr>
              <w:spacing w:after="0"/>
              <w:rPr>
                <w:sz w:val="12"/>
                <w:szCs w:val="12"/>
                <w:color w:val="auto"/>
              </w:rPr>
            </w:pPr>
          </w:p>
        </w:tc>
        <w:tc>
          <w:tcPr>
            <w:tcW w:w="860" w:type="dxa"/>
            <w:vAlign w:val="bottom"/>
          </w:tcPr>
          <w:p>
            <w:pPr>
              <w:jc w:val="center"/>
              <w:ind w:right="44"/>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00" w:type="dxa"/>
            <w:vAlign w:val="bottom"/>
          </w:tcPr>
          <w:p>
            <w:pPr>
              <w:spacing w:after="0"/>
              <w:rPr>
                <w:sz w:val="16"/>
                <w:szCs w:val="16"/>
                <w:color w:val="auto"/>
              </w:rPr>
            </w:pPr>
          </w:p>
        </w:tc>
        <w:tc>
          <w:tcPr>
            <w:tcW w:w="9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80" w:type="dxa"/>
            <w:vAlign w:val="bottom"/>
          </w:tcPr>
          <w:p>
            <w:pPr>
              <w:spacing w:after="0"/>
              <w:rPr>
                <w:sz w:val="16"/>
                <w:szCs w:val="16"/>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9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97"/>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86,362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(16,606)</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69,756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55,542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(13,906)</w:t>
            </w:r>
          </w:p>
        </w:tc>
        <w:tc>
          <w:tcPr>
            <w:tcW w:w="10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41,636</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name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4,982</w:t>
            </w: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Developed technology</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63,549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53,726</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Contributor content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23,352</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Patents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243,013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(70,097)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172,916</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173,512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123,822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both"/>
        <w:ind w:right="260" w:firstLine="395"/>
        <w:spacing w:after="0" w:line="289" w:lineRule="auto"/>
        <w:rPr>
          <w:sz w:val="20"/>
          <w:szCs w:val="20"/>
          <w:color w:val="auto"/>
        </w:rPr>
      </w:pPr>
      <w:r>
        <w:rPr>
          <w:rFonts w:ascii="Times New Roman" w:cs="Times New Roman" w:eastAsia="Times New Roman" w:hAnsi="Times New Roman"/>
          <w:sz w:val="16"/>
          <w:szCs w:val="16"/>
          <w:color w:val="auto"/>
        </w:rPr>
        <w:t>Amortization expense was $9.5 million and $5.6 million for the three months ended September 30, 2022 and 2021, respectively, and $24.8 million and $9.9 million for the nine months ended September 30, 2022 and 2021, respectively. Cost of revenue included amortization expense of $8.9 million and $4.2 million for the three months ended September 30, 2022 and 2021, respectively, and $23.1 million and $6.5 million for the nine months ended September 30, 2022 and 2021, respectively. General and administrative expense included amortization expense of $0.6 million and $1.4 million for the three months ended September 30, 2022 and 2021, respectively, and $1.7 million and $3.4 million for the nine months ended September 30, 2022 and 2021, respectively.</w:t>
      </w:r>
    </w:p>
    <w:p>
      <w:pPr>
        <w:spacing w:after="0" w:line="50" w:lineRule="exact"/>
        <w:rPr>
          <w:sz w:val="20"/>
          <w:szCs w:val="20"/>
          <w:color w:val="auto"/>
        </w:rPr>
      </w:pPr>
    </w:p>
    <w:p>
      <w:pPr>
        <w:jc w:val="both"/>
        <w:ind w:right="40" w:firstLine="395"/>
        <w:spacing w:after="0" w:line="256" w:lineRule="auto"/>
        <w:rPr>
          <w:sz w:val="20"/>
          <w:szCs w:val="20"/>
          <w:color w:val="auto"/>
        </w:rPr>
      </w:pPr>
      <w:r>
        <w:rPr>
          <w:rFonts w:ascii="Times New Roman" w:cs="Times New Roman" w:eastAsia="Times New Roman" w:hAnsi="Times New Roman"/>
          <w:sz w:val="18"/>
          <w:szCs w:val="18"/>
          <w:color w:val="auto"/>
        </w:rPr>
        <w:t>The Company determined that there was no indication of impairment of the intangible assets for any period presented. Estimated amortization expense is: $9.3 million for the remaining three months of 2022, $37.0 million in 2023, $30.3 million in 2024, $20.2 million in 2025, $18.2 million in 2026, $12.2 million in 2027 and $45.8 million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30,321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43,529</w:t>
            </w:r>
          </w:p>
        </w:tc>
        <w:tc>
          <w:tcPr>
            <w:tcW w:w="0" w:type="dxa"/>
            <w:vAlign w:val="bottom"/>
          </w:tcPr>
          <w:p>
            <w:pPr>
              <w:spacing w:after="0"/>
              <w:rPr>
                <w:sz w:val="1"/>
                <w:szCs w:val="1"/>
                <w:color w:val="auto"/>
              </w:rPr>
            </w:pPr>
          </w:p>
        </w:tc>
      </w:tr>
      <w:tr>
        <w:trPr>
          <w:trHeight w:val="209"/>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Non-income taxes</w:t>
            </w:r>
          </w:p>
        </w:tc>
        <w:tc>
          <w:tcPr>
            <w:tcW w:w="140" w:type="dxa"/>
            <w:vAlign w:val="bottom"/>
          </w:tcPr>
          <w:p>
            <w:pPr>
              <w:spacing w:after="0"/>
              <w:rPr>
                <w:sz w:val="18"/>
                <w:szCs w:val="18"/>
                <w:color w:val="auto"/>
              </w:rPr>
            </w:pPr>
          </w:p>
        </w:tc>
        <w:tc>
          <w:tcPr>
            <w:tcW w:w="14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23,702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21,488</w:t>
            </w:r>
          </w:p>
        </w:tc>
        <w:tc>
          <w:tcPr>
            <w:tcW w:w="0" w:type="dxa"/>
            <w:vAlign w:val="bottom"/>
          </w:tcPr>
          <w:p>
            <w:pPr>
              <w:spacing w:after="0"/>
              <w:rPr>
                <w:sz w:val="1"/>
                <w:szCs w:val="1"/>
                <w:color w:val="auto"/>
              </w:rPr>
            </w:pP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Website hosting and marketing fees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8,738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18,314</w:t>
            </w:r>
          </w:p>
        </w:tc>
        <w:tc>
          <w:tcPr>
            <w:tcW w:w="0" w:type="dxa"/>
            <w:vAlign w:val="bottom"/>
          </w:tcPr>
          <w:p>
            <w:pPr>
              <w:spacing w:after="0"/>
              <w:rPr>
                <w:sz w:val="1"/>
                <w:szCs w:val="1"/>
                <w:color w:val="auto"/>
              </w:rPr>
            </w:pPr>
          </w:p>
        </w:tc>
      </w:tr>
      <w:tr>
        <w:trPr>
          <w:trHeight w:val="20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17,938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16,198</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80,699</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99,529</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11"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On May 6, 2022, the Company entered into a five-year $100 million unsecured revolving loan facility (the “Credit Facility”) with Bank of America, N.A., as Administrative Agent and other lenders. The Credit Facility includes a letter of credit sub-facility and a swingline facility and it also permits, subject to the satisfaction of certain conditions, up to $100 million of additional revolving loan commitments with the consent of the Administrative Agent.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the Company’s option, revolving loans accrue interest at a per annum rate based on either (i) the base rate plus a margin ranging from 0.125%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0.500%, determined based on the Company’s consolidated leverage ratio or (ii) the Term Secured Overnight Financing Rate (“SOFR”) (for interest periods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3 or 6 months) plus a margin ranging from 1.125% to 1.5%, determined based on the Company’s consolidated leverage ratio. The Company is also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pay an unused commitment fee ranging from 0.150% to 0.225%, determined based on the Company’s consolidated leverage ratio. In connection with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of this agreement, the Company paid debt issuance costs of approximately $0.6 million.</w:t>
      </w:r>
    </w:p>
    <w:p>
      <w:pPr>
        <w:spacing w:after="0" w:line="91"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On May 9, 2022, the Company borrowed $50 million for use in connection with the acquisition of Pond5, described under Note 3 (“Acquisitions”) and for general corporate purposes. As of September 30, 2022, the Company had outstanding borrowings under the Credit Facility of $50 million and had a remaining borrowing capacity of $48 million, net of standby letters of credit. As of December 31, 2021, the Company had no outstanding debt obligations. For the three and nine months ended September 30, 2022, the Company recognized interest expense of $0.4 million and $0.6 million, respectively. For the three and nine months ended September 30, 2022, the Company’s annualized interest rate was 3.2% and 3.0%, respectively.</w:t>
      </w:r>
    </w:p>
    <w:p>
      <w:pPr>
        <w:spacing w:after="0" w:line="80" w:lineRule="exact"/>
        <w:rPr>
          <w:sz w:val="20"/>
          <w:szCs w:val="20"/>
          <w:color w:val="auto"/>
        </w:rPr>
      </w:pPr>
    </w:p>
    <w:p>
      <w:pPr>
        <w:ind w:right="160" w:firstLine="395"/>
        <w:spacing w:after="0" w:line="303" w:lineRule="auto"/>
        <w:rPr>
          <w:sz w:val="20"/>
          <w:szCs w:val="20"/>
          <w:color w:val="auto"/>
        </w:rPr>
      </w:pPr>
      <w:r>
        <w:rPr>
          <w:rFonts w:ascii="Times New Roman" w:cs="Times New Roman" w:eastAsia="Times New Roman" w:hAnsi="Times New Roman"/>
          <w:sz w:val="16"/>
          <w:szCs w:val="16"/>
          <w:color w:val="auto"/>
        </w:rPr>
        <w:t>The Credit Facility contains financial covenants and requirements restricting certain of the Company’s activities, which are usual and customary for this type of credit facility. The Company is also required to maintain compliance with a consolidated leverage ratio and a consolidated interest coverage ratio, in each case, determined in accordance with the terms of the Credit Facility. As of September 30, 2022, the Company was in compliance with these covenants.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 and Equity-Based Compensation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58" w:lineRule="exact"/>
        <w:rPr>
          <w:sz w:val="20"/>
          <w:szCs w:val="20"/>
          <w:color w:val="auto"/>
        </w:rPr>
      </w:pPr>
    </w:p>
    <w:p>
      <w:pPr>
        <w:ind w:right="760" w:firstLine="395"/>
        <w:spacing w:after="0" w:line="268" w:lineRule="auto"/>
        <w:rPr>
          <w:sz w:val="20"/>
          <w:szCs w:val="20"/>
          <w:color w:val="auto"/>
        </w:rPr>
      </w:pPr>
      <w:r>
        <w:rPr>
          <w:rFonts w:ascii="Times New Roman" w:cs="Times New Roman" w:eastAsia="Times New Roman" w:hAnsi="Times New Roman"/>
          <w:sz w:val="18"/>
          <w:szCs w:val="18"/>
          <w:color w:val="auto"/>
        </w:rPr>
        <w:t>The Company issued approximately 103,000 and 18,000 shares of common stock during the three months ended September 30, 2022 and 2021, respectively, related to the exercise of stock options and the vesting of Restricted Stock Units.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58"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In October 2015, the Company’s Board of Directors approved a share repurchase program, authorizing the Company to purchase up to $100 million of its common stock. In February 2017, the Company’s Board of Directors approved an increase to the share repurchase program, authorizing the Company to repurchase up to an additional $100 million of its outstanding common stock.</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The Company expects to fund future repurchases, if any, through a combination of cash on hand, cash generated by operations and future financing transactions, if appropriate. Accordingly, the share repurchase program is subject to the Company having available cash to fund repurchases. Under the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80"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repurchased approximately 275,000 and 984,000 shares of its common stock at an average per share cost of $58.94 and $74.02, respectively. During the three and nine months ended September 30, 2021, the Company repurchased approximately 41,900 shares of its common stock at an average cost of $115.95. As of September 30, 2022, the Company fully utilized its authorization for purchases under the share repurchase program.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3"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The Company declared and paid cash dividends of $0.24 and $0.72 per share of common stock, or $8.6 million and $26.0 million, during the three and nine months ended September 30, 2022, respectively, and $0.21 and $0.63 per share of common stock, or $7.7 million and $23.0 million, during the three and nine months ended September 30, 2021, respectively.</w:t>
      </w:r>
    </w:p>
    <w:p>
      <w:pPr>
        <w:spacing w:after="0" w:line="180"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On October 17, 2022, the Company’s Board of Directors declared a quarterly cash dividend of $0.24 per share of outstanding common stock payable on December 15, 2022 to stockholders of record at the close of business on December 1, 2022. Future declarations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13"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all equity-based compensation awards, including employee Restricted Stock Units and Performance-based Restricted Stock Units (“PRSUs” and, collectively with Restricted Stock Units, “RSUs”) and stock options, based on the fair value of each award on the grant date. Awards granted prior to June 1, 2022 were granted under the Company’s Amended and Restated 2012 Omnibus Equity Incentive Plan (the “2012 Plan”). At the Annual Meeting held on June 2, 2022, the Company’s stockholders approved the 2022 Omnibus Equity Incentive Plan (the “2022 Plan”). Awards granted subsequent to June 2, 2022 were granted under the 2022 Plan.</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8" w:name="page19"/>
    <w:bookmarkEnd w:id="1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financial statement line item included in the accompanying Consolidated Statements of Operations for the three and nine months ended September 30, 2022 and 2021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9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20" w:type="dxa"/>
            <w:vAlign w:val="bottom"/>
            <w:gridSpan w:val="4"/>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4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2,031</w:t>
            </w:r>
          </w:p>
        </w:tc>
      </w:tr>
      <w:tr>
        <w:trPr>
          <w:trHeight w:val="21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4,703</w:t>
            </w:r>
          </w:p>
        </w:tc>
      </w:tr>
      <w:tr>
        <w:trPr>
          <w:trHeight w:val="20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19,596</w:t>
            </w:r>
          </w:p>
        </w:tc>
      </w:tr>
      <w:tr>
        <w:trPr>
          <w:trHeight w:val="229"/>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26,639</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award type included in the accompanying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for the three and nine months ended September 30, 2022 and 2021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9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20" w:type="dxa"/>
            <w:vAlign w:val="bottom"/>
            <w:gridSpan w:val="4"/>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4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4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r>
      <w:tr>
        <w:trPr>
          <w:trHeight w:val="20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23,896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26,108</w:t>
            </w:r>
          </w:p>
        </w:tc>
      </w:tr>
      <w:tr>
        <w:trPr>
          <w:trHeight w:val="229"/>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26,639</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216" w:lineRule="exact"/>
        <w:rPr>
          <w:sz w:val="20"/>
          <w:szCs w:val="20"/>
          <w:color w:val="auto"/>
        </w:rPr>
      </w:pPr>
    </w:p>
    <w:p>
      <w:pPr>
        <w:ind w:right="320" w:firstLine="395"/>
        <w:spacing w:after="0" w:line="303" w:lineRule="auto"/>
        <w:rPr>
          <w:sz w:val="20"/>
          <w:szCs w:val="20"/>
          <w:color w:val="auto"/>
        </w:rPr>
      </w:pPr>
      <w:r>
        <w:rPr>
          <w:rFonts w:ascii="Times New Roman" w:cs="Times New Roman" w:eastAsia="Times New Roman" w:hAnsi="Times New Roman"/>
          <w:sz w:val="16"/>
          <w:szCs w:val="16"/>
          <w:color w:val="auto"/>
        </w:rPr>
        <w:t>During the nine months ended September 30, 2022, no options to purchase shares of its common stock were granted. As of September 30, 2022, there were approximately 286,000 options vested and exercisable with a weighted average exercise price of $34.03. As of September 30, 2022, the total unrecognized compensation expense related to non-vested options was approximately $0.1 million, which is expected to be recognized through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58"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had RSU grants, net of forfeitures, of approximately 1,122,000. As of September 30, 2022, there are approximately 1,730,000 non-vested RSUs outstanding with a weighted average grant-date fair value of $71.59. As of September 30, 2022, the total unrecognized non-cash equity-based compensation expense related to the non-vested RSUs was approximately $84.9 million, which is expected to be recognized through 2026.</w:t>
      </w:r>
    </w:p>
    <w:p>
      <w:pPr>
        <w:spacing w:after="0" w:line="78"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2022 and 2021, shares of common stock with an aggregate value of $22.0 million and $21.3 million were withheld upon vesting of RSUs and paid in connection with related remittance of employee withholding taxes to taxing authorities.</w:t>
      </w:r>
    </w:p>
    <w:p>
      <w:pPr>
        <w:spacing w:after="0" w:line="64"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had approximately $3 million in forfeitures associated with the resignation of its former Chief Executive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distributes its products through two primary channels:</w:t>
      </w:r>
    </w:p>
    <w:p>
      <w:pPr>
        <w:spacing w:after="0" w:line="107"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E-commerce: </w:t>
      </w:r>
      <w:r>
        <w:rPr>
          <w:rFonts w:ascii="Times New Roman" w:cs="Times New Roman" w:eastAsia="Times New Roman" w:hAnsi="Times New Roman"/>
          <w:sz w:val="18"/>
          <w:szCs w:val="18"/>
          <w:color w:val="auto"/>
        </w:rPr>
        <w:t>The majority of the Company’s customers make purchases of content licenses and tools directly through the Company’s self-service web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E-commerce customers have the flexibility to purchase subscription-based plans that are paid on a monthly or annual basis. Customer are also able to license content on a transactional basis. These customers generally license content under the Company’s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80" w:lineRule="exact"/>
        <w:rPr>
          <w:sz w:val="20"/>
          <w:szCs w:val="20"/>
          <w:color w:val="auto"/>
        </w:rPr>
      </w:pPr>
    </w:p>
    <w:p>
      <w:pPr>
        <w:ind w:right="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Enterprise: </w:t>
      </w:r>
      <w:r>
        <w:rPr>
          <w:rFonts w:ascii="Times New Roman" w:cs="Times New Roman" w:eastAsia="Times New Roman" w:hAnsi="Times New Roman"/>
          <w:sz w:val="18"/>
          <w:szCs w:val="18"/>
          <w:color w:val="auto"/>
        </w:rPr>
        <w:t>The Company also has a base of customers with unique content, licensing and workflow needs. These customers benefit from communication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dedicated sales professionals, service and research teams which provide a number of tailored enhancements to their creative workflows including non-standard licensing rights, multi-seat access, ability to pay on</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color w:val="auto"/>
        </w:rPr>
        <w:t>credit terms, multi-brand licensing packages, increased indemnification protection and content licensed for use-cases outside of those available on the E-commerce platform.</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distribution channel for the three and nine months ended September 30, 2022 and 2021 are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0"/>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5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E-commerce</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124,594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121,707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379,052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360,822</w:t>
            </w:r>
          </w:p>
        </w:tc>
      </w:tr>
      <w:tr>
        <w:trPr>
          <w:trHeight w:val="209"/>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Enterprise</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79,502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231,048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206,810</w:t>
            </w:r>
          </w:p>
        </w:tc>
      </w:tr>
      <w:tr>
        <w:trPr>
          <w:trHeight w:val="231"/>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204,096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194,439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610,100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567,632</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ind w:right="280" w:firstLine="395"/>
        <w:spacing w:after="0" w:line="256" w:lineRule="auto"/>
        <w:rPr>
          <w:sz w:val="20"/>
          <w:szCs w:val="20"/>
          <w:color w:val="auto"/>
        </w:rPr>
      </w:pPr>
      <w:r>
        <w:rPr>
          <w:rFonts w:ascii="Times New Roman" w:cs="Times New Roman" w:eastAsia="Times New Roman" w:hAnsi="Times New Roman"/>
          <w:sz w:val="18"/>
          <w:szCs w:val="18"/>
          <w:color w:val="auto"/>
        </w:rPr>
        <w:t>The September 30, 2022 deferred revenue balance will be earned as content is downloaded or upon the expiration of subscription-based products, and nearly all is expected to be earned within the next twelve months. $152.7 million of total revenue recognized for the nine months ended September 30, 2022 was reflected in deferred revenue as of December 31,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Expense, net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presents a summary of the Company’s other income and expense activity included in the accompanying Consolidated Statements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three and nine months ended September 30, 2022 and 2021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9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00" w:type="dxa"/>
            <w:vAlign w:val="bottom"/>
            <w:gridSpan w:val="4"/>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3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loss</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w:t>
            </w:r>
          </w:p>
        </w:tc>
      </w:tr>
      <w:tr>
        <w:trPr>
          <w:trHeight w:val="209"/>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02"/>
        </w:trPr>
        <w:tc>
          <w:tcPr>
            <w:tcW w:w="5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expense</w:t>
            </w:r>
          </w:p>
        </w:tc>
        <w:tc>
          <w:tcPr>
            <w:tcW w:w="86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(2,888)</w:t>
            </w:r>
          </w:p>
        </w:tc>
      </w:tr>
      <w:tr>
        <w:trPr>
          <w:trHeight w:val="21"/>
        </w:trPr>
        <w:tc>
          <w:tcPr>
            <w:tcW w:w="5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11"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The Company’s effective tax rates yielded a net expense of 15.1% and 21.5% for the three months ended September 30, 2022 and 2021, respectively, and a net expense of 16.3% and 17.2% for the nine months ended September 30, 2022 and 2021, respectively.</w:t>
      </w:r>
    </w:p>
    <w:p>
      <w:pPr>
        <w:spacing w:after="0" w:line="64"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During the three months ended September 30, 2022, the net effect of discrete items decreased the effective tax rate by 3.3%. For the nine months ended September 30, 2022, the net effect of discrete items decreased the effective tax rate by 2.5%. The discrete items for the three months ended September 30, 2022, primarily relate to the effect of the U.S. Research and Development (“R&amp;D”) tax credit claimed on the Company’s 2021 tax return, which was substantially completed in the third quarter of 2022. The discrete items for the nine months ended September 30, 2022, primarily relate to windfall tax benefits associated with equity-based compensation. Excluding discrete items, the Company’s effective tax rate would have been 18.4% and 18.8% for the three and nine months ended September 30, 2022, respectively.</w:t>
      </w:r>
    </w:p>
    <w:p>
      <w:pPr>
        <w:spacing w:after="0" w:line="80"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During the three months ended September 30, 2021, the net effect of discrete items increased the effective tax rate by 1.3%. For the nine months ended September 30, 2021, the net effect of discrete items decreased the effective tax rate by 3.0%. The discrete items for the nine months ended September 30, 2021, primarily relate to windfall tax benefits associated with equity-based compensation. Excluding discrete items, the Company’s effective tax rate would have been 20.2% for the three and nine months ended September 30, 2021.</w:t>
      </w:r>
    </w:p>
    <w:p>
      <w:pPr>
        <w:spacing w:after="0" w:line="78" w:lineRule="exact"/>
        <w:rPr>
          <w:sz w:val="20"/>
          <w:szCs w:val="20"/>
          <w:color w:val="auto"/>
        </w:rPr>
      </w:pPr>
    </w:p>
    <w:p>
      <w:pPr>
        <w:ind w:right="440" w:firstLine="395"/>
        <w:spacing w:after="0" w:line="268" w:lineRule="auto"/>
        <w:rPr>
          <w:sz w:val="20"/>
          <w:szCs w:val="20"/>
          <w:color w:val="auto"/>
        </w:rPr>
      </w:pPr>
      <w:r>
        <w:rPr>
          <w:rFonts w:ascii="Times New Roman" w:cs="Times New Roman" w:eastAsia="Times New Roman" w:hAnsi="Times New Roman"/>
          <w:sz w:val="18"/>
          <w:szCs w:val="18"/>
          <w:color w:val="auto"/>
        </w:rPr>
        <w:t>The Company has computed the provision for income taxes based on the estimated annual effective tax rate excluding a loss jurisdiction with no tax benefit and the application of discrete items, if any, in the applicable period.</w:t>
      </w:r>
    </w:p>
    <w:p>
      <w:pPr>
        <w:spacing w:after="0" w:line="64" w:lineRule="exact"/>
        <w:rPr>
          <w:sz w:val="20"/>
          <w:szCs w:val="20"/>
          <w:color w:val="auto"/>
        </w:rPr>
      </w:pPr>
    </w:p>
    <w:p>
      <w:pPr>
        <w:ind w:right="380" w:firstLine="395"/>
        <w:spacing w:after="0" w:line="268" w:lineRule="auto"/>
        <w:rPr>
          <w:sz w:val="20"/>
          <w:szCs w:val="20"/>
          <w:color w:val="auto"/>
        </w:rPr>
      </w:pPr>
      <w:r>
        <w:rPr>
          <w:rFonts w:ascii="Times New Roman" w:cs="Times New Roman" w:eastAsia="Times New Roman" w:hAnsi="Times New Roman"/>
          <w:sz w:val="18"/>
          <w:szCs w:val="18"/>
          <w:color w:val="auto"/>
        </w:rPr>
        <w:t>During the three and nine months ended September 30, 2022 and 2021, uncertain tax positions recorded by the Company were not significant. To the extent the remaining uncertain tax positions are ultimately recognized, the Company’s effective tax rate may be impacted in future periods.</w:t>
      </w:r>
    </w:p>
    <w:p>
      <w:pPr>
        <w:spacing w:after="0" w:line="200" w:lineRule="exact"/>
        <w:rPr>
          <w:sz w:val="20"/>
          <w:szCs w:val="20"/>
          <w:color w:val="auto"/>
        </w:rPr>
      </w:pPr>
    </w:p>
    <w:p>
      <w:pPr>
        <w:spacing w:after="0" w:line="3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The Company recognizes interest expense and tax penalties related to unrecognized tax benefits in income tax expense in the Consolidated Statements of Operations. The Company’s accrual for interest and penalties related to unrecognized tax benefits was not significant for the three and nine months ended September 30, 2022 and 2021.</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nine months ended September 30, 2022 and 2021, the Company paid net cash taxes of $19.5 million and $14.8 million, respectively.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p>
      <w:pPr>
        <w:spacing w:after="0" w:line="150"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for the period, excluding unvested RSUs and stock options. Diluted net income per share is based upon the weighted average shares of common stock outstanding for the period plus dilutive potential shares of common stock, including unvested RSUs and stock options using the treasury stock method.</w:t>
      </w:r>
    </w:p>
    <w:p>
      <w:pPr>
        <w:spacing w:after="0" w:line="101" w:lineRule="exact"/>
        <w:rPr>
          <w:sz w:val="20"/>
          <w:szCs w:val="20"/>
          <w:color w:val="auto"/>
        </w:rPr>
      </w:pPr>
    </w:p>
    <w:p>
      <w:pPr>
        <w:ind w:right="34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the three and nine months ended September 30, 2022 and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300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40" w:type="dxa"/>
            <w:vAlign w:val="bottom"/>
            <w:gridSpan w:val="4"/>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5"/>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23,040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69,057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74,997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used to compute basic net income per share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34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35,929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36,622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36,117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36,510</w:t>
            </w:r>
          </w:p>
        </w:tc>
        <w:tc>
          <w:tcPr>
            <w:tcW w:w="0" w:type="dxa"/>
            <w:vAlign w:val="bottom"/>
          </w:tcPr>
          <w:p>
            <w:pPr>
              <w:spacing w:after="0"/>
              <w:rPr>
                <w:sz w:val="1"/>
                <w:szCs w:val="1"/>
                <w:color w:val="auto"/>
              </w:rPr>
            </w:pP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options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211"/>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Unvested restricted stock awards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206"/>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used to compute diluted net income per share</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36,269</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37,417</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36,681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37,285</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53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Dilutive shares included in the calculation</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0" w:type="dxa"/>
            <w:vAlign w:val="bottom"/>
          </w:tcPr>
          <w:p>
            <w:pPr>
              <w:spacing w:after="0"/>
              <w:rPr>
                <w:sz w:val="1"/>
                <w:szCs w:val="1"/>
                <w:color w:val="auto"/>
              </w:rPr>
            </w:pP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shares excluded from the calculation</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Geographic Information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Company’s revenue based on customer location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8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760" w:type="dxa"/>
            <w:vAlign w:val="bottom"/>
          </w:tcPr>
          <w:p>
            <w:pPr>
              <w:spacing w:after="0"/>
              <w:rPr>
                <w:sz w:val="16"/>
                <w:szCs w:val="16"/>
                <w:color w:val="auto"/>
              </w:rPr>
            </w:pPr>
          </w:p>
        </w:tc>
        <w:tc>
          <w:tcPr>
            <w:tcW w:w="2860" w:type="dxa"/>
            <w:vAlign w:val="bottom"/>
            <w:tcBorders>
              <w:bottom w:val="single" w:sz="8" w:color="auto"/>
            </w:tcBorders>
            <w:gridSpan w:val="4"/>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7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040" w:type="dxa"/>
            <w:vAlign w:val="bottom"/>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89,061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210,527</w:t>
            </w: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57,308</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182,792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187,356</w:t>
            </w:r>
          </w:p>
        </w:tc>
        <w:tc>
          <w:tcPr>
            <w:tcW w:w="0" w:type="dxa"/>
            <w:vAlign w:val="bottom"/>
          </w:tcPr>
          <w:p>
            <w:pPr>
              <w:spacing w:after="0"/>
              <w:rPr>
                <w:sz w:val="1"/>
                <w:szCs w:val="1"/>
                <w:color w:val="auto"/>
              </w:rPr>
            </w:pPr>
          </w:p>
        </w:tc>
      </w:tr>
      <w:tr>
        <w:trPr>
          <w:trHeight w:val="212"/>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57,727</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56,874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172,408</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169,749</w:t>
            </w:r>
          </w:p>
        </w:tc>
        <w:tc>
          <w:tcPr>
            <w:tcW w:w="0" w:type="dxa"/>
            <w:vAlign w:val="bottom"/>
          </w:tcPr>
          <w:p>
            <w:pPr>
              <w:spacing w:after="0"/>
              <w:rPr>
                <w:sz w:val="1"/>
                <w:szCs w:val="1"/>
                <w:color w:val="auto"/>
              </w:rPr>
            </w:pPr>
          </w:p>
        </w:tc>
      </w:tr>
      <w:tr>
        <w:trPr>
          <w:trHeight w:val="202"/>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040" w:type="dxa"/>
            <w:vAlign w:val="bottom"/>
            <w:tcBorders>
              <w:bottom w:val="single" w:sz="8" w:color="auto"/>
            </w:tcBorders>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204,096</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194,439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610,100</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567,632</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ind w:right="660" w:firstLine="395"/>
        <w:spacing w:after="0" w:line="332" w:lineRule="auto"/>
        <w:rPr>
          <w:sz w:val="20"/>
          <w:szCs w:val="20"/>
          <w:color w:val="auto"/>
        </w:rPr>
      </w:pPr>
      <w:r>
        <w:rPr>
          <w:rFonts w:ascii="Times New Roman" w:cs="Times New Roman" w:eastAsia="Times New Roman" w:hAnsi="Times New Roman"/>
          <w:sz w:val="16"/>
          <w:szCs w:val="16"/>
          <w:color w:val="auto"/>
        </w:rPr>
        <w:t>The United States, included in North America in the above table, accounted for 39% and 33% of consolidated revenue for the nine months ended September 30, 2022 and 2021, respectively. No other country accounts for more than 10% of the Company’s revenue in any period presented.</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long-lived tangible assets were located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80" w:type="dxa"/>
            <w:vAlign w:val="bottom"/>
          </w:tcPr>
          <w:p>
            <w:pPr>
              <w:spacing w:after="0"/>
              <w:rPr>
                <w:sz w:val="16"/>
                <w:szCs w:val="16"/>
                <w:color w:val="auto"/>
              </w:rPr>
            </w:pPr>
          </w:p>
        </w:tc>
        <w:tc>
          <w:tcPr>
            <w:tcW w:w="152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7"/>
        </w:trPr>
        <w:tc>
          <w:tcPr>
            <w:tcW w:w="7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4"/>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40,465</w:t>
            </w: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7,460</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long-lived tangible assets</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55,141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48,074</w:t>
            </w:r>
          </w:p>
        </w:tc>
      </w:tr>
      <w:tr>
        <w:trPr>
          <w:trHeight w:val="21"/>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The United States, included in North America in the above table, accounted for 77% and 76% of total long-lived tangible assets as of September 30, 2022 and December 31, 2021, respectively. Ireland, included in Europe in the above table, accounted for 14% and 11% of total long-lived tangible assets as of September 30, 2022 and December 31, 2021, respectively. No other country accounts for more than 10% of the Company’s long-lived tangible assets in any period presented.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1"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As of September 30, 2022, the Company had total non-lease obligations in the amount of approximately $95.5 million, which consisted primarily of minimum royalty guarantees and unconditional purchase obligations related to contracts for infrastructure and other business services. As of September 30, 2022, the Company’s non-lease obligations for the remainder of 2022 and for the years ending December 31, 2023, 2024, 2025 and 2026 were approximately $20.7 million, $38.9 million, $29.0 million, $6.3 million and $0.6 million,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52"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accordingly, no material reserves related to litigation.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Employment Agreements</w:t>
      </w:r>
    </w:p>
    <w:p>
      <w:pPr>
        <w:spacing w:after="0" w:line="113" w:lineRule="exact"/>
        <w:rPr>
          <w:sz w:val="20"/>
          <w:szCs w:val="20"/>
          <w:color w:val="auto"/>
        </w:rPr>
      </w:pPr>
    </w:p>
    <w:p>
      <w:pPr>
        <w:ind w:right="40" w:firstLine="395"/>
        <w:spacing w:after="0" w:line="247"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any modifications made by the customer, or the context in which content is used. The standard maximum aggregate obligation and liability to any one customer for any single claim is generally limited to ten thousand dollars but can range to $250,000, with certain exceptions for which our indemnification obligation are uncapped. As of September 30, 2022, the Company had recorded no material liabilities related to indemnification obligations for loss contingencies. Additionally, the Company believes that it has the appropriate insurance coverage in place to adequately cover such indemnification obligations, if necessary.</w:t>
      </w:r>
    </w:p>
    <w:p>
      <w:pPr>
        <w:spacing w:after="0" w:line="85"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Pursuant to the Company’s charter documents and separate written indemnification agreements, the Company has certain indemnification obligations to its executive officers, certain employees and directors, as well as certain former officers and directors.</w:t>
      </w:r>
    </w:p>
    <w:p>
      <w:pPr>
        <w:spacing w:after="0" w:line="64"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The Company has also entered into employment agreements with its executive officers and certain employees. These agreements specify various employment-related matters, including annual compensation, performance incentive bonuses, and severance benefits in the event of termination or in the event of a change in control or otherwise,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3" w:name="page24"/>
    <w:bookmarkEnd w:id="2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09" w:lineRule="exact"/>
        <w:rPr>
          <w:sz w:val="20"/>
          <w:szCs w:val="20"/>
          <w:color w:val="auto"/>
        </w:rPr>
      </w:pPr>
    </w:p>
    <w:p>
      <w:pPr>
        <w:ind w:right="2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interim unaudited consolidated financial statements and related notes contained elsewhere in this Quarterly Report on Form 10-Q and with information contained in our other filings, including the audited consolidated financial statements included in our 2021 Form 10-K.</w:t>
      </w:r>
    </w:p>
    <w:p>
      <w:pPr>
        <w:spacing w:after="0" w:line="111" w:lineRule="exact"/>
        <w:rPr>
          <w:sz w:val="20"/>
          <w:szCs w:val="20"/>
          <w:color w:val="auto"/>
        </w:rPr>
      </w:pPr>
    </w:p>
    <w:p>
      <w:pPr>
        <w:ind w:right="120" w:firstLine="395"/>
        <w:spacing w:after="0" w:line="289" w:lineRule="auto"/>
        <w:rPr>
          <w:sz w:val="20"/>
          <w:szCs w:val="20"/>
          <w:color w:val="auto"/>
        </w:rPr>
      </w:pPr>
      <w:r>
        <w:rPr>
          <w:rFonts w:ascii="Times New Roman" w:cs="Times New Roman" w:eastAsia="Times New Roman" w:hAnsi="Times New Roman"/>
          <w:sz w:val="16"/>
          <w:szCs w:val="16"/>
          <w:i w:val="1"/>
          <w:iCs w:val="1"/>
          <w:color w:val="auto"/>
        </w:rPr>
        <w:t>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See also the “Risk Factors” disclosures contained in our 2021 Form 10-K and our Quarterly Report on Form 10-Q for the quarter ended June 30, 2022, which was filed with the SEC on July 26, 2022 for additional discussion of the risks and uncertainties that could cause our actual results to differ materially from those expressed or implied in our forward-looking statements.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Developments</w:t>
      </w:r>
    </w:p>
    <w:p>
      <w:pPr>
        <w:spacing w:after="0" w:line="150"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Shutterstock, Inc. (referred to herein as the “Company”, “we,” “our,” and “us”) is the leading global creative platform for transformative brands and media companies. Our platform brings together users and contributors of content by providing readily-searchable content that our customers pay to license and by compensating contributors as their content is licensed.</w:t>
      </w:r>
    </w:p>
    <w:p>
      <w:pPr>
        <w:spacing w:after="0" w:line="10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key offerings include:</w:t>
      </w:r>
    </w:p>
    <w:p>
      <w:pPr>
        <w:spacing w:after="0" w:line="148" w:lineRule="exact"/>
        <w:rPr>
          <w:sz w:val="20"/>
          <w:szCs w:val="20"/>
          <w:color w:val="auto"/>
        </w:rPr>
      </w:pPr>
    </w:p>
    <w:p>
      <w:pPr>
        <w:ind w:left="1040" w:right="160" w:hanging="403"/>
        <w:spacing w:after="0" w:line="268" w:lineRule="auto"/>
        <w:tabs>
          <w:tab w:leader="none" w:pos="10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3" w:lineRule="exact"/>
        <w:rPr>
          <w:rFonts w:ascii="Times New Roman" w:cs="Times New Roman" w:eastAsia="Times New Roman" w:hAnsi="Times New Roman"/>
          <w:sz w:val="18"/>
          <w:szCs w:val="18"/>
          <w:color w:val="auto"/>
        </w:rPr>
      </w:pPr>
    </w:p>
    <w:p>
      <w:pPr>
        <w:ind w:left="1040" w:hanging="403"/>
        <w:spacing w:after="0" w:line="268" w:lineRule="auto"/>
        <w:tabs>
          <w:tab w:leader="none" w:pos="10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90"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8" w:lineRule="exact"/>
        <w:rPr>
          <w:rFonts w:ascii="Times New Roman" w:cs="Times New Roman" w:eastAsia="Times New Roman" w:hAnsi="Times New Roman"/>
          <w:sz w:val="18"/>
          <w:szCs w:val="18"/>
          <w:color w:val="auto"/>
        </w:rPr>
      </w:pPr>
    </w:p>
    <w:p>
      <w:pPr>
        <w:ind w:left="1040" w:right="200" w:hanging="403"/>
        <w:spacing w:after="0" w:line="256" w:lineRule="auto"/>
        <w:tabs>
          <w:tab w:leader="none" w:pos="10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 This offering became available upon our acquisition of TurboSquid, Inc. (“TurboSquid”) on February 1, 2021.</w:t>
      </w:r>
    </w:p>
    <w:p>
      <w:pPr>
        <w:spacing w:after="0" w:line="114" w:lineRule="exact"/>
        <w:rPr>
          <w:rFonts w:ascii="Times New Roman" w:cs="Times New Roman" w:eastAsia="Times New Roman" w:hAnsi="Times New Roman"/>
          <w:sz w:val="18"/>
          <w:szCs w:val="18"/>
          <w:color w:val="auto"/>
        </w:rPr>
      </w:pPr>
    </w:p>
    <w:p>
      <w:pPr>
        <w:ind w:left="1040" w:right="600" w:hanging="403"/>
        <w:spacing w:after="0" w:line="256" w:lineRule="auto"/>
        <w:tabs>
          <w:tab w:leader="none" w:pos="10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Creative Design Software - consisting of our online graphic design and image editing platform. This offering became available after we completed the acquisition of substantially all of the assets and assumption of certain liabilities from PicMonkey, LLC (“PicMonkey”) on September 3, 2021.</w:t>
      </w:r>
    </w:p>
    <w:p>
      <w:pPr>
        <w:spacing w:after="0" w:line="101"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On May 11, 2022, we completed our acquisition of Pond5, Inc. (“Pond5”), a video-first content marketplace which expands our content offerings across footage, image and music. On May 28, 2022, we acquired SCP 2020 Limited (“Splash News”), an entertainment news network for newsrooms and media companies, which offers image and video content across celebrity, red carpet and live events.</w:t>
      </w:r>
    </w:p>
    <w:p>
      <w:pPr>
        <w:spacing w:after="0" w:line="114"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For customers seeking specialized solutions, Shutterstock Studios extends our offerings by providing custom, high-quality content matched with production tools and services at scale. Shutterstock Studios delivers end-to-end custom creative services providing data-driven content strategy and full-scale production for our customers. Shutterstock Editorial provides imagery and video content for the latest news, sports and entertainment, and Shutterstock Editorial also offers the Newsroom, for global breaking news, exclusives and archival content.</w:t>
      </w:r>
    </w:p>
    <w:p>
      <w:pPr>
        <w:spacing w:after="0" w:line="118"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In addition, in July of 2021, through our newly formed entity Shutterstock.AI, Inc. (“Shutterstock.AI”), we acquired Pattern89, Inc., Datasine Limited, and assets from Shotzr, Inc., three artificial intelligence entities that provide data driven insights through their artificial intelligence platforms. Shutterstock.AI will commercialize data assets within our content library and enable companies to grow their capabilities in computer vision and content insights. The artificial intelligence tools obtained from these acquisitions will enable us to help customers make more data-informed content decisions.</w:t>
      </w:r>
    </w:p>
    <w:p>
      <w:pPr>
        <w:spacing w:after="0" w:line="10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Over 2.4 million active, paying customers contributed to our revenue for the twelve-month period ended September 30, 2022. As of September 30, 2022, more than 2.2 million approved contributors made their images, footage and music tracks available in our collection, which has grown to more than 424 million images and more than 27 million footage clips as of</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September 30, 2022. This makes our collection of content one of the largest of its kind, and we delivered 130.8 million paid downloads to our customers across all of our brands during the nine months ended September 30, 2022.</w:t>
      </w:r>
    </w:p>
    <w:p>
      <w:pPr>
        <w:spacing w:after="0" w:line="90" w:lineRule="exact"/>
        <w:rPr>
          <w:sz w:val="20"/>
          <w:szCs w:val="20"/>
          <w:color w:val="auto"/>
        </w:rPr>
      </w:pPr>
    </w:p>
    <w:p>
      <w:pPr>
        <w:ind w:right="60" w:firstLine="395"/>
        <w:spacing w:after="0" w:line="250" w:lineRule="auto"/>
        <w:rPr>
          <w:sz w:val="20"/>
          <w:szCs w:val="20"/>
          <w:color w:val="auto"/>
        </w:rPr>
      </w:pPr>
      <w:r>
        <w:rPr>
          <w:rFonts w:ascii="Times New Roman" w:cs="Times New Roman" w:eastAsia="Times New Roman" w:hAnsi="Times New Roman"/>
          <w:sz w:val="18"/>
          <w:szCs w:val="18"/>
          <w:color w:val="auto"/>
        </w:rPr>
        <w:t>Through our platform, we generate revenue as our customers make purchases of content licenses and tools. During the nine months ended September 30, 2022, 62% of our revenue and the majority of our content licenses came from our E-commerce sales channel. The majority of our customers license content directly through our self-service web properties. E-commerce customers have the ability to purchase plans that are paid on either a monthly or annual basis or to license content on a transactional basis. E-commerce customers generally license content under our standard or enhanced licenses, with additional licensing options available to meet customers’ individual needs.</w:t>
      </w:r>
    </w:p>
    <w:p>
      <w:pPr>
        <w:spacing w:after="0" w:line="119"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Customers in our Enterprise sales channel generally have unique content, licensing and workflow needs. These customers benefit from communication with our dedicated sales, service and research teams which provide a number of personalized enhancements to their creative workflows including non-standard licensing rights, multi-seat access, ability to pay on credit terms, multi-brand licensing packages, increased indemnification protection and content licensed for use-cases outside of those available on our e-commerce platform. Customers in our enterprise sales channel may also benefit from our API platform as well as access to Shutterstock Editorial, which includes our library of editorial images and videos and Shutterstock Studios, which provides data-driven content strategy, brand storytelling and full scale production services. Our Enterprise sales channel provided approximately 38% of our revenue for the nine months ended September 30, 2022.</w:t>
      </w:r>
    </w:p>
    <w:p>
      <w:pPr>
        <w:spacing w:after="0" w:line="121"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As the use cases for our creative solutions expand, we believe our customers are seeking alternative means to consume our offerings. As a result, we have seen strong growth in customers purchasing monthly subscription products, including our suite of multi-asset subscriptions, launched in 2021. These multi-asset products are credit-based and enable customers to license images, footage and music in a single subscription. Our subscriptions provide for either a fixed number of content licenses or credits that may be used to download content during the period. Our subscription-based pricing model makes the creative process easier because customers can download content in our collection for use in their creative process without incremental costs, which provides greater creative freedom and helps improve work product. In addition, customers may also purchase licenses through other contractual plans where the customer commits to buy a predetermined quantity of content licenses that may be downloaded over a period of time, generally between one month to one year. For users who need less content, individual content licenses may also be purchased on a transactional basis, paid for at the time of download.</w:t>
      </w:r>
    </w:p>
    <w:p>
      <w:pPr>
        <w:spacing w:after="0" w:line="86"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Contributors of content typically earn a royalty each time their work is licensed. Contributors earn royalties based on our published earnings schedule that is based on annual licensing volume, which determines the contributor’s earnings tier and the purchase option under which the content was licensed. Royalties represent the largest component of our operating expenses, are reported within cost of revenue, tend to fluctuate proportionately with revenue and paid downloads and may be impacted by the mix of products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11"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We regularly review a number of key operating metrics to evaluate our business, determine the allocation of resources and make decisions regarding business strategies. We believe that these metrics can be useful for understanding the underlying trends in our business. The following table summarizes our key operating metrics, which are unaudited, for the three and nine months ended September 30, 2022 and 2021: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4"/>
          </w:tcPr>
          <w:p>
            <w:pPr>
              <w:ind w:left="20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320" w:type="dxa"/>
            <w:vAlign w:val="bottom"/>
          </w:tcPr>
          <w:p>
            <w:pPr>
              <w:spacing w:after="0"/>
              <w:rPr>
                <w:sz w:val="14"/>
                <w:szCs w:val="14"/>
                <w:color w:val="auto"/>
              </w:rPr>
            </w:pPr>
          </w:p>
        </w:tc>
        <w:tc>
          <w:tcPr>
            <w:tcW w:w="2580" w:type="dxa"/>
            <w:vAlign w:val="bottom"/>
            <w:gridSpan w:val="3"/>
          </w:tcPr>
          <w:p>
            <w:pPr>
              <w:jc w:val="right"/>
              <w:ind w:right="443"/>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66"/>
        </w:trPr>
        <w:tc>
          <w:tcPr>
            <w:tcW w:w="53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5"/>
              <w:spacing w:after="0"/>
              <w:rPr>
                <w:sz w:val="20"/>
                <w:szCs w:val="20"/>
                <w:color w:val="auto"/>
              </w:rPr>
            </w:pPr>
            <w:r>
              <w:rPr>
                <w:rFonts w:ascii="Times New Roman" w:cs="Times New Roman" w:eastAsia="Times New Roman" w:hAnsi="Times New Roman"/>
                <w:sz w:val="12"/>
                <w:szCs w:val="12"/>
                <w:b w:val="1"/>
                <w:bCs w:val="1"/>
                <w:color w:val="auto"/>
              </w:rPr>
              <w:t>2022</w:t>
            </w:r>
          </w:p>
        </w:tc>
        <w:tc>
          <w:tcPr>
            <w:tcW w:w="4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45"/>
              <w:spacing w:after="0"/>
              <w:rPr>
                <w:sz w:val="20"/>
                <w:szCs w:val="20"/>
                <w:color w:val="auto"/>
              </w:rPr>
            </w:pPr>
            <w:r>
              <w:rPr>
                <w:rFonts w:ascii="Times New Roman" w:cs="Times New Roman" w:eastAsia="Times New Roman" w:hAnsi="Times New Roman"/>
                <w:sz w:val="12"/>
                <w:szCs w:val="12"/>
                <w:b w:val="1"/>
                <w:bCs w:val="1"/>
                <w:color w:val="auto"/>
              </w:rPr>
              <w:t>2022</w:t>
            </w:r>
          </w:p>
        </w:tc>
        <w:tc>
          <w:tcPr>
            <w:tcW w:w="4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56"/>
        </w:trPr>
        <w:tc>
          <w:tcPr>
            <w:tcW w:w="5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1"/>
        </w:trPr>
        <w:tc>
          <w:tcPr>
            <w:tcW w:w="53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0"/>
                <w:szCs w:val="20"/>
                <w:color w:val="auto"/>
                <w:vertAlign w:val="superscript"/>
              </w:rPr>
              <w:t>1</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607,000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607,000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336,000</w:t>
            </w:r>
          </w:p>
        </w:tc>
      </w:tr>
      <w:tr>
        <w:trPr>
          <w:trHeight w:val="211"/>
        </w:trPr>
        <w:tc>
          <w:tcPr>
            <w:tcW w:w="53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0"/>
                <w:szCs w:val="20"/>
                <w:color w:val="auto"/>
                <w:vertAlign w:val="superscript"/>
              </w:rPr>
              <w:t>1</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87.7</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257.8</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w:t>
            </w:r>
          </w:p>
        </w:tc>
      </w:tr>
      <w:tr>
        <w:trPr>
          <w:trHeight w:val="92"/>
        </w:trPr>
        <w:tc>
          <w:tcPr>
            <w:tcW w:w="53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211"/>
        </w:trPr>
        <w:tc>
          <w:tcPr>
            <w:tcW w:w="53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Average revenue per customer (last twelve months)</w:t>
            </w:r>
            <w:r>
              <w:rPr>
                <w:rFonts w:ascii="Times New Roman" w:cs="Times New Roman" w:eastAsia="Times New Roman" w:hAnsi="Times New Roman"/>
                <w:sz w:val="20"/>
                <w:szCs w:val="20"/>
                <w:color w:val="auto"/>
                <w:vertAlign w:val="superscript"/>
              </w:rPr>
              <w:t>1</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329</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329</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1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Paid downloads (in millions)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42.8</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130.8</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per download</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4.43</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4.37</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 in our collection (end of period, in millions):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Images</w:t>
            </w:r>
          </w:p>
        </w:tc>
        <w:tc>
          <w:tcPr>
            <w:tcW w:w="30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424</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424</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212"/>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Footage clips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27</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27</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___________________________________________________</w:t>
      </w:r>
    </w:p>
    <w:p>
      <w:pPr>
        <w:spacing w:after="0" w:line="160" w:lineRule="exact"/>
        <w:rPr>
          <w:sz w:val="20"/>
          <w:szCs w:val="20"/>
          <w:color w:val="auto"/>
        </w:rPr>
      </w:pPr>
    </w:p>
    <w:p>
      <w:pPr>
        <w:ind w:right="500" w:firstLine="5"/>
        <w:spacing w:after="0" w:line="209" w:lineRule="auto"/>
        <w:tabs>
          <w:tab w:leader="none" w:pos="85"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TurboSquid beginning February 2022 and from PicMonkey beginning September 2022. These metrics exclude the respective counts and revenues from our acquisitions of Pond5 and Splash News.</w:t>
      </w:r>
    </w:p>
    <w:p>
      <w:pPr>
        <w:spacing w:after="0" w:line="200" w:lineRule="exact"/>
        <w:rPr>
          <w:sz w:val="20"/>
          <w:szCs w:val="20"/>
          <w:color w:val="auto"/>
        </w:rPr>
      </w:pPr>
    </w:p>
    <w:p>
      <w:pPr>
        <w:spacing w:after="0" w:line="24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TurboSquid beginning February 2022 and from PicMonkey beginning September 2022. These metrics exclude the respective counts and revenues from our acquisitions of Pond5 and Splash News.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Subscribers</w:t>
      </w:r>
    </w:p>
    <w:p>
      <w:pPr>
        <w:spacing w:after="0" w:line="165" w:lineRule="exact"/>
        <w:rPr>
          <w:sz w:val="20"/>
          <w:szCs w:val="20"/>
          <w:color w:val="auto"/>
        </w:rPr>
      </w:pPr>
    </w:p>
    <w:p>
      <w:pPr>
        <w:ind w:right="60"/>
        <w:spacing w:after="0" w:line="303" w:lineRule="auto"/>
        <w:rPr>
          <w:sz w:val="20"/>
          <w:szCs w:val="20"/>
          <w:color w:val="auto"/>
        </w:rPr>
      </w:pPr>
      <w:r>
        <w:rPr>
          <w:rFonts w:ascii="Times New Roman" w:cs="Times New Roman" w:eastAsia="Times New Roman" w:hAnsi="Times New Roman"/>
          <w:sz w:val="16"/>
          <w:szCs w:val="16"/>
          <w:color w:val="auto"/>
        </w:rPr>
        <w:t>We define subscribers as those customers who purchase one or more of our monthly recurring products for a continuous period of at least three months, measured as of the end of the reporting period. We believe the number of subscribers is an important metric that provides insight into our monthly recurring business and its growth. We believe that an increase in our number of subscribers is an indicator of engagement in our platform and potential for future growth.</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 Revenue</w:t>
      </w:r>
    </w:p>
    <w:p>
      <w:pPr>
        <w:spacing w:after="0" w:line="165"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color w:val="auto"/>
        </w:rPr>
        <w:t>We define subscriber revenue as the revenue generated from subscribers during the period. We believe subscriber revenue, together with our number of subscribers, provide insight into the portion of our business and growth driven by our monthly recurring products.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Customer</w:t>
      </w:r>
    </w:p>
    <w:p>
      <w:pPr>
        <w:spacing w:after="0" w:line="16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Average revenue per customer is calculated by dividing total revenue for the last twelve-month period by customers. We define customers as total active, paying customers that contributed to total revenue over the last twelve-month period. Changes in our average revenue per customer will be driven by changes in the mix of our subscription-based products and the pricing in our transactional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Paid Downloads</w:t>
      </w:r>
    </w:p>
    <w:p>
      <w:pPr>
        <w:spacing w:after="0" w:line="165" w:lineRule="exact"/>
        <w:rPr>
          <w:sz w:val="20"/>
          <w:szCs w:val="20"/>
          <w:color w:val="auto"/>
        </w:rPr>
      </w:pPr>
    </w:p>
    <w:p>
      <w:pPr>
        <w:jc w:val="both"/>
        <w:ind w:right="280"/>
        <w:spacing w:after="0" w:line="256" w:lineRule="auto"/>
        <w:rPr>
          <w:sz w:val="20"/>
          <w:szCs w:val="20"/>
          <w:color w:val="auto"/>
        </w:rPr>
      </w:pPr>
      <w:r>
        <w:rPr>
          <w:rFonts w:ascii="Times New Roman" w:cs="Times New Roman" w:eastAsia="Times New Roman" w:hAnsi="Times New Roman"/>
          <w:sz w:val="18"/>
          <w:szCs w:val="18"/>
          <w:color w:val="auto"/>
        </w:rPr>
        <w:t>We define paid downloads as the number of downloads that our customers make in a given period of our content. Paid downloads exclude content related to custom content, downloads of content that are offered to customers for no charge, including our free image of the week, and downloads associated with our computer vision offering. Measuring the number of</w:t>
      </w:r>
    </w:p>
    <w:p>
      <w:pPr>
        <w:spacing w:after="0" w:line="200" w:lineRule="exact"/>
        <w:rPr>
          <w:sz w:val="20"/>
          <w:szCs w:val="20"/>
          <w:color w:val="auto"/>
        </w:rPr>
      </w:pPr>
    </w:p>
    <w:p>
      <w:pPr>
        <w:spacing w:after="0" w:line="30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color w:val="auto"/>
        </w:rPr>
        <w:t>paid downloads that our customers make in a given period is important because they are the primary method of delivering licensed content, which drives a significant portion of the Company’s revenue and contributor royalties.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per Download</w:t>
      </w:r>
    </w:p>
    <w:p>
      <w:pPr>
        <w:spacing w:after="0" w:line="16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define revenue per download as the amount of revenue recognized in a given period divided by the number of paid downloads in that period excluding revenue from custom content, revenue that is not derived from or associated with content licenses and revenue associated with our computer vision offering. This metric captures any changes in our pricing, including changes resulting from the impact of competitive pressures, as well as the mix of licensing options that our customers choose, some of which generate more revenue per download than others, and the impact that changes in foreign currency rates have on our pricing. Changes in revenue per download are primarily driven by the introduction of new product offerings, changes in product mix and customer utilization of our products.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in our Collection</w:t>
      </w:r>
    </w:p>
    <w:p>
      <w:pPr>
        <w:spacing w:after="0" w:line="113"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define content in our collection as the total number of approved images (photographs, vectors and illustrations) and footage (in number of clips) in our library on shutterstock.com at the end of the period. We exclude content from this collection metric that is not uploaded directly to our site but is available for license by our customers through an application program interface, custom content and certain content that may be licensed for editorial use only. We believe that our large selection of high-quality content enables us to attract and retain customers and drives our network effect.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50"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the fair value of acquired goodwill and intangible assets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12"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We believe that the policies, assumptions and estimates associated with our revenue recognition, allowance for doubtful accounts, goodwill and intangible assets and accounting for income taxes have the greatest potential impact on our financial statements. Therefore, we consider these to be our critical accounting policies and estimates.</w:t>
      </w:r>
    </w:p>
    <w:p>
      <w:pPr>
        <w:spacing w:after="0" w:line="114"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A description of our critical accounting policies that involve significant management judgments appears in our 2021 Form 10-K, under “Management’s Discussion and Analysis of Financial Condition and Results of Operations—Critical Accounting Policies and Estimates.”</w:t>
      </w:r>
    </w:p>
    <w:p>
      <w:pPr>
        <w:spacing w:after="0" w:line="64"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See Note 1 to our Unaudited Consolidated Financial Statements included in Part I, Item 1 of this Quarterly Report on Form 10-Q for a full description of the impact of the adoption of new accounting standards on our financial statements. There have been no material changes to our critical accounting policies and estimates as compared to our critical accounting policies and estimates included in our 2021 Form 10-K.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distribute our content offerings through two primary channels:</w:t>
      </w:r>
    </w:p>
    <w:p>
      <w:pPr>
        <w:spacing w:after="0" w:line="107" w:lineRule="exact"/>
        <w:rPr>
          <w:sz w:val="20"/>
          <w:szCs w:val="20"/>
          <w:color w:val="auto"/>
        </w:rPr>
      </w:pPr>
    </w:p>
    <w:p>
      <w:pPr>
        <w:ind w:right="180" w:firstLine="395"/>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E-commerce: </w:t>
      </w:r>
      <w:r>
        <w:rPr>
          <w:rFonts w:ascii="Times New Roman" w:cs="Times New Roman" w:eastAsia="Times New Roman" w:hAnsi="Times New Roman"/>
          <w:sz w:val="16"/>
          <w:szCs w:val="16"/>
          <w:color w:val="auto"/>
        </w:rPr>
        <w:t>The majority of our customers make purchases of content licenses and tools directly through our self-service web properties. E-commerce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customers have the flexibility to purchase a subscription-based plan that is paid on a monthly or annual basis or to license content on a transactional basis. These customers generally license content under our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46" w:lineRule="exact"/>
        <w:rPr>
          <w:sz w:val="20"/>
          <w:szCs w:val="20"/>
          <w:color w:val="auto"/>
        </w:rPr>
      </w:pPr>
    </w:p>
    <w:p>
      <w:pPr>
        <w:ind w:right="8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Enterprise: </w:t>
      </w:r>
      <w:r>
        <w:rPr>
          <w:rFonts w:ascii="Times New Roman" w:cs="Times New Roman" w:eastAsia="Times New Roman" w:hAnsi="Times New Roman"/>
          <w:sz w:val="18"/>
          <w:szCs w:val="18"/>
          <w:color w:val="auto"/>
        </w:rPr>
        <w:t>We also have a base of customers with unique content, licensing and workflow needs. These customers benefit from communication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dedicated sales,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distribution channel for the three and nine months ended September 30, 2022 and 2021 are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6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40" w:type="dxa"/>
            <w:vAlign w:val="bottom"/>
          </w:tcPr>
          <w:p>
            <w:pPr>
              <w:spacing w:after="0"/>
              <w:rPr>
                <w:sz w:val="14"/>
                <w:szCs w:val="14"/>
                <w:color w:val="auto"/>
              </w:rPr>
            </w:pPr>
          </w:p>
        </w:tc>
      </w:tr>
      <w:tr>
        <w:trPr>
          <w:trHeight w:val="185"/>
        </w:trPr>
        <w:tc>
          <w:tcPr>
            <w:tcW w:w="5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4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Pr>
          <w:p>
            <w:pPr>
              <w:spacing w:after="0"/>
              <w:rPr>
                <w:sz w:val="16"/>
                <w:szCs w:val="16"/>
                <w:color w:val="auto"/>
              </w:rPr>
            </w:pPr>
          </w:p>
        </w:tc>
      </w:tr>
      <w:tr>
        <w:trPr>
          <w:trHeight w:val="37"/>
        </w:trPr>
        <w:tc>
          <w:tcPr>
            <w:tcW w:w="53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80"/>
        </w:trPr>
        <w:tc>
          <w:tcPr>
            <w:tcW w:w="5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37"/>
        </w:trPr>
        <w:tc>
          <w:tcPr>
            <w:tcW w:w="53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0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E-commerce</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124,594</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121,707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379,052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360,822</w:t>
            </w:r>
          </w:p>
        </w:tc>
      </w:tr>
      <w:tr>
        <w:trPr>
          <w:trHeight w:val="20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Enterprise</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79,502</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72,732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231,048</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206,810</w:t>
            </w:r>
          </w:p>
        </w:tc>
      </w:tr>
      <w:tr>
        <w:trPr>
          <w:trHeight w:val="231"/>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204,096</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194,439</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610,100</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567,632</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37"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royalties paid to contributors, credit card processing fees, content review costs, customer service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119" w:lineRule="exact"/>
        <w:rPr>
          <w:sz w:val="20"/>
          <w:szCs w:val="20"/>
          <w:color w:val="auto"/>
        </w:rPr>
      </w:pPr>
    </w:p>
    <w:p>
      <w:pPr>
        <w:ind w:right="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include third-party marketing, advertising, branding, public relations and sales expenses.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expenses also include associated employee compensation, including non-cash equity-based compensation, bonuses and benefits, and commissions as well as allocated facility and other supporting overhead costs.</w:t>
      </w:r>
    </w:p>
    <w:p>
      <w:pPr>
        <w:spacing w:after="0" w:line="111" w:lineRule="exact"/>
        <w:rPr>
          <w:sz w:val="20"/>
          <w:szCs w:val="20"/>
          <w:color w:val="auto"/>
        </w:rPr>
      </w:pPr>
    </w:p>
    <w:p>
      <w:pPr>
        <w:ind w:right="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consist of employee compensation, including non-cash equity-based compensation, bonuses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expenses related to vendors engaged in product management, design, development and testing of our websites and products. Product development costs also includes software and other IT equipment costs, allocated facility expenses and other supporting overhead costs.</w:t>
      </w:r>
    </w:p>
    <w:p>
      <w:pPr>
        <w:spacing w:after="0" w:line="98"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employee compensation, including non-cash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and benefits for executive, finance, accounting, legal, human resources, internal information technology, internet security, business intelligence and other administrative personnel. In addition, general and administrative expenses include outside legal, tax and accounting services, bad debt expense, insurance, facilities costs, other supporting overhead costs and depreciation and amortization expense.</w:t>
      </w:r>
    </w:p>
    <w:p>
      <w:pPr>
        <w:spacing w:after="0" w:line="114" w:lineRule="exact"/>
        <w:rPr>
          <w:sz w:val="20"/>
          <w:szCs w:val="20"/>
          <w:color w:val="auto"/>
        </w:rPr>
      </w:pPr>
    </w:p>
    <w:p>
      <w:pPr>
        <w:ind w:right="2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consists of non-operating costs such as foreign currency transaction gains and losses in addition to interest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expense.</w:t>
      </w:r>
    </w:p>
    <w:p>
      <w:pPr>
        <w:spacing w:after="0" w:line="98" w:lineRule="exact"/>
        <w:rPr>
          <w:sz w:val="20"/>
          <w:szCs w:val="20"/>
          <w:color w:val="auto"/>
        </w:rPr>
      </w:pPr>
    </w:p>
    <w:p>
      <w:pPr>
        <w:ind w:right="2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compute income taxes using the asset and liability method, under which deferred tax assets and liabilities are determined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33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1" w:lineRule="exact"/>
        <w:rPr>
          <w:sz w:val="20"/>
          <w:szCs w:val="20"/>
          <w:color w:val="auto"/>
        </w:rPr>
      </w:pPr>
    </w:p>
    <w:p>
      <w:pPr>
        <w:ind w:right="8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The period-to-period comparisons of results are not necessarily indicative of results for future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6"/>
                <w:szCs w:val="16"/>
                <w:color w:val="auto"/>
              </w:rPr>
            </w:pPr>
          </w:p>
        </w:tc>
        <w:tc>
          <w:tcPr>
            <w:tcW w:w="2560" w:type="dxa"/>
            <w:vAlign w:val="bottom"/>
            <w:gridSpan w:val="4"/>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1"/>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7"/>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204,096</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194,439</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610,100</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567,632</w:t>
            </w: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199,223</w:t>
            </w:r>
          </w:p>
        </w:tc>
      </w:tr>
      <w:tr>
        <w:trPr>
          <w:trHeight w:val="212"/>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54,456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142,273</w:t>
            </w:r>
          </w:p>
        </w:tc>
      </w:tr>
      <w:tr>
        <w:trPr>
          <w:trHeight w:val="209"/>
        </w:trPr>
        <w:tc>
          <w:tcPr>
            <w:tcW w:w="5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36,289</w:t>
            </w:r>
          </w:p>
        </w:tc>
      </w:tr>
      <w:tr>
        <w:trPr>
          <w:trHeight w:val="212"/>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94,085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96,335</w:t>
            </w:r>
          </w:p>
        </w:tc>
      </w:tr>
      <w:tr>
        <w:trPr>
          <w:trHeight w:val="202"/>
        </w:trPr>
        <w:tc>
          <w:tcPr>
            <w:tcW w:w="52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175,411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172,270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524,123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474,120</w:t>
            </w:r>
          </w:p>
        </w:tc>
      </w:tr>
      <w:tr>
        <w:trPr>
          <w:trHeight w:val="20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85,977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93,512</w:t>
            </w:r>
          </w:p>
        </w:tc>
      </w:tr>
      <w:tr>
        <w:trPr>
          <w:trHeight w:val="20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(2,888)</w:t>
            </w:r>
          </w:p>
        </w:tc>
      </w:tr>
      <w:tr>
        <w:trPr>
          <w:trHeight w:val="20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82,528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90,624</w:t>
            </w:r>
          </w:p>
        </w:tc>
      </w:tr>
      <w:tr>
        <w:trPr>
          <w:trHeight w:val="20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13,471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15,627</w:t>
            </w:r>
          </w:p>
        </w:tc>
      </w:tr>
      <w:tr>
        <w:trPr>
          <w:trHeight w:val="229"/>
        </w:trPr>
        <w:tc>
          <w:tcPr>
            <w:tcW w:w="5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69,057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74,997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components of our results of operations for the periods indicated as a percentage of revenue: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26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3"/>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920" w:type="dxa"/>
            <w:vAlign w:val="bottom"/>
            <w:gridSpan w:val="2"/>
          </w:tcPr>
          <w:p>
            <w:pPr>
              <w:spacing w:after="0"/>
              <w:rPr>
                <w:sz w:val="2"/>
                <w:szCs w:val="2"/>
                <w:color w:val="auto"/>
              </w:rPr>
            </w:pPr>
          </w:p>
        </w:tc>
        <w:tc>
          <w:tcPr>
            <w:tcW w:w="166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84"/>
        </w:trPr>
        <w:tc>
          <w:tcPr>
            <w:tcW w:w="4960" w:type="dxa"/>
            <w:vAlign w:val="bottom"/>
          </w:tcPr>
          <w:p>
            <w:pPr>
              <w:spacing w:after="0"/>
              <w:rPr>
                <w:sz w:val="16"/>
                <w:szCs w:val="16"/>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6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top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7"/>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9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r>
      <w:tr>
        <w:trPr>
          <w:trHeight w:val="209"/>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2"/>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9"/>
        </w:trPr>
        <w:tc>
          <w:tcPr>
            <w:tcW w:w="59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12"/>
        </w:trPr>
        <w:tc>
          <w:tcPr>
            <w:tcW w:w="5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09"/>
        </w:trPr>
        <w:tc>
          <w:tcPr>
            <w:tcW w:w="59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12"/>
        </w:trPr>
        <w:tc>
          <w:tcPr>
            <w:tcW w:w="5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02"/>
        </w:trPr>
        <w:tc>
          <w:tcPr>
            <w:tcW w:w="49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0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84 %</w:t>
            </w:r>
          </w:p>
        </w:tc>
      </w:tr>
      <w:tr>
        <w:trPr>
          <w:trHeight w:val="206"/>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09"/>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6"/>
        </w:trPr>
        <w:tc>
          <w:tcPr>
            <w:tcW w:w="49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09"/>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29"/>
        </w:trPr>
        <w:tc>
          <w:tcPr>
            <w:tcW w:w="49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Note: Due to rounding, percentages may not sum to totals.</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2022 and 2021</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540" w:type="dxa"/>
            <w:vAlign w:val="bottom"/>
          </w:tcPr>
          <w:p>
            <w:pPr>
              <w:spacing w:after="0"/>
              <w:rPr>
                <w:sz w:val="16"/>
                <w:szCs w:val="16"/>
                <w:color w:val="auto"/>
              </w:rPr>
            </w:pPr>
          </w:p>
        </w:tc>
      </w:tr>
      <w:tr>
        <w:trPr>
          <w:trHeight w:val="24"/>
        </w:trPr>
        <w:tc>
          <w:tcPr>
            <w:tcW w:w="5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4"/>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1"/>
        </w:trPr>
        <w:tc>
          <w:tcPr>
            <w:tcW w:w="51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r>
      <w:tr>
        <w:trPr>
          <w:trHeight w:val="21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09"/>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204,096</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194,439</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9,657</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12"/>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09"/>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10,277</w:t>
            </w:r>
          </w:p>
        </w:tc>
        <w:tc>
          <w:tcPr>
            <w:tcW w:w="120" w:type="dxa"/>
            <w:vAlign w:val="bottom"/>
          </w:tcPr>
          <w:p>
            <w:pPr>
              <w:spacing w:after="0"/>
              <w:rPr>
                <w:sz w:val="18"/>
                <w:szCs w:val="18"/>
                <w:color w:val="auto"/>
              </w:rPr>
            </w:pPr>
          </w:p>
        </w:tc>
        <w:tc>
          <w:tcPr>
            <w:tcW w:w="15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(12)</w:t>
            </w:r>
          </w:p>
        </w:tc>
      </w:tr>
      <w:tr>
        <w:trPr>
          <w:trHeight w:val="209"/>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3,969</w:t>
            </w:r>
          </w:p>
        </w:tc>
        <w:tc>
          <w:tcPr>
            <w:tcW w:w="120" w:type="dxa"/>
            <w:vAlign w:val="bottom"/>
          </w:tcPr>
          <w:p>
            <w:pPr>
              <w:spacing w:after="0"/>
              <w:rPr>
                <w:sz w:val="18"/>
                <w:szCs w:val="18"/>
                <w:color w:val="auto"/>
              </w:rPr>
            </w:pPr>
          </w:p>
        </w:tc>
        <w:tc>
          <w:tcPr>
            <w:tcW w:w="15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29</w:t>
            </w:r>
          </w:p>
        </w:tc>
      </w:tr>
      <w:tr>
        <w:trPr>
          <w:trHeight w:val="212"/>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(4,426)</w:t>
            </w:r>
          </w:p>
        </w:tc>
        <w:tc>
          <w:tcPr>
            <w:tcW w:w="12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(13)</w:t>
            </w:r>
          </w:p>
        </w:tc>
      </w:tr>
      <w:tr>
        <w:trPr>
          <w:trHeight w:val="202"/>
        </w:trPr>
        <w:tc>
          <w:tcPr>
            <w:tcW w:w="51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175,411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172,270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w:t>
            </w:r>
          </w:p>
        </w:tc>
      </w:tr>
      <w:tr>
        <w:trPr>
          <w:trHeight w:val="206"/>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6,516</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29</w:t>
            </w:r>
          </w:p>
        </w:tc>
      </w:tr>
      <w:tr>
        <w:trPr>
          <w:trHeight w:val="209"/>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(12)</w:t>
            </w:r>
          </w:p>
        </w:tc>
      </w:tr>
      <w:tr>
        <w:trPr>
          <w:trHeight w:val="206"/>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6,719</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33</w:t>
            </w:r>
          </w:p>
        </w:tc>
      </w:tr>
      <w:tr>
        <w:trPr>
          <w:trHeight w:val="209"/>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(7)</w:t>
            </w:r>
          </w:p>
        </w:tc>
      </w:tr>
      <w:tr>
        <w:trPr>
          <w:trHeight w:val="229"/>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7,011</w:t>
            </w: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00"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Revenue increased by $9.7 million, or 5%, to $204.1 million in the three months ended September 30, 2022 compared to the same period in 2021. On a constant currency basis, revenue increased approximately 10% in the three months ended September 30, 2022, compared to the same period in 2021. Approximately 17% and 7% of the Company’s revenues were denominated in Euro and Pounds Sterling, respectively. These currencies have depreciated to historically low values compared to the U.S. dollar during the three months ended September 30, 2022. Other currencies we transact in, including the Japanese Yen and Australian Dollar also depreciated significantly during the period.</w:t>
      </w:r>
    </w:p>
    <w:p>
      <w:pPr>
        <w:spacing w:after="0" w:line="118" w:lineRule="exact"/>
        <w:rPr>
          <w:sz w:val="20"/>
          <w:szCs w:val="20"/>
          <w:color w:val="auto"/>
        </w:rPr>
      </w:pPr>
    </w:p>
    <w:p>
      <w:pPr>
        <w:ind w:right="20" w:firstLine="395"/>
        <w:spacing w:after="0" w:line="286" w:lineRule="auto"/>
        <w:rPr>
          <w:sz w:val="20"/>
          <w:szCs w:val="20"/>
          <w:color w:val="auto"/>
        </w:rPr>
      </w:pPr>
      <w:r>
        <w:rPr>
          <w:rFonts w:ascii="Times New Roman" w:cs="Times New Roman" w:eastAsia="Times New Roman" w:hAnsi="Times New Roman"/>
          <w:sz w:val="16"/>
          <w:szCs w:val="16"/>
          <w:color w:val="auto"/>
        </w:rPr>
        <w:t>The Company’s E-commerce revenues increased by 2%, to $124.6 million in the three months ended September 30, 2022, compared to the same period in 2021. On a constant currency basis, E-commerce revenues increased by 6% in the three months ended September 30, 2022, compared to the same period in</w:t>
      </w:r>
    </w:p>
    <w:p>
      <w:pPr>
        <w:ind w:right="120"/>
        <w:spacing w:after="0" w:line="246" w:lineRule="auto"/>
        <w:rPr>
          <w:sz w:val="20"/>
          <w:szCs w:val="20"/>
          <w:color w:val="auto"/>
        </w:rPr>
      </w:pPr>
      <w:r>
        <w:rPr>
          <w:rFonts w:ascii="Times New Roman" w:cs="Times New Roman" w:eastAsia="Times New Roman" w:hAnsi="Times New Roman"/>
          <w:sz w:val="18"/>
          <w:szCs w:val="18"/>
          <w:color w:val="auto"/>
        </w:rPr>
        <w:t>2021. During the three months ended September 30, 2022, growth in our E-commerce sales channel was primarily driven by revenue generated from our acquisitions of PicMonkey and Pond5 which were completed on September 3, 2021 and May 11, 2022, respectively. E-commerce revenue also benefited from higher subscriber revenue, which was offset by a reduction in revenue generated from our transactional products.</w:t>
      </w:r>
    </w:p>
    <w:p>
      <w:pPr>
        <w:spacing w:after="0" w:line="109"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The Company’s Enterprise revenues increased by 9%, to $79.5 million in the three months ended September 30, 2022, compared to the same period in 2021. On a constant currency basis, the Company’s Enterprise revenues increased by 15% in the three months ended September 30, 2022, compared to the same period in 2021. Enterprise revenue growth was driven by our multi-asset product offerings and continued momentum in Shutterstock Studios and Shutterstock Editorial. Enterprise revenue growth also benefited from our acquisitions of Pond5 and Splash News, which were completed on May 11, 2022 and May 28, 2022, respectively.</w:t>
      </w:r>
    </w:p>
    <w:p>
      <w:pPr>
        <w:spacing w:after="0" w:line="119"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In the three months ended September 30, 2022 and 2021, we delivered 42.8 million and 44.3 million paid downloads, respectively, and our revenue per download was $4.43 and $4.20 for the three months ended September 30, 2022 and 2021, respectively. During the three months ended September 30, 2022, the increase in revenue per download was primarily due to changes in product mix.</w:t>
      </w:r>
    </w:p>
    <w:p>
      <w:pPr>
        <w:spacing w:after="0" w:line="101"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$11.8 million, or 15%, to $89.1 million, revenue from Europe decreased by $3.0 million, or 5%, to $57.3 million and revenue from outside Europe and North America increased by $0.9 million, or 1%, to $57.7 million, in the three months ended September 30, 2022 compared to the same period in 2021. During the three months ended September 30, 2022, the decline in revenue in Europe was a result of weaker demand and foreign currency pressures.</w:t>
      </w:r>
    </w:p>
    <w:p>
      <w:pPr>
        <w:spacing w:after="0" w:line="200" w:lineRule="exact"/>
        <w:rPr>
          <w:sz w:val="20"/>
          <w:szCs w:val="20"/>
          <w:color w:val="auto"/>
        </w:rPr>
      </w:pPr>
    </w:p>
    <w:p>
      <w:pPr>
        <w:spacing w:after="0" w:line="21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1"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increased by $10.3 million, or 15% to $79.9 million in the three months ended September 30, 2022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2021. This increase was primarily driven by: (i) increased depreciation and amortization expense driven by our recent acquisitions; (ii) increased royalty, content and reviewer costs; and (iii) higher costs associated with website hosting, hardware and software licenses. We expect that our cost of revenue will continue to fluctuate in line with changes in revenue and paid downloads.</w:t>
      </w:r>
    </w:p>
    <w:p>
      <w:pPr>
        <w:spacing w:after="0" w:line="75"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decreased by $6.7 million, or 12%, to $47.8 million in the three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2021. As a percent of revenue, sales and marketing expenses decreased to 23% for the three months ended September 30, 2022, from 28% for the same period in 2021. This was primarily driven by $8.4 million in decreased marketing spend, primarily related to a decline in linear television ad spend and brand marketing. We expect sales and marketing expenses to continue to fluctuate as we optimize our sales channels and invest in new customer acquisition, products and geographies.</w:t>
      </w:r>
    </w:p>
    <w:p>
      <w:pPr>
        <w:spacing w:after="0" w:line="80"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expenses increased by $4.0 million, or 29%, to $17.5 million in the three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2021. This increase was driven by $3.0 million in higher employee and third-party contractor related costs, net of capitalized labor, for the three months ended September 30, 2022, as compared to the same period in the prior year.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80" w:lineRule="exact"/>
        <w:rPr>
          <w:sz w:val="20"/>
          <w:szCs w:val="20"/>
          <w:color w:val="auto"/>
        </w:rPr>
      </w:pPr>
    </w:p>
    <w:p>
      <w:pPr>
        <w:ind w:right="2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decreased by $4.4 million, or 13%, to $30.2 million in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2022 compared to the same period in 2021. This decrease was driven by (i) $2.3 million in lower professional fees driven by transaction costs associated with the PicMonkey acquisition on September 3, 2021, and (ii) $1.8 million in decreased non-cash compensation expense.</w:t>
      </w:r>
    </w:p>
    <w:p>
      <w:pPr>
        <w:spacing w:after="0" w:line="72" w:lineRule="exact"/>
        <w:rPr>
          <w:sz w:val="20"/>
          <w:szCs w:val="20"/>
          <w:color w:val="auto"/>
        </w:rPr>
      </w:pPr>
    </w:p>
    <w:p>
      <w:pPr>
        <w:ind w:right="180" w:firstLine="395"/>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Other Expense, Net. </w:t>
      </w:r>
      <w:r>
        <w:rPr>
          <w:rFonts w:ascii="Times New Roman" w:cs="Times New Roman" w:eastAsia="Times New Roman" w:hAnsi="Times New Roman"/>
          <w:sz w:val="16"/>
          <w:szCs w:val="16"/>
          <w:color w:val="auto"/>
        </w:rPr>
        <w:t>In the three months ended September 30, 2022, other expense, net substantially consisted of $1.1 million of unfavorable unrealized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foreign currency fluctuations and $0.4 million of interest expense related to the Credit Facility. During the three months ended September 30, 2021, other expense, net substantially consisted of $1.8 million of unfavorable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46" w:lineRule="exact"/>
        <w:rPr>
          <w:sz w:val="20"/>
          <w:szCs w:val="20"/>
          <w:color w:val="auto"/>
        </w:rPr>
      </w:pPr>
    </w:p>
    <w:p>
      <w:pPr>
        <w:ind w:right="12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 expense decreased by $0.3 million for the three months ended September 30, 2022, compared to the same period in 2021.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rates were 15.1% and 21.5% for the three months ended September 30, 2022 and 2021, respectively.</w:t>
      </w:r>
    </w:p>
    <w:p>
      <w:pPr>
        <w:spacing w:after="0" w:line="61" w:lineRule="exact"/>
        <w:rPr>
          <w:sz w:val="20"/>
          <w:szCs w:val="20"/>
          <w:color w:val="auto"/>
        </w:rPr>
      </w:pPr>
    </w:p>
    <w:p>
      <w:pPr>
        <w:ind w:right="580" w:firstLine="395"/>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2022, the effective tax rate decreased by 3.3% related primarily to the effect of the U.S. Research and Development (“R&amp;D”) tax credit claimed on the Company’s 2021 tax return, which was substantially completed in the third quarter of 2022. Excluding discrete items, our effective tax rate would have been 18.4% for the three months ended September 30, 2022.</w:t>
      </w:r>
    </w:p>
    <w:p>
      <w:pPr>
        <w:spacing w:after="0" w:line="75" w:lineRule="exact"/>
        <w:rPr>
          <w:sz w:val="20"/>
          <w:szCs w:val="20"/>
          <w:color w:val="auto"/>
        </w:rPr>
      </w:pPr>
    </w:p>
    <w:p>
      <w:pPr>
        <w:ind w:right="320"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September 30, 2021, the net effect of discrete items increased the effective tax rate by 1.3%. Excluding discrete items, our effective tax rate would have been 20.2% for the three months ended September 30, 2021.</w:t>
      </w:r>
    </w:p>
    <w:p>
      <w:pPr>
        <w:spacing w:after="0" w:line="104"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2022 and 2021</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560" w:type="dxa"/>
            <w:vAlign w:val="bottom"/>
          </w:tcPr>
          <w:p>
            <w:pPr>
              <w:spacing w:after="0"/>
              <w:rPr>
                <w:sz w:val="16"/>
                <w:szCs w:val="16"/>
                <w:color w:val="auto"/>
              </w:rPr>
            </w:pPr>
          </w:p>
        </w:tc>
      </w:tr>
      <w:tr>
        <w:trPr>
          <w:trHeight w:val="24"/>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1"/>
        </w:trPr>
        <w:tc>
          <w:tcPr>
            <w:tcW w:w="5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r>
      <w:tr>
        <w:trPr>
          <w:trHeight w:val="21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9"/>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610,100</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567,632</w:t>
            </w:r>
          </w:p>
        </w:tc>
        <w:tc>
          <w:tcPr>
            <w:tcW w:w="12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42,468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9"/>
        </w:trPr>
        <w:tc>
          <w:tcPr>
            <w:tcW w:w="5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27,158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12"/>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13,062</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09"/>
        </w:trPr>
        <w:tc>
          <w:tcPr>
            <w:tcW w:w="5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12,033</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12"/>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94,085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96,335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2"/>
        </w:trPr>
        <w:tc>
          <w:tcPr>
            <w:tcW w:w="51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524,123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474,120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50,003</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06"/>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93,512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(7,535)</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9"/>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expense, net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06"/>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90,624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(8,096)</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9"/>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13,471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15,627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29"/>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69,057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74,997</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(5,940)</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3"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color w:val="auto"/>
        </w:rPr>
        <w:t>Revenue increased by $42.5 million, or 7%, to $610.1 million in the nine months ended September 30, 2022 compared to the same period in 2021. On a constant currency basis, revenue increased approximately 11% in the nine months ended September 30, 2022, compared to the same period in 2021. Approximately 18% and 7% of the Company’s revenues were denominated in Euro and Pounds Sterling, respectively. These currencies have depreciated to historically low values compared to the U.S. dollar during the nine months ended September 30, 2022. Other currencies we transact in, including the Japanese Yen and Australian Dollar also depreciated significantly during the period.</w:t>
      </w:r>
    </w:p>
    <w:p>
      <w:pPr>
        <w:spacing w:after="0" w:line="106"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The Company’s E-commerce revenues increased by 5%, to $379.1 million in the nine months ended September 30, 2022, compared to the same period in 2021. On a constant currency basis, the Company’s E-commerce revenues increased by 8% in the nine months ended September 30, 2022, compared to the same period in 2021. During the nine months ended September 30, 2022, growth in our E-commerce sales channel was primarily driven by revenue generated from our acquisitions of PicMonkey and Pond5, which were completed on September 3, 2021 and May 11, 2022, respectively. E-commerce revenue also benefited from higher subscriber revenue, which was offset by a reduction in revenue generated from our transactional products.</w:t>
      </w:r>
    </w:p>
    <w:p>
      <w:pPr>
        <w:spacing w:after="0" w:line="119"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The Company’s Enterprise revenues increased by 12%, to $231.0 million in the nine months ended September 30, 2022, compared to the same period in 2021. On a constant currency basis, the Company’s Enterprise revenues increased by 16% in the nine months ended September 30, 2022, compared to the same period in 2021. Enterprise revenue growth was driven by our multi-asset product offerings and continued momentum in Shutterstock Studios and Shutterstock Editorial. Enterprise revenue growth also benefited from our acquisitions of Pond5 and Splash News, which were completed on May 11, 2022 and May 28, 2022, respectively.</w:t>
      </w:r>
    </w:p>
    <w:p>
      <w:pPr>
        <w:spacing w:after="0" w:line="119" w:lineRule="exact"/>
        <w:rPr>
          <w:sz w:val="20"/>
          <w:szCs w:val="20"/>
          <w:color w:val="auto"/>
        </w:rPr>
      </w:pPr>
    </w:p>
    <w:p>
      <w:pPr>
        <w:jc w:val="both"/>
        <w:ind w:right="80" w:firstLine="395"/>
        <w:spacing w:after="0" w:line="256" w:lineRule="auto"/>
        <w:rPr>
          <w:sz w:val="20"/>
          <w:szCs w:val="20"/>
          <w:color w:val="auto"/>
        </w:rPr>
      </w:pPr>
      <w:r>
        <w:rPr>
          <w:rFonts w:ascii="Times New Roman" w:cs="Times New Roman" w:eastAsia="Times New Roman" w:hAnsi="Times New Roman"/>
          <w:sz w:val="18"/>
          <w:szCs w:val="18"/>
          <w:color w:val="auto"/>
        </w:rPr>
        <w:t>In the nine months ended September 30, 2022 and 2021, we delivered 130.8 million and 135.0 million paid downloads, respectively, and our revenue per download was $4.37 and $4.11 for the nine months ended September 30, 2022 and 2021, respectively. During the nine months ended September 30, 2022, the increase in revenue per download was primarily due to changes in product mix.</w:t>
      </w:r>
    </w:p>
    <w:p>
      <w:pPr>
        <w:spacing w:after="0" w:line="75"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$44.4 million, or 21%, to $254.9 million, revenue from Europe decreased by $4.6 million, or 2%, to $182.8 million and revenue from outside Europe and North America increased by $2.7 million, or 2%, to $172.4 million, in the nine months ended September 30, 2022 compared to the same period in 2021.</w:t>
      </w:r>
    </w:p>
    <w:p>
      <w:pPr>
        <w:spacing w:after="0" w:line="200" w:lineRule="exact"/>
        <w:rPr>
          <w:sz w:val="20"/>
          <w:szCs w:val="20"/>
          <w:color w:val="auto"/>
        </w:rPr>
      </w:pPr>
    </w:p>
    <w:p>
      <w:pPr>
        <w:spacing w:after="0" w:line="33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1"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increased by $27.2 million, or 14%, to $226.4 million in the nine months ended September 30, 2022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2021. This increase was primarily driven by: (i) increased depreciation and amortization expense driven by our recent acquisitions; (ii) increased royalty, content and reviewer costs; and (iii) higher costs associated with website hosting, hardware and software licenses. We expect that our cost of revenue will continue to fluctuate in line with changes in revenue and paid downloads.</w:t>
      </w:r>
    </w:p>
    <w:p>
      <w:pPr>
        <w:spacing w:after="0" w:line="75"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by $13.1 million, or 9%, to $155.3 million in the nine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2021. As a percent of revenue, sales and marketing expenses remained flat at 25% for the nine months ended September 30, 2022 and 2021. The increase in sales and marketing expenses was primarily driven by (i) $5.1 million in higher employee-related costs and (ii) $2.4 million in higher marketing spend. In addition, the Company has incurred additional marketing expenses associated with second quarter live events and festivals. We expect sales and marketing expenses to continue to fluctuate as we optimize our sales channels and invest in new customer acquisition, products and geographies.</w:t>
      </w:r>
    </w:p>
    <w:p>
      <w:pPr>
        <w:spacing w:after="0" w:line="80" w:lineRule="exact"/>
        <w:rPr>
          <w:sz w:val="20"/>
          <w:szCs w:val="20"/>
          <w:color w:val="auto"/>
        </w:rPr>
      </w:pPr>
    </w:p>
    <w:p>
      <w:pPr>
        <w:ind w:firstLine="395"/>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Product Development. </w:t>
      </w:r>
      <w:r>
        <w:rPr>
          <w:rFonts w:ascii="Times New Roman" w:cs="Times New Roman" w:eastAsia="Times New Roman" w:hAnsi="Times New Roman"/>
          <w:sz w:val="16"/>
          <w:szCs w:val="16"/>
          <w:color w:val="auto"/>
        </w:rPr>
        <w:t>Product development expenses increased by $12.0 million, or 33%, to $48.3 million in the nine months ended September 30,</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2022 as compared to the same period in 2021. This increase in product development was primarily driven by (i) $9.2 million in higher employee and third-party contractor related costs, net of capitalized labor for the nine months ended September 30, 2022 and (ii) increased software and other IT-related costs for the nine months ended September 30, 2022.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50" w:lineRule="exact"/>
        <w:rPr>
          <w:sz w:val="20"/>
          <w:szCs w:val="20"/>
          <w:color w:val="auto"/>
        </w:rPr>
      </w:pPr>
    </w:p>
    <w:p>
      <w:pPr>
        <w:ind w:right="22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decreased by $2.3 million, or 2%, to $94.1 million in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2022 compared to the same period in 2021. This decrease was primarily driven by a $7.4 million decrease in non-cash compensation expense related to the departure of certain executives and expense associated with certain performance based awards and $1.8 million in lower depreciation and amortization expense. This was partially offset by (i) $3.9 million in professional fees related to our acquisitions of Pond5 and Splash News, (ii) $2.0 million related to realized foreign currency losses, (iii) $1 million related to a donation to provide direct assistance to Shutterstock’s contributors in Ukraine, and (iv) $0.8 million increase in bad debt expense.</w:t>
      </w:r>
    </w:p>
    <w:p>
      <w:pPr>
        <w:spacing w:after="0" w:line="80" w:lineRule="exact"/>
        <w:rPr>
          <w:sz w:val="20"/>
          <w:szCs w:val="20"/>
          <w:color w:val="auto"/>
        </w:rPr>
      </w:pPr>
    </w:p>
    <w:p>
      <w:pPr>
        <w:ind w:right="120" w:firstLine="395"/>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Other Expense, Net. </w:t>
      </w:r>
      <w:r>
        <w:rPr>
          <w:rFonts w:ascii="Times New Roman" w:cs="Times New Roman" w:eastAsia="Times New Roman" w:hAnsi="Times New Roman"/>
          <w:sz w:val="16"/>
          <w:szCs w:val="16"/>
          <w:color w:val="auto"/>
        </w:rPr>
        <w:t>During the nine months ended September 30, 2022, other expense, net substantially consisted of $2.9 million of unfavorable foreign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currency fluctuations and $0.6 million of interest expense related to the Credit Facility. During the nine months ended September 30, 2021, approximately $3.0 million of other expense, net consisted of unfavorable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decreased by $2.2 million for the nine months ended September 30, 2022 as compared to the same period in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rates for the nine months ended September 30, 2022 and 2021 were 16.3% and 17.2%, respectively.</w:t>
      </w:r>
    </w:p>
    <w:p>
      <w:pPr>
        <w:spacing w:after="0" w:line="91" w:lineRule="exact"/>
        <w:rPr>
          <w:sz w:val="20"/>
          <w:szCs w:val="20"/>
          <w:color w:val="auto"/>
        </w:rPr>
      </w:pPr>
    </w:p>
    <w:p>
      <w:pPr>
        <w:ind w:right="80" w:firstLine="395"/>
        <w:spacing w:after="0" w:line="303" w:lineRule="auto"/>
        <w:rPr>
          <w:sz w:val="20"/>
          <w:szCs w:val="20"/>
          <w:color w:val="auto"/>
        </w:rPr>
      </w:pPr>
      <w:r>
        <w:rPr>
          <w:rFonts w:ascii="Times New Roman" w:cs="Times New Roman" w:eastAsia="Times New Roman" w:hAnsi="Times New Roman"/>
          <w:sz w:val="16"/>
          <w:szCs w:val="16"/>
          <w:color w:val="auto"/>
        </w:rPr>
        <w:t>For the nine months ended September 30, 2022, the effective tax rate decreased by 2.5% related primarily to windfall tax benefits associated with equity-based compensation, as well as the effect of the R&amp;D tax credit and the FDII deduction claimed on the Company’s 2021 tax return, which was substantially completed in the third quarter of 2022. Excluding discrete items, our effective tax rate would have been 18.8% for the nine months ended September 30, 2022.</w:t>
      </w:r>
    </w:p>
    <w:p>
      <w:pPr>
        <w:spacing w:after="0" w:line="40" w:lineRule="exact"/>
        <w:rPr>
          <w:sz w:val="20"/>
          <w:szCs w:val="20"/>
          <w:color w:val="auto"/>
        </w:rPr>
      </w:pPr>
    </w:p>
    <w:p>
      <w:pPr>
        <w:ind w:right="80" w:firstLine="395"/>
        <w:spacing w:after="0" w:line="268" w:lineRule="auto"/>
        <w:rPr>
          <w:sz w:val="20"/>
          <w:szCs w:val="20"/>
          <w:color w:val="auto"/>
        </w:rPr>
      </w:pPr>
      <w:r>
        <w:rPr>
          <w:rFonts w:ascii="Times New Roman" w:cs="Times New Roman" w:eastAsia="Times New Roman" w:hAnsi="Times New Roman"/>
          <w:sz w:val="18"/>
          <w:szCs w:val="18"/>
          <w:color w:val="auto"/>
        </w:rPr>
        <w:t>For the nine months ended September 30, 2021, the effective tax rate decreased by 3.0% related primarily to windfall tax benefits associated with equity-based compensation. Excluding discrete items, our effective tax rate would have been 20.2% for the nine months ended September 30, 2021.</w:t>
      </w:r>
    </w:p>
    <w:p>
      <w:pPr>
        <w:spacing w:after="0" w:line="64"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9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w:t>
      </w:r>
    </w:p>
    <w:p>
      <w:pPr>
        <w:spacing w:after="0" w:line="152"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Our operating results may fluctuate from quarter to quarter as a result of a variety of factors, including the effects of some seasonal trends in customer behavior. For example, we expect that certain customers’ usage may decrease at times during the third quarter of each calendar year due to the summer vacation season and may increase at times during the fourth quarter of each calendar year as demand is generally higher to support marketing campaigns in advance of the fourth quarter holiday season. While we believe seasonal trends have affected and will continue to affect our quarterly results, our growth trajectory may have overshadowed these effects to date. Additionally, because a significant portion of our revenue is derived from repeat customers who have purchased subscription plans, our revenues have historically been less volatile than if we had no subscription-based customers.</w:t>
      </w:r>
    </w:p>
    <w:p>
      <w:pPr>
        <w:spacing w:after="0" w:line="106"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In addition, expenditures on content by customers tend to be discretionary in nature, reflecting overall economic conditions, the economic prospects of specific industries, budgeting constraints, buying patterns and a variety of other factors, many of which are outside our control, including any impacts from COVID-19. As a result of these and other factors, the results of any prior quarterly or annual periods should not be relied upon as indicators of our future operating performance.</w:t>
      </w:r>
    </w:p>
    <w:p>
      <w:pPr>
        <w:spacing w:after="0" w:line="118"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See “Risks Related to the Coronavirus (“COVID-19”) Pandemic, The effect of the COVID-19 pandemic on our operations, and the operations of our customers, partners and suppliers, could have a material adverse effect on our business, financial condition, cash flows and results of operations” in Part I, Item 1A, “Risk Factors” in our 2021 Form 10-K for further discussion of the possible impact of the COVID-19 pandemic on our business.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1"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As of September 30, 2022, we had cash and cash equivalents totaling $76.2 million which consisted of bank balances. Since inception, we have financed our operations primarily through cash flows generated from operations. In addition, if necessary, we have the ability to draw on our credit facility, which was obtained on May 6, 2022.</w:t>
      </w:r>
    </w:p>
    <w:p>
      <w:pPr>
        <w:spacing w:after="0" w:line="75"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Historically, our principal uses of cash have included funding our operations, capital expenditures, content acquisitions, business combinations and asset acquisitions that enhance our strategic position, cash dividend payments and share purchases under our share repurchase program. We plan to finance our operations, capital expenditures and corporate actions largely through cash generated by our operations and our credit facility. Since our results of operations are sensitive to the level of competition we face, increased competition could adversely affect our liquidity and capital resources.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declared and paid cash dividends of $0.72 per share of common stock, or $26.0 million during the nine months ended September 30, 2022.</w:t>
      </w:r>
    </w:p>
    <w:p>
      <w:pPr>
        <w:spacing w:after="0" w:line="109"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color w:val="auto"/>
        </w:rPr>
        <w:t>On October 17, 2022, our Board of Directors declared a quarterly cash dividend of $0.24 per share of outstanding common stock payable on December 15, 2022 to stockholders of record at the close of business on December 1, 2022. 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58" w:lineRule="exact"/>
        <w:rPr>
          <w:sz w:val="20"/>
          <w:szCs w:val="20"/>
          <w:color w:val="auto"/>
        </w:rPr>
      </w:pPr>
    </w:p>
    <w:p>
      <w:pPr>
        <w:ind w:right="40" w:firstLine="395"/>
        <w:spacing w:after="0" w:line="286" w:lineRule="auto"/>
        <w:rPr>
          <w:sz w:val="20"/>
          <w:szCs w:val="20"/>
          <w:color w:val="auto"/>
        </w:rPr>
      </w:pPr>
      <w:r>
        <w:rPr>
          <w:rFonts w:ascii="Times New Roman" w:cs="Times New Roman" w:eastAsia="Times New Roman" w:hAnsi="Times New Roman"/>
          <w:sz w:val="16"/>
          <w:szCs w:val="16"/>
          <w:color w:val="auto"/>
        </w:rPr>
        <w:t>In October 2015, our Board of Directors approved a share repurchase program, authorizing us to repurchase up to $100 million of our common stock and, in February 2017, our Board of Directors approved an increase to the share repurchase program, authorizing us to repurchase up to an additional $100 million of our outstanding common stock. 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53" w:lineRule="exact"/>
        <w:rPr>
          <w:sz w:val="20"/>
          <w:szCs w:val="20"/>
          <w:color w:val="auto"/>
        </w:rPr>
      </w:pPr>
    </w:p>
    <w:p>
      <w:pPr>
        <w:jc w:val="both"/>
        <w:ind w:right="20" w:firstLine="395"/>
        <w:spacing w:after="0" w:line="303" w:lineRule="auto"/>
        <w:rPr>
          <w:sz w:val="20"/>
          <w:szCs w:val="20"/>
          <w:color w:val="auto"/>
        </w:rPr>
      </w:pPr>
      <w:r>
        <w:rPr>
          <w:rFonts w:ascii="Times New Roman" w:cs="Times New Roman" w:eastAsia="Times New Roman" w:hAnsi="Times New Roman"/>
          <w:sz w:val="16"/>
          <w:szCs w:val="16"/>
          <w:color w:val="auto"/>
        </w:rPr>
        <w:t>As of September 30, 2022, we have repurchased approximately 3.8 million shares of our common stock under the share repurchase program at an average per-share cost of $52.97. During the nine months ended September 30, 2022, we repurchased approximately 984,000 shares of our common stock at an average per share cost of $74.02. As of September 30, 2022, we have fully utilized our authorization for purchases under the share repurchase program.</w:t>
      </w:r>
    </w:p>
    <w:p>
      <w:pPr>
        <w:spacing w:after="0" w:line="200" w:lineRule="exact"/>
        <w:rPr>
          <w:sz w:val="20"/>
          <w:szCs w:val="20"/>
          <w:color w:val="auto"/>
        </w:rPr>
      </w:pPr>
    </w:p>
    <w:p>
      <w:pPr>
        <w:spacing w:after="0" w:line="27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Equity-Based Compensation</w:t>
      </w:r>
    </w:p>
    <w:p>
      <w:pPr>
        <w:spacing w:after="0" w:line="58" w:lineRule="exact"/>
        <w:rPr>
          <w:sz w:val="20"/>
          <w:szCs w:val="20"/>
          <w:color w:val="auto"/>
        </w:rPr>
      </w:pPr>
    </w:p>
    <w:p>
      <w:pPr>
        <w:ind w:right="180" w:firstLine="395"/>
        <w:spacing w:after="0" w:line="249" w:lineRule="auto"/>
        <w:rPr>
          <w:sz w:val="20"/>
          <w:szCs w:val="20"/>
          <w:color w:val="auto"/>
        </w:rPr>
      </w:pPr>
      <w:r>
        <w:rPr>
          <w:rFonts w:ascii="Times New Roman" w:cs="Times New Roman" w:eastAsia="Times New Roman" w:hAnsi="Times New Roman"/>
          <w:sz w:val="18"/>
          <w:szCs w:val="18"/>
          <w:color w:val="auto"/>
        </w:rPr>
        <w:t>Upon the vesting of restricted stock units (“RSUs”), we have a practice of net share settlement, to cover any required withholding taxes by retaining the number of shares with a value equal to the amount of the tax and remitting an equal amount of cash to the appropriate taxing authorities, rather than requiring employees to sell a portion of the shares that they receive upon vesting to fund the required withholding taxes (“sell-to-cover”). The net share settlement approach has increased our cash outflows compared to the cash outflows under the sell-to-cover approach. In addition, as compared to the sell-to-cover approach, net share settlement has resulted in fewer shares being issued into the market as employees’ RSUs vest, thereby reducing the dilutive impact of our equity-based compensation programs on stockholders.</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nine months ended September 30, 2022, we paid $22.0 million related to employee taxes on RSU vestings.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58" w:lineRule="exact"/>
        <w:rPr>
          <w:sz w:val="20"/>
          <w:szCs w:val="20"/>
          <w:color w:val="auto"/>
        </w:rPr>
      </w:pPr>
    </w:p>
    <w:p>
      <w:pPr>
        <w:ind w:right="360" w:firstLine="395"/>
        <w:spacing w:after="0" w:line="303" w:lineRule="auto"/>
        <w:rPr>
          <w:sz w:val="20"/>
          <w:szCs w:val="20"/>
          <w:color w:val="auto"/>
        </w:rPr>
      </w:pPr>
      <w:r>
        <w:rPr>
          <w:rFonts w:ascii="Times New Roman" w:cs="Times New Roman" w:eastAsia="Times New Roman" w:hAnsi="Times New Roman"/>
          <w:sz w:val="16"/>
          <w:szCs w:val="16"/>
          <w:color w:val="auto"/>
        </w:rPr>
        <w:t>On May 6, 2022, we entered into a five-year $100 million unsecured revolving loan facility (the “Credit Facility”) with Bank of America, N.A., as Administrative Agent and other lenders. The Credit Facility includes a letter of credit sub-facility and a swingline facility and it also permits, subject to the satisfaction of certain conditions, up to $100 million of additional revolving loan commitments with the consent of the Administrative Agent.</w:t>
      </w:r>
    </w:p>
    <w:p>
      <w:pPr>
        <w:spacing w:after="0" w:line="40"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At our option, revolving loans accrue interest at a per annum rate based on either (i) the base rate plus a margin ranging from 0.125% to 0.500%, determined based on the Company’s consolidated leverage ratio or (ii) the Term Secured Overnight Financing Rate (“SOFR”) (for interest periods of 1, 3 or 6 months) plus a margin ranging from 1.125% to 1.5%, determined based on our consolidated leverage ratio. We are also required to pay an unused commitment fee ranging from 0.150% to 0.225%, determined based on the Company’s consolidated leverage ratio. In connection with the execution of this agreement, we paid debt issuance costs of approximately $0.6 million.</w:t>
      </w:r>
    </w:p>
    <w:p>
      <w:pPr>
        <w:spacing w:after="0" w:line="80"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On May 9, 2022, we borrowed $50 million for use in connection with the acquisition of Pond5 and for general corporate purposes. As of September 30, 2022, we had outstanding borrowings under the Credit Facility of $50 million. As of December 31, 2021, we had no outstanding debt obligations. For the three and nine months ended September 30, 2022, the Company paid cash interest totaling $0.4 million and $0.5 million, respectively. For the three and nine months ended September 30, 2022, our annualized interest rate was 3.2% and 3.0%, respectively.</w:t>
      </w:r>
    </w:p>
    <w:p>
      <w:pPr>
        <w:spacing w:after="0" w:line="78"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Credit Facility contains financial covenants and requirements restricting certain of our activities, which are usual and customary for this type of loan. We are also required to maintain compliance with a consolidated leverage ratio and a consolidated interest coverage ratio, in each case, determined in accordance with the terms of the Credit Facility. As of September 30, 2022, we are in compliance with these covenants.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1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believe, based on our current operating plan, that our cash and cash equivalents, and cash from operations, will be sufficient to meet our anticipated cash needs for at least the next 12 months and thereafter for the foreseeable future. Future capital expenditures could relate to building enhancements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 See Note 14 to our Unaudited Consolidated Financial Statements included in Part I, Item 1 of this Quarterly Report on Form 10-Q for information regarding our existing capital commitments as of September 30,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nine months ended September 30, 2022 and 2021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4"/>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8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97,289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161,858</w:t>
            </w:r>
          </w:p>
        </w:tc>
      </w:tr>
      <w:tr>
        <w:trPr>
          <w:trHeight w:val="209"/>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(257,905)</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(242,407)</w:t>
            </w: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(46,426)</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58" w:lineRule="exact"/>
        <w:rPr>
          <w:sz w:val="20"/>
          <w:szCs w:val="20"/>
          <w:color w:val="auto"/>
        </w:rPr>
      </w:pP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Our primary source of cash from operating activities is cash collections from our customers. The majority of our revenue is generated from credit card transactions and is typically settled within one to five business days. Our primary uses of cash for</w:t>
      </w:r>
    </w:p>
    <w:p>
      <w:pPr>
        <w:spacing w:after="0" w:line="200" w:lineRule="exact"/>
        <w:rPr>
          <w:sz w:val="20"/>
          <w:szCs w:val="20"/>
          <w:color w:val="auto"/>
        </w:rPr>
      </w:pPr>
    </w:p>
    <w:p>
      <w:pPr>
        <w:spacing w:after="0" w:line="29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8"/>
          <w:szCs w:val="18"/>
          <w:color w:val="auto"/>
        </w:rPr>
        <w:t>operating activities are for the payment of royalties to content contributors, employee-related expenditures and the payment of other operating expenses incurred in the ordinary course of business.</w:t>
      </w:r>
    </w:p>
    <w:p>
      <w:pPr>
        <w:spacing w:after="0" w:line="104" w:lineRule="exact"/>
        <w:rPr>
          <w:sz w:val="20"/>
          <w:szCs w:val="20"/>
          <w:color w:val="auto"/>
        </w:rPr>
      </w:pPr>
    </w:p>
    <w:p>
      <w:pPr>
        <w:ind w:right="380" w:firstLine="395"/>
        <w:spacing w:after="0" w:line="252" w:lineRule="auto"/>
        <w:rPr>
          <w:sz w:val="20"/>
          <w:szCs w:val="20"/>
          <w:color w:val="auto"/>
        </w:rPr>
      </w:pPr>
      <w:r>
        <w:rPr>
          <w:rFonts w:ascii="Times New Roman" w:cs="Times New Roman" w:eastAsia="Times New Roman" w:hAnsi="Times New Roman"/>
          <w:sz w:val="18"/>
          <w:szCs w:val="18"/>
          <w:color w:val="auto"/>
        </w:rPr>
        <w:t>Net cash provided by operating activities was $97.3 million for the nine months ended September 30, 2022, compared to $161.9 million for the nine months ended September 30, 2021. In the nine months ended September 30, 2022, operating cash flows were unfavorably impacted from a reduction in operating income and changes in the timing of payments pertaining to operating expenses, which can cause operating cash flow to fluctuate from period to period.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50" w:lineRule="exact"/>
        <w:rPr>
          <w:sz w:val="20"/>
          <w:szCs w:val="20"/>
          <w:color w:val="auto"/>
        </w:rPr>
      </w:pPr>
    </w:p>
    <w:p>
      <w:pPr>
        <w:jc w:val="both"/>
        <w:ind w:right="40" w:firstLine="395"/>
        <w:spacing w:after="0" w:line="303" w:lineRule="auto"/>
        <w:rPr>
          <w:sz w:val="20"/>
          <w:szCs w:val="20"/>
          <w:color w:val="auto"/>
        </w:rPr>
      </w:pPr>
      <w:r>
        <w:rPr>
          <w:rFonts w:ascii="Times New Roman" w:cs="Times New Roman" w:eastAsia="Times New Roman" w:hAnsi="Times New Roman"/>
          <w:sz w:val="16"/>
          <w:szCs w:val="16"/>
          <w:color w:val="auto"/>
        </w:rPr>
        <w:t>Cash used in investing activities for the nine months ended September 30, 2022 was $257.9 million, consisting primarily of (i) $211.8 million used in the acquisitions of Pond5 and Splash News, net of cash acquired, (ii) capital expenditures of $32.9 million for internal-use software and website development costs and purchases of software and equipment, and (iii) $11.2 million paid to acquire the rights to distribute certain digital content into perpetuity.</w:t>
      </w:r>
    </w:p>
    <w:p>
      <w:pPr>
        <w:spacing w:after="0" w:line="40"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in the nine months ended September 30, 2021 was $242.4 million, consisting primarily of (i) $181.8 million cash used in the acquisitions of TurboSquid and PicMonkey, net of cash acquired; (ii) $31.4 million cash used in the asset acquisitions of Pattern89, Inc., Datasine Limited and assets from Shotzr, Inc.; (iii) capital expenditures of $21.2 million for internal-use software and website development costs and purchases of software and equipment, and (iv) $7.9 million paid to acquire the rights to distribute certain digital content in perpetuity.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58" w:lineRule="exact"/>
        <w:rPr>
          <w:sz w:val="20"/>
          <w:szCs w:val="20"/>
          <w:color w:val="auto"/>
        </w:rPr>
      </w:pPr>
    </w:p>
    <w:p>
      <w:pPr>
        <w:ind w:right="200" w:firstLine="395"/>
        <w:spacing w:after="0" w:line="286" w:lineRule="auto"/>
        <w:rPr>
          <w:sz w:val="20"/>
          <w:szCs w:val="20"/>
          <w:color w:val="auto"/>
        </w:rPr>
      </w:pPr>
      <w:r>
        <w:rPr>
          <w:rFonts w:ascii="Times New Roman" w:cs="Times New Roman" w:eastAsia="Times New Roman" w:hAnsi="Times New Roman"/>
          <w:sz w:val="16"/>
          <w:szCs w:val="16"/>
          <w:color w:val="auto"/>
        </w:rPr>
        <w:t>Cash used in financing activities in the nine months ended September 30, 2022 was $70.3 million, consisting of (i) $73.5 million in connection with the repurchase of common stock under our share repurchase program; (ii) $26.0 million, related to the payment of the quarterly cash dividend, and (iii)</w:t>
      </w:r>
    </w:p>
    <w:p>
      <w:pPr>
        <w:ind w:right="160"/>
        <w:spacing w:after="0" w:line="248" w:lineRule="auto"/>
        <w:rPr>
          <w:sz w:val="20"/>
          <w:szCs w:val="20"/>
          <w:color w:val="auto"/>
        </w:rPr>
      </w:pPr>
      <w:r>
        <w:rPr>
          <w:rFonts w:ascii="Times New Roman" w:cs="Times New Roman" w:eastAsia="Times New Roman" w:hAnsi="Times New Roman"/>
          <w:sz w:val="18"/>
          <w:szCs w:val="18"/>
          <w:color w:val="auto"/>
        </w:rPr>
        <w:t>$22.0 million paid in settlement of tax withholding obligations related to employee stock-based compensation awards. These amounts were partially offset by $50.0 million proceeds received from our Credit Facility.</w:t>
      </w:r>
    </w:p>
    <w:p>
      <w:pPr>
        <w:spacing w:after="0" w:line="81"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Cash used in financing activities in the nine months ended September 30, 2021 was $46.4 million, consisting primarily of (i) $23.0 million, related to the payment of the quarterly cash dividend; (ii) $21.3 million, paid in settlement of tax withholding obligations related to employee stock-based compensation awards, and (iii) $4.2 million in connection with the repurchase of common stock under our share repurchase program. These amounts were partially offset by approximately $2.0 million received from the issuance of common stock in connection with the exercise of stock options.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1"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lease real estate under operating lease agreements that expire on various dates during the period from 2022 through 2029. We do not have any material finance lease obligations and our property, equipment and software have been purchased primarily with cash. We do not anticipate any difficulties in renewing those leases and co-location agreements that expire within the next several years and that we currently plan to renew, or in leasing other space or hosting facilities, if required.</w:t>
      </w:r>
    </w:p>
    <w:p>
      <w:pPr>
        <w:spacing w:after="0" w:line="78"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On March 21, 2013, we entered into an operating lease agreement to lease our headquarters in New York City, which was amended in 2016. The aggregate undiscounted future minimum lease payments under the lease, as amended, are approximately $46.1 million. We are also party to a letter of credit as a security deposit for this leased facility in the amount of $1.7 million.</w:t>
      </w:r>
    </w:p>
    <w:p>
      <w:pPr>
        <w:spacing w:after="0" w:line="75" w:lineRule="exact"/>
        <w:rPr>
          <w:sz w:val="20"/>
          <w:szCs w:val="20"/>
          <w:color w:val="auto"/>
        </w:rPr>
      </w:pPr>
    </w:p>
    <w:p>
      <w:pPr>
        <w:ind w:right="360" w:firstLine="395"/>
        <w:spacing w:after="0" w:line="268" w:lineRule="auto"/>
        <w:rPr>
          <w:sz w:val="20"/>
          <w:szCs w:val="20"/>
          <w:color w:val="auto"/>
        </w:rPr>
      </w:pPr>
      <w:r>
        <w:rPr>
          <w:rFonts w:ascii="Times New Roman" w:cs="Times New Roman" w:eastAsia="Times New Roman" w:hAnsi="Times New Roman"/>
          <w:sz w:val="18"/>
          <w:szCs w:val="18"/>
          <w:color w:val="auto"/>
        </w:rPr>
        <w:t>Additionally, as of September 30, 2022, aggregate undiscounted future minimum lease payments under other operating leases are approximately $8.1 million.</w:t>
      </w:r>
    </w:p>
    <w:p>
      <w:pPr>
        <w:spacing w:after="0" w:line="64" w:lineRule="exact"/>
        <w:rPr>
          <w:sz w:val="20"/>
          <w:szCs w:val="20"/>
          <w:color w:val="auto"/>
        </w:rPr>
      </w:pPr>
    </w:p>
    <w:p>
      <w:pPr>
        <w:ind w:right="320" w:firstLine="395"/>
        <w:spacing w:after="0" w:line="252" w:lineRule="auto"/>
        <w:rPr>
          <w:sz w:val="20"/>
          <w:szCs w:val="20"/>
          <w:color w:val="auto"/>
        </w:rPr>
      </w:pPr>
      <w:r>
        <w:rPr>
          <w:rFonts w:ascii="Times New Roman" w:cs="Times New Roman" w:eastAsia="Times New Roman" w:hAnsi="Times New Roman"/>
          <w:sz w:val="18"/>
          <w:szCs w:val="18"/>
          <w:color w:val="auto"/>
        </w:rPr>
        <w:t>We enter into unconditional purchase obligations related to contracts for cloud-based services, infrastructure and other business services as well as minimum royalty guarantees in connection with certain content licenses. As of September 30, 2022, our guaranteed royalty payments and unconditional purchase obligations for the remainder of 2022 and for the fiscal years ending December 31, 2023, 2024, 2025 and 2026 were approximately $20.7 million, $38.9 million, $29.0 million, $6.3 million and $0.6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1"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EBITDA, adjusted EBITDA margin, adjusted net income, adjusted net income per diluted common share, revenue growth (including by distribution channel) on a constant currency basis (expressed as a percentage), and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90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shd w:val="clear" w:color="auto" w:fill="CCEEFF"/>
          </w:tcPr>
          <w:p>
            <w:pPr>
              <w:spacing w:after="0"/>
              <w:rPr>
                <w:sz w:val="17"/>
                <w:szCs w:val="17"/>
                <w:color w:val="auto"/>
              </w:rPr>
            </w:pPr>
          </w:p>
        </w:tc>
        <w:tc>
          <w:tcPr>
            <w:tcW w:w="2660" w:type="dxa"/>
            <w:vAlign w:val="bottom"/>
            <w:gridSpan w:val="3"/>
            <w:shd w:val="clear" w:color="auto" w:fill="CCEEFF"/>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4"/>
        </w:trPr>
        <w:tc>
          <w:tcPr>
            <w:tcW w:w="49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Financial Measures:</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9"/>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56,033</w:t>
            </w: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44,400</w:t>
            </w:r>
          </w:p>
        </w:tc>
        <w:tc>
          <w:tcPr>
            <w:tcW w:w="8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159,769</w:t>
            </w: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153,882</w:t>
            </w:r>
          </w:p>
        </w:tc>
      </w:tr>
      <w:tr>
        <w:trPr>
          <w:trHeight w:val="21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36,166</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26,354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103,622</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100,925</w:t>
            </w:r>
          </w:p>
        </w:tc>
      </w:tr>
      <w:tr>
        <w:trPr>
          <w:trHeight w:val="209"/>
        </w:trPr>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21,398</w:t>
            </w: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44,318</w:t>
            </w:r>
          </w:p>
        </w:tc>
        <w:tc>
          <w:tcPr>
            <w:tcW w:w="8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164"/>
              <w:spacing w:after="0"/>
              <w:rPr>
                <w:sz w:val="20"/>
                <w:szCs w:val="20"/>
                <w:color w:val="auto"/>
              </w:rPr>
            </w:pPr>
            <w:r>
              <w:rPr>
                <w:rFonts w:ascii="Times New Roman" w:cs="Times New Roman" w:eastAsia="Times New Roman" w:hAnsi="Times New Roman"/>
                <w:sz w:val="16"/>
                <w:szCs w:val="16"/>
                <w:color w:val="auto"/>
              </w:rPr>
              <w:t>53,176</w:t>
            </w: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132,801</w:t>
            </w:r>
          </w:p>
        </w:tc>
      </w:tr>
      <w:tr>
        <w:trPr>
          <w:trHeight w:val="21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growth on a constant currency basis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bl>
    <w:p>
      <w:pPr>
        <w:spacing w:after="0" w:line="200" w:lineRule="exact"/>
        <w:rPr>
          <w:sz w:val="20"/>
          <w:szCs w:val="20"/>
          <w:color w:val="auto"/>
        </w:rPr>
      </w:pPr>
    </w:p>
    <w:p>
      <w:pPr>
        <w:spacing w:after="0" w:line="268" w:lineRule="exact"/>
        <w:rPr>
          <w:sz w:val="20"/>
          <w:szCs w:val="20"/>
          <w:color w:val="auto"/>
        </w:rPr>
      </w:pPr>
    </w:p>
    <w:p>
      <w:pPr>
        <w:ind w:right="200" w:firstLine="395"/>
        <w:spacing w:after="0" w:line="248" w:lineRule="auto"/>
        <w:rPr>
          <w:sz w:val="20"/>
          <w:szCs w:val="20"/>
          <w:color w:val="auto"/>
        </w:rPr>
      </w:pPr>
      <w:r>
        <w:rPr>
          <w:rFonts w:ascii="Times New Roman" w:cs="Times New Roman" w:eastAsia="Times New Roman" w:hAnsi="Times New Roman"/>
          <w:sz w:val="18"/>
          <w:szCs w:val="18"/>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EBITDA, adjusted EBITDA margin, adjusted net income, adjusted net income per diluted common share, revenue growth (including by distribution channel) on a constant currency basis (expressed as a percentage) and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82"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82" w:lineRule="exact"/>
        <w:rPr>
          <w:sz w:val="20"/>
          <w:szCs w:val="20"/>
          <w:color w:val="auto"/>
        </w:rPr>
      </w:pPr>
    </w:p>
    <w:p>
      <w:pPr>
        <w:ind w:right="80" w:firstLine="395"/>
        <w:spacing w:after="0" w:line="246" w:lineRule="auto"/>
        <w:rPr>
          <w:sz w:val="20"/>
          <w:szCs w:val="20"/>
          <w:color w:val="auto"/>
        </w:rPr>
      </w:pPr>
      <w:r>
        <w:rPr>
          <w:rFonts w:ascii="Times New Roman" w:cs="Times New Roman" w:eastAsia="Times New Roman" w:hAnsi="Times New Roman"/>
          <w:sz w:val="18"/>
          <w:szCs w:val="18"/>
          <w:color w:val="auto"/>
        </w:rPr>
        <w:t>Management believes that adjusted EBITDA, adjusted EBITDA margin, adjusted net income, adjusted net income per diluted common share, revenue growth (including by distribution channel) on a constant currency basis (expressed as a percentage) and free cash flow are useful to investors because these measures enable investors to analyze our operating results on the same basis as that used by management. Additionally, management believes that adjusted EBITDA, adjusted EBITDA margin, adjusted net income and adjusted net income per diluted common share provide useful information to investors about the performance of the Company’s overall business because such measures eliminate the effects of unusual or other infrequent charges that are not directly attributable to our underlying operating performance, and that revenue growth (including by distribution channel) on a constant currency basis, provides useful information to investors by eliminating the effect of foreign currency fluctuations that are not directly attributable to our operating performance. Management also believes that providing these non-GAAP financial measures enhances the comparability for investors in assessing our financial reporting.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measures that management uses as the basis for making resource allocation decisions.</w:t>
      </w:r>
    </w:p>
    <w:p>
      <w:pPr>
        <w:spacing w:after="0" w:line="87"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w:t>
      </w:r>
    </w:p>
    <w:p>
      <w:pPr>
        <w:spacing w:after="0" w:line="200" w:lineRule="exact"/>
        <w:rPr>
          <w:sz w:val="20"/>
          <w:szCs w:val="20"/>
          <w:color w:val="auto"/>
        </w:rPr>
      </w:pPr>
    </w:p>
    <w:p>
      <w:pPr>
        <w:spacing w:after="0" w:line="31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GAAP financial measures should be considered in addition to other financial performance measures, including various cash flow metrics, net income and our other GAAP results.</w:t>
      </w:r>
    </w:p>
    <w:p>
      <w:pPr>
        <w:spacing w:after="0" w:line="64" w:lineRule="exact"/>
        <w:rPr>
          <w:sz w:val="20"/>
          <w:szCs w:val="20"/>
          <w:color w:val="auto"/>
        </w:rPr>
      </w:pPr>
    </w:p>
    <w:p>
      <w:pPr>
        <w:ind w:right="240" w:firstLine="395"/>
        <w:spacing w:after="0" w:line="252" w:lineRule="auto"/>
        <w:rPr>
          <w:sz w:val="20"/>
          <w:szCs w:val="20"/>
          <w:color w:val="auto"/>
        </w:rPr>
      </w:pPr>
      <w:r>
        <w:rPr>
          <w:rFonts w:ascii="Times New Roman" w:cs="Times New Roman" w:eastAsia="Times New Roman" w:hAnsi="Times New Roman"/>
          <w:sz w:val="18"/>
          <w:szCs w:val="18"/>
          <w:color w:val="auto"/>
        </w:rPr>
        <w:t>Our method for calculating adjusted EBITDA, adjusted EBITDA margin, adjusted net income, adjusted net income per diluted common share, revenue growth (including by distribution channel) on a constant currency basis and free cash flow, as well as a reconciliation of the differences between adjusted EBITDA, adjusted net income, revenue growth (including by distribution channel) on a constant currency basis and free cash flow, and the most comparable financial measures calculated and presented in accordance with GAAP, are presented below.</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58"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 xml:space="preserve">We define adjusted EBITDA as net income adjusted for depreciation and amortization, non-cash equity-based compensation, foreign currency transaction gains and losses, interest income and expense and income taxes. We define adjusted EBITDA margin as </w:t>
      </w:r>
      <w:r>
        <w:rPr>
          <w:rFonts w:ascii="Times New Roman" w:cs="Times New Roman" w:eastAsia="Times New Roman" w:hAnsi="Times New Roman"/>
          <w:sz w:val="16"/>
          <w:szCs w:val="16"/>
          <w:color w:val="auto"/>
        </w:rPr>
        <w:t>the ratio of adjusted EBITDA to revenue.</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each of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16"/>
                <w:szCs w:val="16"/>
                <w:color w:val="auto"/>
              </w:rPr>
            </w:pPr>
          </w:p>
        </w:tc>
        <w:tc>
          <w:tcPr>
            <w:tcW w:w="2680" w:type="dxa"/>
            <w:vAlign w:val="bottom"/>
            <w:gridSpan w:val="4"/>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4"/>
        </w:trPr>
        <w:tc>
          <w:tcPr>
            <w:tcW w:w="4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4"/>
        </w:trPr>
        <w:tc>
          <w:tcPr>
            <w:tcW w:w="4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4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23,040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16,029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69,057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74,997</w:t>
            </w:r>
          </w:p>
        </w:tc>
        <w:tc>
          <w:tcPr>
            <w:tcW w:w="0" w:type="dxa"/>
            <w:vAlign w:val="bottom"/>
          </w:tcPr>
          <w:p>
            <w:pPr>
              <w:spacing w:after="0"/>
              <w:rPr>
                <w:sz w:val="1"/>
                <w:szCs w:val="1"/>
                <w:color w:val="auto"/>
              </w:rPr>
            </w:pPr>
          </w:p>
        </w:tc>
      </w:tr>
      <w:tr>
        <w:trPr>
          <w:trHeight w:val="209"/>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18,259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13,488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49,834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33,731</w:t>
            </w:r>
          </w:p>
        </w:tc>
        <w:tc>
          <w:tcPr>
            <w:tcW w:w="0" w:type="dxa"/>
            <w:vAlign w:val="bottom"/>
          </w:tcPr>
          <w:p>
            <w:pPr>
              <w:spacing w:after="0"/>
              <w:rPr>
                <w:sz w:val="1"/>
                <w:szCs w:val="1"/>
                <w:color w:val="auto"/>
              </w:rPr>
            </w:pPr>
          </w:p>
        </w:tc>
      </w:tr>
      <w:tr>
        <w:trPr>
          <w:trHeight w:val="209"/>
        </w:trPr>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28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9,088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8,743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23,958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26,639</w:t>
            </w: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6"/>
                <w:szCs w:val="16"/>
                <w:color w:val="auto"/>
              </w:rPr>
              <w:t>Other adjustments, net</w:t>
            </w:r>
            <w:r>
              <w:rPr>
                <w:rFonts w:ascii="Times New Roman" w:cs="Times New Roman" w:eastAsia="Times New Roman" w:hAnsi="Times New Roman"/>
                <w:sz w:val="20"/>
                <w:szCs w:val="20"/>
                <w:color w:val="auto"/>
                <w:vertAlign w:val="superscript"/>
              </w:rPr>
              <w:t>(1)</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1,547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1,749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3,449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2,888</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4,099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4,391</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13,471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15,627</w:t>
            </w:r>
          </w:p>
        </w:tc>
        <w:tc>
          <w:tcPr>
            <w:tcW w:w="0" w:type="dxa"/>
            <w:vAlign w:val="bottom"/>
          </w:tcPr>
          <w:p>
            <w:pPr>
              <w:spacing w:after="0"/>
              <w:rPr>
                <w:sz w:val="1"/>
                <w:szCs w:val="1"/>
                <w:color w:val="auto"/>
              </w:rPr>
            </w:pPr>
          </w:p>
        </w:tc>
      </w:tr>
      <w:tr>
        <w:trPr>
          <w:trHeight w:val="231"/>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56,033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44,400</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159,769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153,882</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9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27.5 %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22.8 %</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26.2 %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Times New Roman" w:cs="Times New Roman" w:eastAsia="Times New Roman" w:hAnsi="Times New Roman"/>
                <w:sz w:val="16"/>
                <w:szCs w:val="16"/>
                <w:color w:val="auto"/>
              </w:rPr>
              <w:t>27.1 %</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05" w:lineRule="exact"/>
        <w:rPr>
          <w:sz w:val="20"/>
          <w:szCs w:val="20"/>
          <w:color w:val="auto"/>
        </w:rPr>
      </w:pPr>
    </w:p>
    <w:p>
      <w:pPr>
        <w:ind w:left="320" w:hanging="315"/>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net includes unrealized foreign currency transaction gains and losses, and interest income and expense.</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Net Income Per Diluted Common Share</w:t>
      </w:r>
    </w:p>
    <w:p>
      <w:pPr>
        <w:spacing w:after="0" w:line="58" w:lineRule="exact"/>
        <w:rPr>
          <w:sz w:val="20"/>
          <w:szCs w:val="20"/>
          <w:color w:val="auto"/>
        </w:rPr>
      </w:pPr>
    </w:p>
    <w:p>
      <w:pPr>
        <w:ind w:right="160" w:firstLine="395"/>
        <w:spacing w:after="0" w:line="247" w:lineRule="auto"/>
        <w:rPr>
          <w:sz w:val="20"/>
          <w:szCs w:val="20"/>
          <w:color w:val="auto"/>
        </w:rPr>
      </w:pPr>
      <w:r>
        <w:rPr>
          <w:rFonts w:ascii="Times New Roman" w:cs="Times New Roman" w:eastAsia="Times New Roman" w:hAnsi="Times New Roman"/>
          <w:sz w:val="18"/>
          <w:szCs w:val="18"/>
          <w:color w:val="auto"/>
        </w:rPr>
        <w:t xml:space="preserve">We define adjusted net income as net income adjusted for the impact of non-cash equity-based compensation, the amortization of acquisition-related intangible assets and the estimated tax impact of such adjustments. We define adjusted net income per diluted common share as </w:t>
      </w:r>
      <w:r>
        <w:rPr>
          <w:rFonts w:ascii="Times New Roman" w:cs="Times New Roman" w:eastAsia="Times New Roman" w:hAnsi="Times New Roman"/>
          <w:sz w:val="16"/>
          <w:szCs w:val="16"/>
          <w:color w:val="auto"/>
        </w:rPr>
        <w:t>adjusted net income divided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weighted average diluted shares.</w:t>
      </w:r>
    </w:p>
    <w:p>
      <w:pPr>
        <w:spacing w:after="0" w:line="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net income for each of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304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6"/>
                <w:szCs w:val="16"/>
                <w:color w:val="auto"/>
              </w:rPr>
            </w:pPr>
          </w:p>
        </w:tc>
        <w:tc>
          <w:tcPr>
            <w:tcW w:w="2560" w:type="dxa"/>
            <w:vAlign w:val="bottom"/>
            <w:gridSpan w:val="4"/>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2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5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65"/>
        </w:trPr>
        <w:tc>
          <w:tcPr>
            <w:tcW w:w="5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74,997</w:t>
            </w: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2"/>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26,639</w:t>
            </w:r>
          </w:p>
        </w:tc>
      </w:tr>
      <w:tr>
        <w:trPr>
          <w:trHeight w:val="211"/>
        </w:trPr>
        <w:tc>
          <w:tcPr>
            <w:tcW w:w="522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non-cash equity-based compensation</w:t>
            </w:r>
            <w:r>
              <w:rPr>
                <w:rFonts w:ascii="Times New Roman" w:cs="Times New Roman" w:eastAsia="Times New Roman" w:hAnsi="Times New Roman"/>
                <w:sz w:val="20"/>
                <w:szCs w:val="20"/>
                <w:color w:val="auto"/>
                <w:vertAlign w:val="superscript"/>
              </w:rPr>
              <w:t>(1)</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(6,260)</w:t>
            </w:r>
          </w:p>
        </w:tc>
      </w:tr>
      <w:tr>
        <w:trPr>
          <w:trHeight w:val="211"/>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Acquisition-related amortization expense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7,253</w:t>
            </w:r>
          </w:p>
        </w:tc>
      </w:tr>
      <w:tr>
        <w:trPr>
          <w:trHeight w:val="211"/>
        </w:trPr>
        <w:tc>
          <w:tcPr>
            <w:tcW w:w="5220" w:type="dxa"/>
            <w:vAlign w:val="bottom"/>
            <w:tcBorders>
              <w:bottom w:val="single" w:sz="8" w:color="CCEEFF"/>
            </w:tcBorders>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acquisition-related amortization expense</w:t>
            </w:r>
            <w:r>
              <w:rPr>
                <w:rFonts w:ascii="Times New Roman" w:cs="Times New Roman" w:eastAsia="Times New Roman" w:hAnsi="Times New Roman"/>
                <w:sz w:val="20"/>
                <w:szCs w:val="20"/>
                <w:color w:val="auto"/>
                <w:vertAlign w:val="superscript"/>
              </w:rPr>
              <w:t>(1)</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w:t>
            </w:r>
          </w:p>
        </w:tc>
      </w:tr>
      <w:tr>
        <w:trPr>
          <w:trHeight w:val="229"/>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36,166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26,354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103,622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100,925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common share</w:t>
            </w:r>
          </w:p>
        </w:tc>
        <w:tc>
          <w:tcPr>
            <w:tcW w:w="88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bl>
    <w:p>
      <w:pPr>
        <w:spacing w:after="0" w:line="175" w:lineRule="exact"/>
        <w:rPr>
          <w:sz w:val="20"/>
          <w:szCs w:val="20"/>
          <w:color w:val="auto"/>
        </w:rPr>
      </w:pPr>
    </w:p>
    <w:p>
      <w:pPr>
        <w:ind w:left="320" w:hanging="315"/>
        <w:spacing w:after="0"/>
        <w:tabs>
          <w:tab w:leader="none" w:pos="3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Statutory tax rates are used to calculate the tax effect of the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Growth (including by distribution channel) on a Constant Currency Basis</w:t>
      </w:r>
    </w:p>
    <w:p>
      <w:pPr>
        <w:spacing w:after="0" w:line="58"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We define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Pr>
          <w:p>
            <w:pPr>
              <w:spacing w:after="0"/>
              <w:rPr>
                <w:sz w:val="16"/>
                <w:szCs w:val="16"/>
                <w:color w:val="auto"/>
              </w:rPr>
            </w:pPr>
          </w:p>
        </w:tc>
        <w:tc>
          <w:tcPr>
            <w:tcW w:w="2680" w:type="dxa"/>
            <w:vAlign w:val="bottom"/>
            <w:gridSpan w:val="3"/>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4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4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4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65"/>
        </w:trPr>
        <w:tc>
          <w:tcPr>
            <w:tcW w:w="48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revenue (in thousands)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rPr>
              <w:t>204,096</w:t>
            </w: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194,439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rPr>
              <w:t>610,100</w:t>
            </w: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567,632</w:t>
            </w:r>
          </w:p>
        </w:tc>
      </w:tr>
      <w:tr>
        <w:trPr>
          <w:trHeight w:val="210"/>
        </w:trPr>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w:t>
            </w:r>
          </w:p>
        </w:tc>
        <w:tc>
          <w:tcPr>
            <w:tcW w:w="30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5 %</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18 %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7 %</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17 %</w:t>
            </w:r>
          </w:p>
        </w:tc>
      </w:tr>
      <w:tr>
        <w:trPr>
          <w:trHeight w:val="211"/>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 on a constant currency basis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10 %</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17 %</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11 %</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15 %</w:t>
            </w:r>
          </w:p>
        </w:tc>
      </w:tr>
      <w:tr>
        <w:trPr>
          <w:trHeight w:val="53"/>
        </w:trPr>
        <w:tc>
          <w:tcPr>
            <w:tcW w:w="4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E-commerce reported revenue (in thousands)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rPr>
              <w:t>124,594</w:t>
            </w: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121,707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rPr>
              <w:t>379,052</w:t>
            </w: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360,822</w:t>
            </w:r>
          </w:p>
        </w:tc>
      </w:tr>
      <w:tr>
        <w:trPr>
          <w:trHeight w:val="210"/>
        </w:trPr>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E-commerce revenue growth</w:t>
            </w:r>
          </w:p>
        </w:tc>
        <w:tc>
          <w:tcPr>
            <w:tcW w:w="30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2 %</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18 %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5 %</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20 %</w:t>
            </w:r>
          </w:p>
        </w:tc>
      </w:tr>
      <w:tr>
        <w:trPr>
          <w:trHeight w:val="211"/>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E-commerce revenue growth on a constant currency basis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6 %</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18 %</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8 %</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18 %</w:t>
            </w:r>
          </w:p>
        </w:tc>
      </w:tr>
      <w:tr>
        <w:trPr>
          <w:trHeight w:val="92"/>
        </w:trPr>
        <w:tc>
          <w:tcPr>
            <w:tcW w:w="4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Enterprise reported revenue (in thousands)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rPr>
              <w:t>79,502</w:t>
            </w: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72,732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rPr>
              <w:t>231,048</w:t>
            </w: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206,810</w:t>
            </w:r>
          </w:p>
        </w:tc>
      </w:tr>
      <w:tr>
        <w:trPr>
          <w:trHeight w:val="210"/>
        </w:trPr>
        <w:tc>
          <w:tcPr>
            <w:tcW w:w="48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Enterprise revenue growth</w:t>
            </w:r>
          </w:p>
        </w:tc>
        <w:tc>
          <w:tcPr>
            <w:tcW w:w="30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9 %</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17 %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12 %</w:t>
            </w:r>
          </w:p>
        </w:tc>
        <w:tc>
          <w:tcPr>
            <w:tcW w:w="4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12 %</w:t>
            </w:r>
          </w:p>
        </w:tc>
      </w:tr>
      <w:tr>
        <w:trPr>
          <w:trHeight w:val="211"/>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Enterprise revenue growth on a constant currency basis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15 %</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15 %</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i w:val="1"/>
                <w:iCs w:val="1"/>
                <w:color w:val="auto"/>
              </w:rPr>
              <w:t>16 %</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9 %</w:t>
            </w:r>
          </w:p>
        </w:tc>
      </w:tr>
    </w:tbl>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define free cash flow as our cash provided by operating activities, adjusted for capital expenditures and content acquisition.</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cash provided by operating activities to free cash flow for each of the periods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30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20" w:type="dxa"/>
            <w:vAlign w:val="bottom"/>
          </w:tcPr>
          <w:p>
            <w:pPr>
              <w:spacing w:after="0"/>
              <w:rPr>
                <w:sz w:val="16"/>
                <w:szCs w:val="16"/>
                <w:color w:val="auto"/>
              </w:rPr>
            </w:pPr>
          </w:p>
        </w:tc>
        <w:tc>
          <w:tcPr>
            <w:tcW w:w="2560" w:type="dxa"/>
            <w:vAlign w:val="bottom"/>
            <w:gridSpan w:val="4"/>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4"/>
        </w:trPr>
        <w:tc>
          <w:tcPr>
            <w:tcW w:w="5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65"/>
        </w:trPr>
        <w:tc>
          <w:tcPr>
            <w:tcW w:w="5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54,642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center"/>
              <w:ind w:left="384"/>
              <w:spacing w:after="0"/>
              <w:rPr>
                <w:sz w:val="20"/>
                <w:szCs w:val="20"/>
                <w:color w:val="auto"/>
              </w:rPr>
            </w:pPr>
            <w:r>
              <w:rPr>
                <w:rFonts w:ascii="Times New Roman" w:cs="Times New Roman" w:eastAsia="Times New Roman" w:hAnsi="Times New Roman"/>
                <w:sz w:val="16"/>
                <w:szCs w:val="16"/>
                <w:color w:val="auto"/>
                <w:w w:val="99"/>
              </w:rPr>
              <w:t>97,289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161,858</w:t>
            </w:r>
          </w:p>
        </w:tc>
      </w:tr>
      <w:tr>
        <w:trPr>
          <w:trHeight w:val="209"/>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(12,125)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98"/>
              </w:rPr>
              <w:t>(5,830)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center"/>
              <w:ind w:left="364"/>
              <w:spacing w:after="0"/>
              <w:rPr>
                <w:sz w:val="20"/>
                <w:szCs w:val="20"/>
                <w:color w:val="auto"/>
              </w:rPr>
            </w:pPr>
            <w:r>
              <w:rPr>
                <w:rFonts w:ascii="Times New Roman" w:cs="Times New Roman" w:eastAsia="Times New Roman" w:hAnsi="Times New Roman"/>
                <w:sz w:val="16"/>
                <w:szCs w:val="16"/>
                <w:color w:val="auto"/>
                <w:w w:val="98"/>
              </w:rPr>
              <w:t>(32,922)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(21,167)</w:t>
            </w:r>
          </w:p>
        </w:tc>
      </w:tr>
      <w:tr>
        <w:trPr>
          <w:trHeight w:val="212"/>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Content acquisitions</w:t>
            </w:r>
          </w:p>
        </w:tc>
        <w:tc>
          <w:tcPr>
            <w:tcW w:w="8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98"/>
              </w:rPr>
              <w:t>(4,494)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left="364"/>
              <w:spacing w:after="0"/>
              <w:rPr>
                <w:sz w:val="20"/>
                <w:szCs w:val="20"/>
                <w:color w:val="auto"/>
              </w:rPr>
            </w:pPr>
            <w:r>
              <w:rPr>
                <w:rFonts w:ascii="Times New Roman" w:cs="Times New Roman" w:eastAsia="Times New Roman" w:hAnsi="Times New Roman"/>
                <w:sz w:val="16"/>
                <w:szCs w:val="16"/>
                <w:color w:val="auto"/>
                <w:w w:val="98"/>
              </w:rPr>
              <w:t>(11,191)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(7,890)</w:t>
            </w:r>
          </w:p>
        </w:tc>
      </w:tr>
      <w:tr>
        <w:trPr>
          <w:trHeight w:val="204"/>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86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21,398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44,318</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center"/>
              <w:ind w:left="384"/>
              <w:spacing w:after="0"/>
              <w:rPr>
                <w:sz w:val="20"/>
                <w:szCs w:val="20"/>
                <w:color w:val="auto"/>
              </w:rPr>
            </w:pPr>
            <w:r>
              <w:rPr>
                <w:rFonts w:ascii="Times New Roman" w:cs="Times New Roman" w:eastAsia="Times New Roman" w:hAnsi="Times New Roman"/>
                <w:sz w:val="16"/>
                <w:szCs w:val="16"/>
                <w:color w:val="auto"/>
                <w:w w:val="99"/>
              </w:rPr>
              <w:t>53,176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132,801</w:t>
            </w:r>
          </w:p>
        </w:tc>
      </w:tr>
      <w:tr>
        <w:trPr>
          <w:trHeight w:val="20"/>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11"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risks related to foreign currency exchange rate fluctuation, interest rate fluctuation and inflation.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13"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33% and 35% for the nine months ended September 30, 2022 and 2021,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the nine months ended September 30, 2022, we estimate that a 10% change in the exchange rate of the U.S. dollar against all foreign currency denominated revenues would result in an approximately 3% impact on our revenue.</w:t>
      </w:r>
    </w:p>
    <w:p>
      <w:pPr>
        <w:spacing w:after="0" w:line="121"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Translation adjustments resulting from converting the foreign subsidiaries’ financial statements into U.S. dollars are recorded as a component of accumulated other comprehensive loss in stockholders’ equity. We do not currently enter into derivatives or other financial instruments in order to hedge our foreign currency exchange risk, but we may do so in the future.</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historical revenue by currency is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jc w:val="right"/>
              <w:ind w:right="181"/>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800" w:type="dxa"/>
            <w:vAlign w:val="bottom"/>
            <w:tcBorders>
              <w:bottom w:val="single" w:sz="8" w:color="auto"/>
            </w:tcBorders>
          </w:tcPr>
          <w:p>
            <w:pPr>
              <w:spacing w:after="0"/>
              <w:rPr>
                <w:sz w:val="14"/>
                <w:szCs w:val="14"/>
                <w:color w:val="auto"/>
              </w:rPr>
            </w:pPr>
          </w:p>
        </w:tc>
      </w:tr>
      <w:tr>
        <w:trPr>
          <w:trHeight w:val="166"/>
        </w:trPr>
        <w:tc>
          <w:tcPr>
            <w:tcW w:w="3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2022</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2021</w:t>
            </w:r>
          </w:p>
        </w:tc>
        <w:tc>
          <w:tcPr>
            <w:tcW w:w="800" w:type="dxa"/>
            <w:vAlign w:val="bottom"/>
            <w:tcBorders>
              <w:bottom w:val="single" w:sz="8" w:color="auto"/>
            </w:tcBorders>
          </w:tcPr>
          <w:p>
            <w:pPr>
              <w:spacing w:after="0"/>
              <w:rPr>
                <w:sz w:val="14"/>
                <w:szCs w:val="14"/>
                <w:color w:val="auto"/>
              </w:rPr>
            </w:pPr>
          </w:p>
        </w:tc>
      </w:tr>
      <w:tr>
        <w:trPr>
          <w:trHeight w:val="123"/>
        </w:trPr>
        <w:tc>
          <w:tcPr>
            <w:tcW w:w="3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70"/>
              <w:spacing w:after="0" w:line="123" w:lineRule="exact"/>
              <w:rPr>
                <w:sz w:val="20"/>
                <w:szCs w:val="20"/>
                <w:color w:val="auto"/>
              </w:rPr>
            </w:pPr>
            <w:r>
              <w:rPr>
                <w:rFonts w:ascii="Times New Roman" w:cs="Times New Roman" w:eastAsia="Times New Roman" w:hAnsi="Times New Roman"/>
                <w:sz w:val="12"/>
                <w:szCs w:val="12"/>
                <w:b w:val="1"/>
                <w:bCs w:val="1"/>
                <w:color w:val="auto"/>
              </w:rPr>
              <w:t>Originating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50"/>
              <w:spacing w:after="0" w:line="123" w:lineRule="exact"/>
              <w:rPr>
                <w:sz w:val="20"/>
                <w:szCs w:val="20"/>
                <w:color w:val="auto"/>
              </w:rPr>
            </w:pPr>
            <w:r>
              <w:rPr>
                <w:rFonts w:ascii="Times New Roman" w:cs="Times New Roman" w:eastAsia="Times New Roman" w:hAnsi="Times New Roman"/>
                <w:sz w:val="12"/>
                <w:szCs w:val="12"/>
                <w:b w:val="1"/>
                <w:bCs w:val="1"/>
                <w:color w:val="auto"/>
              </w:rPr>
              <w:t>Originating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50"/>
              <w:spacing w:after="0" w:line="123" w:lineRule="exact"/>
              <w:rPr>
                <w:sz w:val="20"/>
                <w:szCs w:val="20"/>
                <w:color w:val="auto"/>
              </w:rPr>
            </w:pPr>
            <w:r>
              <w:rPr>
                <w:rFonts w:ascii="Times New Roman" w:cs="Times New Roman" w:eastAsia="Times New Roman" w:hAnsi="Times New Roman"/>
                <w:sz w:val="12"/>
                <w:szCs w:val="12"/>
                <w:b w:val="1"/>
                <w:bCs w:val="1"/>
                <w:color w:val="auto"/>
                <w:w w:val="99"/>
              </w:rPr>
              <w:t>Originating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90"/>
              <w:spacing w:after="0" w:line="123" w:lineRule="exact"/>
              <w:rPr>
                <w:sz w:val="20"/>
                <w:szCs w:val="20"/>
                <w:color w:val="auto"/>
              </w:rPr>
            </w:pPr>
            <w:r>
              <w:rPr>
                <w:rFonts w:ascii="Times New Roman" w:cs="Times New Roman" w:eastAsia="Times New Roman" w:hAnsi="Times New Roman"/>
                <w:sz w:val="12"/>
                <w:szCs w:val="12"/>
                <w:b w:val="1"/>
                <w:bCs w:val="1"/>
                <w:color w:val="auto"/>
              </w:rPr>
              <w:t>Originating</w:t>
            </w:r>
          </w:p>
        </w:tc>
      </w:tr>
      <w:tr>
        <w:trPr>
          <w:trHeight w:val="171"/>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20" w:type="dxa"/>
            <w:vAlign w:val="bottom"/>
          </w:tcPr>
          <w:p>
            <w:pPr>
              <w:spacing w:after="0"/>
              <w:rPr>
                <w:sz w:val="14"/>
                <w:szCs w:val="1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20" w:type="dxa"/>
            <w:vAlign w:val="bottom"/>
          </w:tcPr>
          <w:p>
            <w:pPr>
              <w:spacing w:after="0"/>
              <w:rPr>
                <w:sz w:val="14"/>
                <w:szCs w:val="1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Currency</w:t>
            </w: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33,993</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color w:val="auto"/>
              </w:rPr>
              <w:t>32,868</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35,930</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30,333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111,635</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102,626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112,573</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94,876</w:t>
            </w:r>
          </w:p>
        </w:tc>
      </w:tr>
      <w:tr>
        <w:trPr>
          <w:trHeight w:val="212"/>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British pounds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14,606</w:t>
            </w:r>
          </w:p>
        </w:tc>
        <w:tc>
          <w:tcPr>
            <w:tcW w:w="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color w:val="auto"/>
              </w:rPr>
              <w:t>12,140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43,587</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31,802</w:t>
            </w:r>
          </w:p>
        </w:tc>
      </w:tr>
      <w:tr>
        <w:trPr>
          <w:trHeight w:val="211"/>
        </w:trPr>
        <w:tc>
          <w:tcPr>
            <w:tcW w:w="324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All other non-U.S. currencies</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14,788</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44,069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42,290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r>
      <w:tr>
        <w:trPr>
          <w:trHeight w:val="204"/>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foreign currency</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63,387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64,869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198,530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198,450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61"/>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U.S. dollar</w:t>
            </w: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140,709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129,570</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411,570</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369,182</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r>
      <w:tr>
        <w:trPr>
          <w:trHeight w:val="231"/>
        </w:trPr>
        <w:tc>
          <w:tcPr>
            <w:tcW w:w="3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204,096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194,439</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610,100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567,632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ind w:left="320" w:hanging="315"/>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 single currency which exceeded 5% of total revenue for any of the periods presented.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13" w:lineRule="exact"/>
        <w:rPr>
          <w:sz w:val="20"/>
          <w:szCs w:val="20"/>
          <w:color w:val="auto"/>
        </w:rPr>
      </w:pPr>
    </w:p>
    <w:p>
      <w:pPr>
        <w:jc w:val="both"/>
        <w:ind w:right="380" w:firstLine="395"/>
        <w:spacing w:after="0" w:line="256"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Amounts borrowed under our Credit Facility accrue interest at a per annum rate based on either (i) the base rate plus a margin ranging from 0.125%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0.500%, determined based on our consolidated leverage ratio or (ii) the Term Secured Overnight Financing Rate (for interest periods of 1, 3 or 6 months) plus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ranging from 1.125% to 1.5%, determined based on our consolidated leverage ratio. A hypothetical 10% change in interest rates would not have 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impact on our interest expense as of September 30, 2022.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3"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3"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September 30, 2022.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83" w:lineRule="exact"/>
        <w:rPr>
          <w:sz w:val="20"/>
          <w:szCs w:val="20"/>
          <w:color w:val="auto"/>
        </w:rPr>
      </w:pPr>
    </w:p>
    <w:p>
      <w:pPr>
        <w:ind w:right="340" w:firstLine="395"/>
        <w:spacing w:after="0" w:line="268"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September 30, 2022, our Chief Executive Officer and Chief Financial Officer concluded that, as of such date, our disclosure controls and procedures were effective at the reasonable assurance level.</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3" w:lineRule="exact"/>
        <w:rPr>
          <w:sz w:val="20"/>
          <w:szCs w:val="20"/>
          <w:color w:val="auto"/>
        </w:rPr>
      </w:pPr>
    </w:p>
    <w:p>
      <w:pPr>
        <w:ind w:right="360" w:firstLine="395"/>
        <w:spacing w:after="0" w:line="25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 We completed the acquisitions of Pond5 and Splash News during the second quarter of 2022 and are in the process of integrating the acquired businesses into our overall internal control over financial reporting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0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50" w:lineRule="exact"/>
        <w:rPr>
          <w:sz w:val="20"/>
          <w:szCs w:val="20"/>
          <w:color w:val="auto"/>
        </w:rPr>
      </w:pPr>
    </w:p>
    <w:p>
      <w:pPr>
        <w:ind w:right="240" w:firstLine="395"/>
        <w:spacing w:after="0" w:line="286" w:lineRule="auto"/>
        <w:rPr>
          <w:sz w:val="20"/>
          <w:szCs w:val="20"/>
          <w:color w:val="auto"/>
        </w:rPr>
      </w:pPr>
      <w:r>
        <w:rPr>
          <w:rFonts w:ascii="Times New Roman" w:cs="Times New Roman" w:eastAsia="Times New Roman" w:hAnsi="Times New Roman"/>
          <w:sz w:val="16"/>
          <w:szCs w:val="16"/>
          <w:color w:val="auto"/>
        </w:rPr>
        <w:t>Although we are not currently a party to any material active litigation,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1"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2021 Form 10-K, and Part II, “Item 1A. Risk Factors” in our second quarter 2022 Form 10-Q, which could materially affect our business, financial condition or future results. During the three months ended September 30, 2022, there were no material changes to these risk factors as described in our 2021 Form 10-K and second quarter 2022 Form 10-Q.</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c>
          <w:tcPr>
            <w:tcW w:w="0" w:type="dxa"/>
            <w:vAlign w:val="bottom"/>
          </w:tcPr>
          <w:p>
            <w:pPr>
              <w:spacing w:after="0"/>
              <w:rPr>
                <w:sz w:val="1"/>
                <w:szCs w:val="1"/>
                <w:color w:val="auto"/>
              </w:rPr>
            </w:pPr>
          </w:p>
        </w:tc>
      </w:tr>
      <w:tr>
        <w:trPr>
          <w:trHeight w:val="316"/>
        </w:trPr>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w:t>
            </w:r>
          </w:p>
        </w:tc>
        <w:tc>
          <w:tcPr>
            <w:tcW w:w="4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40" w:type="dxa"/>
            <w:vAlign w:val="bottom"/>
          </w:tcPr>
          <w:p>
            <w:pPr>
              <w:spacing w:after="0"/>
              <w:rPr>
                <w:sz w:val="17"/>
                <w:szCs w:val="17"/>
                <w:color w:val="auto"/>
              </w:rPr>
            </w:pPr>
          </w:p>
        </w:tc>
        <w:tc>
          <w:tcPr>
            <w:tcW w:w="6420" w:type="dxa"/>
            <w:vAlign w:val="bottom"/>
            <w:gridSpan w:val="2"/>
          </w:tcPr>
          <w:p>
            <w:pPr>
              <w:ind w:left="3320"/>
              <w:spacing w:after="0"/>
              <w:rPr>
                <w:sz w:val="20"/>
                <w:szCs w:val="20"/>
                <w:color w:val="auto"/>
              </w:rPr>
            </w:pPr>
            <w:r>
              <w:rPr>
                <w:rFonts w:ascii="Times New Roman" w:cs="Times New Roman" w:eastAsia="Times New Roman" w:hAnsi="Times New Roman"/>
                <w:sz w:val="14"/>
                <w:szCs w:val="14"/>
                <w:b w:val="1"/>
                <w:bCs w:val="1"/>
                <w:color w:val="auto"/>
                <w:w w:val="99"/>
              </w:rPr>
              <w:t>ISSUER PURCHASES OF EQUITY SECURITIES</w:t>
            </w:r>
          </w:p>
        </w:tc>
        <w:tc>
          <w:tcPr>
            <w:tcW w:w="0" w:type="dxa"/>
            <w:vAlign w:val="bottom"/>
          </w:tcPr>
          <w:p>
            <w:pPr>
              <w:spacing w:after="0"/>
              <w:rPr>
                <w:sz w:val="1"/>
                <w:szCs w:val="1"/>
                <w:color w:val="auto"/>
              </w:rPr>
            </w:pPr>
          </w:p>
        </w:tc>
      </w:tr>
      <w:tr>
        <w:trPr>
          <w:trHeight w:val="578"/>
        </w:trPr>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440" w:type="dxa"/>
            <w:vAlign w:val="bottom"/>
          </w:tcPr>
          <w:p>
            <w:pPr>
              <w:jc w:val="center"/>
              <w:ind w:left="2165"/>
              <w:spacing w:after="0"/>
              <w:rPr>
                <w:sz w:val="20"/>
                <w:szCs w:val="20"/>
                <w:color w:val="auto"/>
              </w:rPr>
            </w:pPr>
            <w:r>
              <w:rPr>
                <w:rFonts w:ascii="Times New Roman" w:cs="Times New Roman" w:eastAsia="Times New Roman" w:hAnsi="Times New Roman"/>
                <w:sz w:val="14"/>
                <w:szCs w:val="14"/>
                <w:b w:val="1"/>
                <w:bCs w:val="1"/>
                <w:color w:val="auto"/>
                <w:w w:val="99"/>
              </w:rPr>
              <w:t>(a) Total Number of Shares (or</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 Average Price Paid Per</w:t>
            </w:r>
          </w:p>
        </w:tc>
        <w:tc>
          <w:tcPr>
            <w:tcW w:w="0" w:type="dxa"/>
            <w:vAlign w:val="bottom"/>
          </w:tcPr>
          <w:p>
            <w:pPr>
              <w:spacing w:after="0"/>
              <w:rPr>
                <w:sz w:val="1"/>
                <w:szCs w:val="1"/>
                <w:color w:val="auto"/>
              </w:rPr>
            </w:pPr>
          </w:p>
        </w:tc>
      </w:tr>
      <w:tr>
        <w:trPr>
          <w:trHeight w:val="185"/>
        </w:trPr>
        <w:tc>
          <w:tcPr>
            <w:tcW w:w="740" w:type="dxa"/>
            <w:vAlign w:val="bottom"/>
            <w:vMerge w:val="continue"/>
          </w:tcPr>
          <w:p>
            <w:pPr>
              <w:spacing w:after="0"/>
              <w:rPr>
                <w:sz w:val="16"/>
                <w:szCs w:val="16"/>
                <w:color w:val="auto"/>
              </w:rPr>
            </w:pPr>
          </w:p>
        </w:tc>
        <w:tc>
          <w:tcPr>
            <w:tcW w:w="4440" w:type="dxa"/>
            <w:vAlign w:val="bottom"/>
          </w:tcPr>
          <w:p>
            <w:pPr>
              <w:jc w:val="center"/>
              <w:ind w:left="2165"/>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(or Unit)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7" w:hanging="87"/>
        <w:spacing w:after="0" w:line="236" w:lineRule="auto"/>
        <w:tabs>
          <w:tab w:leader="none" w:pos="181" w:val="left"/>
        </w:tabs>
        <w:numPr>
          <w:ilvl w:val="0"/>
          <w:numId w:val="1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Total Number of Shares (or Units) Purchased as Part of</w:t>
      </w:r>
    </w:p>
    <w:p>
      <w:pPr>
        <w:jc w:val="center"/>
        <w:ind w:left="-6" w:right="40"/>
        <w:spacing w:after="0" w:line="218" w:lineRule="auto"/>
        <w:rPr>
          <w:sz w:val="20"/>
          <w:szCs w:val="20"/>
          <w:color w:val="auto"/>
        </w:rPr>
      </w:pPr>
      <w:r>
        <w:rPr>
          <w:rFonts w:ascii="Times New Roman" w:cs="Times New Roman" w:eastAsia="Times New Roman" w:hAnsi="Times New Roman"/>
          <w:sz w:val="14"/>
          <w:szCs w:val="14"/>
          <w:b w:val="1"/>
          <w:bCs w:val="1"/>
          <w:color w:val="auto"/>
        </w:rPr>
        <w:t>Publicly Announced Plans or Programs</w:t>
      </w:r>
      <w:r>
        <w:rPr>
          <w:rFonts w:ascii="Times New Roman" w:cs="Times New Roman" w:eastAsia="Times New Roman" w:hAnsi="Times New Roman"/>
          <w:sz w:val="18"/>
          <w:szCs w:val="18"/>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right="80" w:firstLine="94"/>
        <w:spacing w:after="0" w:line="236" w:lineRule="auto"/>
        <w:tabs>
          <w:tab w:leader="none" w:pos="368" w:val="left"/>
        </w:tabs>
        <w:numPr>
          <w:ilvl w:val="0"/>
          <w:numId w:val="1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Maximum Number (or Approximate Dollar Value) of</w:t>
      </w:r>
    </w:p>
    <w:p>
      <w:pPr>
        <w:jc w:val="center"/>
        <w:ind w:right="40"/>
        <w:spacing w:after="0" w:line="211" w:lineRule="auto"/>
        <w:rPr>
          <w:sz w:val="20"/>
          <w:szCs w:val="20"/>
          <w:color w:val="auto"/>
        </w:rPr>
      </w:pPr>
      <w:r>
        <w:rPr>
          <w:rFonts w:ascii="Times New Roman" w:cs="Times New Roman" w:eastAsia="Times New Roman" w:hAnsi="Times New Roman"/>
          <w:sz w:val="14"/>
          <w:szCs w:val="14"/>
          <w:b w:val="1"/>
          <w:bCs w:val="1"/>
          <w:color w:val="auto"/>
        </w:rPr>
        <w:t>Shares (or Units) That May Yet Be Purchased Under the Plans or Programs</w:t>
      </w:r>
      <w:r>
        <w:rPr>
          <w:rFonts w:ascii="Times New Roman" w:cs="Times New Roman" w:eastAsia="Times New Roman" w:hAnsi="Times New Roman"/>
          <w:sz w:val="18"/>
          <w:szCs w:val="18"/>
          <w:b w:val="1"/>
          <w:bCs w:val="1"/>
          <w:color w:val="auto"/>
          <w:vertAlign w:val="superscript"/>
        </w:rPr>
        <w:t>(1)</w:t>
      </w:r>
    </w:p>
    <w:p>
      <w:pPr>
        <w:spacing w:after="0" w:line="1" w:lineRule="exact"/>
        <w:rPr>
          <w:sz w:val="20"/>
          <w:szCs w:val="20"/>
          <w:color w:val="auto"/>
        </w:rPr>
      </w:pPr>
    </w:p>
    <w:p>
      <w:pPr>
        <w:sectPr>
          <w:pgSz w:w="11900" w:h="16838" w:orient="portrait"/>
          <w:cols w:equalWidth="0" w:num="3">
            <w:col w:w="7160" w:space="113"/>
            <w:col w:w="1827" w:space="200"/>
            <w:col w:w="192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1 - 31, 2022</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58.82</w:t>
            </w: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09"/>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1 - 31, 2022</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143,463</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60.48</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143,463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1"/>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1 - 30, 2022</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71,538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55.95</w:t>
            </w:r>
          </w:p>
        </w:tc>
        <w:tc>
          <w:tcPr>
            <w:tcW w:w="100" w:type="dxa"/>
            <w:vAlign w:val="bottom"/>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71,538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6"/>
        </w:trPr>
        <w:tc>
          <w:tcPr>
            <w:tcW w:w="3120" w:type="dxa"/>
            <w:vAlign w:val="bottom"/>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275,001</w:t>
            </w:r>
          </w:p>
        </w:tc>
        <w:tc>
          <w:tcPr>
            <w:tcW w:w="920" w:type="dxa"/>
            <w:vAlign w:val="bottom"/>
            <w:gridSpan w:val="2"/>
          </w:tcPr>
          <w:p>
            <w:pPr>
              <w:jc w:val="right"/>
              <w:ind w:right="6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58.94</w:t>
            </w:r>
          </w:p>
        </w:tc>
        <w:tc>
          <w:tcPr>
            <w:tcW w:w="100" w:type="dxa"/>
            <w:vAlign w:val="bottom"/>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275,001</w:t>
            </w:r>
          </w:p>
        </w:tc>
        <w:tc>
          <w:tcPr>
            <w:tcW w:w="1020" w:type="dxa"/>
            <w:vAlign w:val="bottom"/>
            <w:gridSpan w:val="2"/>
          </w:tcPr>
          <w:p>
            <w:pPr>
              <w:jc w:val="right"/>
              <w:ind w:right="8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05" w:lineRule="exact"/>
        <w:rPr>
          <w:sz w:val="20"/>
          <w:szCs w:val="20"/>
          <w:color w:val="auto"/>
        </w:rPr>
      </w:pPr>
    </w:p>
    <w:p>
      <w:pPr>
        <w:ind w:left="320" w:right="80" w:hanging="315"/>
        <w:spacing w:after="0" w:line="261" w:lineRule="auto"/>
        <w:tabs>
          <w:tab w:leader="none" w:pos="31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purchased shares of our common stock in open market purchases pursuant to share repurchases authorized by our Board of Directors. In October 2015, our Board of Directors authorized the repurchase of up to $100 million of our common stock, and in February 2017, our Board of Directors approved an increase to the share repurchase program, authorizing us to repurchase an additional $100 million of our outstanding common stock. As of September 30, 2022, we have fully utilized our authorization for purchases under this authorization.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the Exhibit Index, which immediately precedes the signature page of this Quarterly Report on Form 10-Q, which is incorporated herein by reference.</w:t>
      </w:r>
    </w:p>
    <w:p>
      <w:pPr>
        <w:spacing w:after="0" w:line="200" w:lineRule="exact"/>
        <w:rPr>
          <w:sz w:val="20"/>
          <w:szCs w:val="20"/>
          <w:color w:val="auto"/>
        </w:rPr>
      </w:pPr>
    </w:p>
    <w:p>
      <w:pPr>
        <w:spacing w:after="0" w:line="36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2" w:name="page43"/>
    <w:bookmarkEnd w:id="42"/>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90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1"/>
        </w:trPr>
        <w:tc>
          <w:tcPr>
            <w:tcW w:w="9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9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900" w:type="dxa"/>
            <w:vAlign w:val="bottom"/>
            <w:gridSpan w:val="5"/>
          </w:tcPr>
          <w:p>
            <w:pPr>
              <w:ind w:left="14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95"/>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9960" w:type="dxa"/>
            <w:vAlign w:val="bottom"/>
            <w:gridSpan w:val="8"/>
          </w:tcPr>
          <w:p>
            <w:pPr>
              <w:spacing w:after="0"/>
              <w:rPr>
                <w:rFonts w:ascii="Times New Roman" w:cs="Times New Roman" w:eastAsia="Times New Roman" w:hAnsi="Times New Roman"/>
                <w:sz w:val="16"/>
                <w:szCs w:val="16"/>
                <w:color w:val="0000FF"/>
              </w:rPr>
            </w:pPr>
            <w:hyperlink r:id="rId59">
              <w:r>
                <w:rPr>
                  <w:rFonts w:ascii="Times New Roman" w:cs="Times New Roman" w:eastAsia="Times New Roman" w:hAnsi="Times New Roman"/>
                  <w:sz w:val="16"/>
                  <w:szCs w:val="16"/>
                  <w:color w:val="0000FF"/>
                </w:rPr>
                <w:t>Separation Agreement and General Release between the Company and Peter Silvio, dated September 1, 2022</w:t>
              </w:r>
            </w:hyperlink>
          </w:p>
        </w:tc>
      </w:tr>
      <w:tr>
        <w:trPr>
          <w:trHeight w:val="19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10.2#</w:t>
            </w:r>
          </w:p>
        </w:tc>
        <w:tc>
          <w:tcPr>
            <w:tcW w:w="69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2022 Nonqualified Deferred Compensation Plan</w:t>
            </w:r>
          </w:p>
        </w:tc>
        <w:tc>
          <w:tcPr>
            <w:tcW w:w="3060" w:type="dxa"/>
            <w:vAlign w:val="bottom"/>
            <w:gridSpan w:val="4"/>
          </w:tcPr>
          <w:p>
            <w:pPr>
              <w:spacing w:after="0"/>
              <w:rPr>
                <w:sz w:val="16"/>
                <w:szCs w:val="16"/>
                <w:color w:val="auto"/>
              </w:rPr>
            </w:pPr>
          </w:p>
        </w:tc>
      </w:tr>
      <w:tr>
        <w:trPr>
          <w:trHeight w:val="20"/>
        </w:trPr>
        <w:tc>
          <w:tcPr>
            <w:tcW w:w="9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9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8"/>
              </w:rPr>
              <w:t>Certification of Chief Executive Officer pursuant to Exchange Act Rules 13a-14(a) and 15d-14(a), as adopted pursuant to Section 302 of the Sarbanes-Oxley</w:t>
            </w:r>
          </w:p>
        </w:tc>
      </w:tr>
      <w:tr>
        <w:trPr>
          <w:trHeight w:val="138"/>
        </w:trPr>
        <w:tc>
          <w:tcPr>
            <w:tcW w:w="960" w:type="dxa"/>
            <w:vAlign w:val="bottom"/>
          </w:tcPr>
          <w:p>
            <w:pPr>
              <w:spacing w:after="0"/>
              <w:rPr>
                <w:sz w:val="11"/>
                <w:szCs w:val="11"/>
                <w:color w:val="auto"/>
              </w:rPr>
            </w:pPr>
          </w:p>
        </w:tc>
        <w:tc>
          <w:tcPr>
            <w:tcW w:w="760" w:type="dxa"/>
            <w:vAlign w:val="bottom"/>
            <w:tcBorders>
              <w:top w:val="single" w:sz="8" w:color="0000FF"/>
              <w:bottom w:val="single" w:sz="8" w:color="0000FF"/>
            </w:tcBorders>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60" w:type="dxa"/>
            <w:vAlign w:val="bottom"/>
            <w:tcBorders>
              <w:top w:val="single" w:sz="8" w:color="0000FF"/>
            </w:tcBorders>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9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9"/>
              </w:rPr>
              <w:t>Certification of Chief Financial Officer pursuant to Exchange Act Rules 13a-14(a) and 15d-14(a), as adopted pursuant to Section 302 of the Sarbanes-Oxley</w:t>
            </w:r>
          </w:p>
        </w:tc>
      </w:tr>
      <w:tr>
        <w:trPr>
          <w:trHeight w:val="138"/>
        </w:trPr>
        <w:tc>
          <w:tcPr>
            <w:tcW w:w="960" w:type="dxa"/>
            <w:vAlign w:val="bottom"/>
          </w:tcPr>
          <w:p>
            <w:pPr>
              <w:spacing w:after="0"/>
              <w:rPr>
                <w:sz w:val="11"/>
                <w:szCs w:val="11"/>
                <w:color w:val="auto"/>
              </w:rPr>
            </w:pPr>
          </w:p>
        </w:tc>
        <w:tc>
          <w:tcPr>
            <w:tcW w:w="760" w:type="dxa"/>
            <w:vAlign w:val="bottom"/>
            <w:tcBorders>
              <w:top w:val="single" w:sz="8" w:color="0000FF"/>
              <w:bottom w:val="single" w:sz="8" w:color="0000FF"/>
            </w:tcBorders>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20" w:type="dxa"/>
            <w:vAlign w:val="bottom"/>
            <w:tcBorders>
              <w:top w:val="single" w:sz="8" w:color="0000FF"/>
            </w:tcBorders>
            <w:gridSpan w:val="4"/>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9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9960" w:type="dxa"/>
            <w:vAlign w:val="bottom"/>
            <w:gridSpan w:val="8"/>
          </w:tcPr>
          <w:p>
            <w:pPr>
              <w:spacing w:after="0"/>
              <w:rPr>
                <w:sz w:val="20"/>
                <w:szCs w:val="20"/>
                <w:color w:val="auto"/>
              </w:rPr>
            </w:pPr>
            <w:r>
              <w:rPr>
                <w:rFonts w:ascii="Times New Roman" w:cs="Times New Roman" w:eastAsia="Times New Roman" w:hAnsi="Times New Roman"/>
                <w:sz w:val="16"/>
                <w:szCs w:val="16"/>
                <w:color w:val="0000FF"/>
                <w:w w:val="98"/>
              </w:rPr>
              <w:t>Certification of Chief Executive Officer and Chief Financial Officer pursuant to 18 U.S.C. Section 1350, as adopted pursuant to Section 906 of the Sarbanes-</w:t>
            </w:r>
          </w:p>
        </w:tc>
      </w:tr>
      <w:tr>
        <w:trPr>
          <w:trHeight w:val="138"/>
        </w:trPr>
        <w:tc>
          <w:tcPr>
            <w:tcW w:w="960" w:type="dxa"/>
            <w:vAlign w:val="bottom"/>
          </w:tcPr>
          <w:p>
            <w:pPr>
              <w:spacing w:after="0"/>
              <w:rPr>
                <w:sz w:val="11"/>
                <w:szCs w:val="11"/>
                <w:color w:val="auto"/>
              </w:rPr>
            </w:pPr>
          </w:p>
        </w:tc>
        <w:tc>
          <w:tcPr>
            <w:tcW w:w="9940" w:type="dxa"/>
            <w:vAlign w:val="bottom"/>
            <w:tcBorders>
              <w:top w:val="single" w:sz="8" w:color="0000FF"/>
            </w:tcBorders>
            <w:gridSpan w:val="7"/>
          </w:tcPr>
          <w:p>
            <w:pPr>
              <w:spacing w:after="0" w:line="138" w:lineRule="exact"/>
              <w:rPr>
                <w:sz w:val="20"/>
                <w:szCs w:val="20"/>
                <w:color w:val="auto"/>
              </w:rPr>
            </w:pPr>
            <w:r>
              <w:rPr>
                <w:rFonts w:ascii="Times New Roman" w:cs="Times New Roman" w:eastAsia="Times New Roman" w:hAnsi="Times New Roman"/>
                <w:sz w:val="15"/>
                <w:szCs w:val="15"/>
                <w:color w:val="0000FF"/>
              </w:rPr>
              <w:t>Oxley Act of 2002</w:t>
            </w:r>
          </w:p>
        </w:tc>
        <w:tc>
          <w:tcPr>
            <w:tcW w:w="20" w:type="dxa"/>
            <w:vAlign w:val="bottom"/>
          </w:tcPr>
          <w:p>
            <w:pPr>
              <w:spacing w:after="0"/>
              <w:rPr>
                <w:sz w:val="11"/>
                <w:szCs w:val="11"/>
                <w:color w:val="auto"/>
              </w:rPr>
            </w:pPr>
          </w:p>
        </w:tc>
      </w:tr>
      <w:tr>
        <w:trPr>
          <w:trHeight w:val="20"/>
        </w:trPr>
        <w:tc>
          <w:tcPr>
            <w:tcW w:w="96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780" w:type="dxa"/>
            <w:vAlign w:val="bottom"/>
            <w:gridSpan w:val="6"/>
          </w:tcPr>
          <w:p>
            <w:pPr>
              <w:spacing w:after="0" w:line="20" w:lineRule="exact"/>
              <w:rPr>
                <w:sz w:val="1"/>
                <w:szCs w:val="1"/>
                <w:color w:val="auto"/>
              </w:rPr>
            </w:pPr>
          </w:p>
        </w:tc>
      </w:tr>
      <w:tr>
        <w:trPr>
          <w:trHeight w:val="177"/>
        </w:trPr>
        <w:tc>
          <w:tcPr>
            <w:tcW w:w="9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101.INS</w:t>
            </w:r>
          </w:p>
        </w:tc>
        <w:tc>
          <w:tcPr>
            <w:tcW w:w="9960" w:type="dxa"/>
            <w:vAlign w:val="bottom"/>
            <w:gridSpan w:val="8"/>
          </w:tcPr>
          <w:p>
            <w:pPr>
              <w:spacing w:after="0" w:line="178" w:lineRule="exact"/>
              <w:rPr>
                <w:sz w:val="20"/>
                <w:szCs w:val="20"/>
                <w:color w:val="auto"/>
              </w:rPr>
            </w:pPr>
            <w:r>
              <w:rPr>
                <w:rFonts w:ascii="Times New Roman" w:cs="Times New Roman" w:eastAsia="Times New Roman" w:hAnsi="Times New Roman"/>
                <w:sz w:val="16"/>
                <w:szCs w:val="16"/>
                <w:color w:val="auto"/>
                <w:w w:val="98"/>
              </w:rPr>
              <w:t>XBRL Instance Document - the instance document does not appear in the Interactive Data File because its XBRL tags are embedded within the Inline XBRL</w:t>
            </w:r>
          </w:p>
        </w:tc>
      </w:tr>
      <w:tr>
        <w:trPr>
          <w:trHeight w:val="207"/>
        </w:trPr>
        <w:tc>
          <w:tcPr>
            <w:tcW w:w="960" w:type="dxa"/>
            <w:vAlign w:val="bottom"/>
          </w:tcPr>
          <w:p>
            <w:pPr>
              <w:spacing w:after="0"/>
              <w:rPr>
                <w:sz w:val="17"/>
                <w:szCs w:val="17"/>
                <w:color w:val="auto"/>
              </w:rPr>
            </w:pPr>
          </w:p>
        </w:tc>
        <w:tc>
          <w:tcPr>
            <w:tcW w:w="99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9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99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99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99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996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4" w:lineRule="exact"/>
        <w:rPr>
          <w:sz w:val="20"/>
          <w:szCs w:val="20"/>
          <w:color w:val="auto"/>
        </w:rPr>
      </w:pPr>
    </w:p>
    <w:p>
      <w:pPr>
        <w:ind w:left="960" w:hanging="958"/>
        <w:spacing w:after="0"/>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101"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______________________________________</w:t>
      </w:r>
    </w:p>
    <w:p>
      <w:pPr>
        <w:spacing w:after="0" w:line="104"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134620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00"/>
          </w:cols>
          <w:pgMar w:left="400" w:top="121" w:right="599" w:bottom="1440" w:gutter="0" w:footer="0" w:header="0"/>
        </w:sectPr>
      </w:pPr>
    </w:p>
    <w:bookmarkStart w:id="43" w:name="page44"/>
    <w:bookmarkEnd w:id="4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48" w:lineRule="exact"/>
        <w:rPr>
          <w:sz w:val="20"/>
          <w:szCs w:val="20"/>
          <w:color w:val="auto"/>
        </w:rPr>
      </w:pPr>
    </w:p>
    <w:p>
      <w:pPr>
        <w:ind w:right="800"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500" w:type="dxa"/>
            <w:vAlign w:val="bottom"/>
          </w:tcPr>
          <w:p>
            <w:pPr>
              <w:spacing w:after="0"/>
              <w:rPr>
                <w:sz w:val="18"/>
                <w:szCs w:val="18"/>
                <w:color w:val="auto"/>
              </w:rPr>
            </w:pPr>
          </w:p>
        </w:tc>
        <w:tc>
          <w:tcPr>
            <w:tcW w:w="7700" w:type="dxa"/>
            <w:vAlign w:val="bottom"/>
            <w:gridSpan w:val="2"/>
          </w:tcPr>
          <w:p>
            <w:pPr>
              <w:ind w:left="1940"/>
              <w:spacing w:after="0"/>
              <w:rPr>
                <w:sz w:val="20"/>
                <w:szCs w:val="20"/>
                <w:color w:val="auto"/>
              </w:rPr>
            </w:pPr>
            <w:r>
              <w:rPr>
                <w:rFonts w:ascii="Times New Roman" w:cs="Times New Roman" w:eastAsia="Times New Roman" w:hAnsi="Times New Roman"/>
                <w:sz w:val="16"/>
                <w:szCs w:val="16"/>
                <w:b w:val="1"/>
                <w:bCs w:val="1"/>
                <w:color w:val="auto"/>
              </w:rPr>
              <w:t>SHUTTERSTOCK, INC.</w:t>
            </w:r>
          </w:p>
        </w:tc>
      </w:tr>
      <w:tr>
        <w:trPr>
          <w:trHeight w:val="42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Dated: October 25, 2022</w:t>
            </w:r>
          </w:p>
        </w:tc>
        <w:tc>
          <w:tcPr>
            <w:tcW w:w="258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Jarrod Yahes</w:t>
            </w:r>
          </w:p>
        </w:tc>
      </w:tr>
      <w:tr>
        <w:trPr>
          <w:trHeight w:val="202"/>
        </w:trPr>
        <w:tc>
          <w:tcPr>
            <w:tcW w:w="35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Jarrod Yahes</w:t>
            </w:r>
          </w:p>
        </w:tc>
      </w:tr>
      <w:tr>
        <w:trPr>
          <w:trHeight w:val="210"/>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r>
      <w:tr>
        <w:trPr>
          <w:trHeight w:val="211"/>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r>
      <w:tr>
        <w:trPr>
          <w:trHeight w:val="423"/>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Dated: October 25, 2022</w:t>
            </w:r>
          </w:p>
        </w:tc>
        <w:tc>
          <w:tcPr>
            <w:tcW w:w="2580" w:type="dxa"/>
            <w:vAlign w:val="bottom"/>
          </w:tcPr>
          <w:p>
            <w:pPr>
              <w:ind w:left="194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Steven Ciardiello</w:t>
            </w:r>
          </w:p>
        </w:tc>
      </w:tr>
      <w:tr>
        <w:trPr>
          <w:trHeight w:val="202"/>
        </w:trPr>
        <w:tc>
          <w:tcPr>
            <w:tcW w:w="35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Steven Ciardiello</w:t>
            </w:r>
          </w:p>
        </w:tc>
      </w:tr>
      <w:tr>
        <w:trPr>
          <w:trHeight w:val="210"/>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Accounting Officer</w:t>
            </w:r>
          </w:p>
        </w:tc>
      </w:tr>
      <w:tr>
        <w:trPr>
          <w:trHeight w:val="211"/>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20"/>
          </w:cols>
          <w:pgMar w:left="320" w:top="121" w:right="35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SHUTTERSTOCK, INC.</w:t>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NONQUALIFIED DEFERRED COMPENSATION PLAN</w:t>
      </w:r>
    </w:p>
    <w:p>
      <w:pPr>
        <w:spacing w:after="0" w:line="20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Purpose</w:t>
      </w:r>
    </w:p>
    <w:p>
      <w:pPr>
        <w:spacing w:after="0" w:line="184" w:lineRule="exact"/>
        <w:rPr>
          <w:sz w:val="20"/>
          <w:szCs w:val="20"/>
          <w:color w:val="auto"/>
        </w:rPr>
      </w:pPr>
    </w:p>
    <w:p>
      <w:pPr>
        <w:ind w:right="80" w:firstLine="1263"/>
        <w:spacing w:after="0" w:line="225" w:lineRule="auto"/>
        <w:rPr>
          <w:sz w:val="20"/>
          <w:szCs w:val="20"/>
          <w:color w:val="auto"/>
        </w:rPr>
      </w:pPr>
      <w:r>
        <w:rPr>
          <w:rFonts w:ascii="Times New Roman" w:cs="Times New Roman" w:eastAsia="Times New Roman" w:hAnsi="Times New Roman"/>
          <w:sz w:val="21"/>
          <w:szCs w:val="21"/>
          <w:color w:val="auto"/>
        </w:rPr>
        <w:t>This Shutterstock, Inc. Nonqualified Deferred Compensation Plan is established by Shutterstock, Inc. for the purpose of providing deferred compensation for a select group of management or highly compensated employees and non-employee directors. The Plan is intended to be unfunded and Participants have the status of general unsecured creditors with respect to payments under the Plan.</w:t>
      </w:r>
    </w:p>
    <w:p>
      <w:pPr>
        <w:spacing w:after="0" w:line="14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b w:val="1"/>
          <w:bCs w:val="1"/>
          <w:color w:val="auto"/>
        </w:rPr>
        <w:t>Section 2.</w:t>
      </w:r>
      <w:r>
        <w:rPr>
          <w:sz w:val="20"/>
          <w:szCs w:val="20"/>
          <w:color w:val="auto"/>
        </w:rPr>
        <w:tab/>
      </w:r>
      <w:r>
        <w:rPr>
          <w:rFonts w:ascii="Times New Roman" w:cs="Times New Roman" w:eastAsia="Times New Roman" w:hAnsi="Times New Roman"/>
          <w:sz w:val="20"/>
          <w:szCs w:val="20"/>
          <w:b w:val="1"/>
          <w:bCs w:val="1"/>
          <w:color w:val="auto"/>
        </w:rPr>
        <w:t>Definitions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The following terms, when capitalized, have the meanings set forth below:</w:t>
      </w:r>
    </w:p>
    <w:p>
      <w:pPr>
        <w:spacing w:after="0" w:line="176" w:lineRule="exact"/>
        <w:rPr>
          <w:sz w:val="20"/>
          <w:szCs w:val="20"/>
          <w:color w:val="auto"/>
        </w:rPr>
      </w:pPr>
    </w:p>
    <w:p>
      <w:pPr>
        <w:ind w:right="80" w:firstLine="947"/>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2.1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Account</w:t>
      </w:r>
      <w:r>
        <w:rPr>
          <w:rFonts w:ascii="Times New Roman" w:cs="Times New Roman" w:eastAsia="Times New Roman" w:hAnsi="Times New Roman"/>
          <w:sz w:val="21"/>
          <w:szCs w:val="21"/>
          <w:color w:val="auto"/>
        </w:rPr>
        <w:t>” means a hypothetical bookkeeping account established in the name of each Participant and maintained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to reflect the Participant’s interests under the Plan.</w:t>
      </w:r>
    </w:p>
    <w:p>
      <w:pPr>
        <w:spacing w:after="0" w:line="135" w:lineRule="exact"/>
        <w:rPr>
          <w:sz w:val="20"/>
          <w:szCs w:val="20"/>
          <w:color w:val="auto"/>
        </w:rPr>
      </w:pPr>
    </w:p>
    <w:p>
      <w:pPr>
        <w:ind w:right="280" w:firstLine="947"/>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2.2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Beneficiary</w:t>
      </w:r>
      <w:r>
        <w:rPr>
          <w:rFonts w:ascii="Times New Roman" w:cs="Times New Roman" w:eastAsia="Times New Roman" w:hAnsi="Times New Roman"/>
          <w:sz w:val="21"/>
          <w:szCs w:val="21"/>
          <w:color w:val="auto"/>
        </w:rPr>
        <w:t>” means a person, trust, estate or entity designated by a Participant in accordance with Section 11.2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receive, upon the death of the Participant, the Participant’s benefits pursuant to the terms of the Plan.</w:t>
      </w:r>
    </w:p>
    <w:p>
      <w:pPr>
        <w:spacing w:after="0" w:line="13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b w:val="1"/>
          <w:bCs w:val="1"/>
          <w:color w:val="auto"/>
        </w:rPr>
        <w:t xml:space="preserve">2.3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means the Board of Directors of the Company.</w:t>
      </w:r>
    </w:p>
    <w:p>
      <w:pPr>
        <w:spacing w:after="0" w:line="180" w:lineRule="exact"/>
        <w:rPr>
          <w:sz w:val="20"/>
          <w:szCs w:val="20"/>
          <w:color w:val="auto"/>
        </w:rPr>
      </w:pPr>
    </w:p>
    <w:p>
      <w:pPr>
        <w:ind w:right="100" w:firstLine="947"/>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2.4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Bonus</w:t>
      </w:r>
      <w:r>
        <w:rPr>
          <w:rFonts w:ascii="Times New Roman" w:cs="Times New Roman" w:eastAsia="Times New Roman" w:hAnsi="Times New Roman"/>
          <w:sz w:val="21"/>
          <w:szCs w:val="21"/>
          <w:color w:val="auto"/>
        </w:rPr>
        <w:t>” means a Participant’s annual bonus, commissions or cash compensation earned by a Participant for services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rendered under any bonus or cash incentive plan maintained by the Company with respect to a Plan Year.</w:t>
      </w:r>
    </w:p>
    <w:p>
      <w:pPr>
        <w:spacing w:after="0" w:line="135" w:lineRule="exact"/>
        <w:rPr>
          <w:sz w:val="20"/>
          <w:szCs w:val="20"/>
          <w:color w:val="auto"/>
        </w:rPr>
      </w:pPr>
    </w:p>
    <w:p>
      <w:pPr>
        <w:ind w:right="120" w:firstLine="947"/>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2.5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has the meaning ascribed to it in any written agreement defining such term between a Participant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or, if applicable, a Participating Employer and, in the absence of any such agreement, Cause means the occurrence of any of the following:</w:t>
      </w:r>
    </w:p>
    <w:p>
      <w:pPr>
        <w:spacing w:after="0" w:line="146" w:lineRule="exact"/>
        <w:rPr>
          <w:sz w:val="20"/>
          <w:szCs w:val="20"/>
          <w:color w:val="auto"/>
        </w:rPr>
      </w:pPr>
    </w:p>
    <w:p>
      <w:pPr>
        <w:ind w:right="440" w:firstLine="1268"/>
        <w:spacing w:after="0" w:line="243" w:lineRule="auto"/>
        <w:tabs>
          <w:tab w:leader="none" w:pos="1892"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gross negligence or willful misconduct in the performance of the Participant’s duties and responsibilities to, or the Participant’s violation of any written policy of, the Company or any Participating Employer;</w:t>
      </w:r>
    </w:p>
    <w:p>
      <w:pPr>
        <w:spacing w:after="0" w:line="142" w:lineRule="exact"/>
        <w:rPr>
          <w:rFonts w:ascii="Times New Roman" w:cs="Times New Roman" w:eastAsia="Times New Roman" w:hAnsi="Times New Roman"/>
          <w:sz w:val="21"/>
          <w:szCs w:val="21"/>
          <w:color w:val="auto"/>
        </w:rPr>
      </w:pPr>
    </w:p>
    <w:p>
      <w:pPr>
        <w:ind w:firstLine="1268"/>
        <w:spacing w:after="0" w:line="243" w:lineRule="auto"/>
        <w:tabs>
          <w:tab w:leader="none" w:pos="189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commission of any act of fraud, theft, embezzlement, financial dishonesty or any other willful misconduct that has caused or is reasonably expected to result in injury to the Company or any Participating Employer;</w:t>
      </w:r>
    </w:p>
    <w:p>
      <w:pPr>
        <w:spacing w:after="0" w:line="140" w:lineRule="exact"/>
        <w:rPr>
          <w:rFonts w:ascii="Times New Roman" w:cs="Times New Roman" w:eastAsia="Times New Roman" w:hAnsi="Times New Roman"/>
          <w:sz w:val="21"/>
          <w:szCs w:val="21"/>
          <w:color w:val="auto"/>
        </w:rPr>
      </w:pPr>
    </w:p>
    <w:p>
      <w:pPr>
        <w:ind w:right="40" w:firstLine="1268"/>
        <w:spacing w:after="0" w:line="245" w:lineRule="auto"/>
        <w:tabs>
          <w:tab w:leader="none" w:pos="1892"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Participant’s conviction of, or pleading guilty or </w:t>
      </w:r>
      <w:r>
        <w:rPr>
          <w:rFonts w:ascii="Times New Roman" w:cs="Times New Roman" w:eastAsia="Times New Roman" w:hAnsi="Times New Roman"/>
          <w:sz w:val="21"/>
          <w:szCs w:val="21"/>
          <w:i w:val="1"/>
          <w:iCs w:val="1"/>
          <w:color w:val="auto"/>
        </w:rPr>
        <w:t>nolo contendere</w:t>
      </w:r>
      <w:r>
        <w:rPr>
          <w:rFonts w:ascii="Times New Roman" w:cs="Times New Roman" w:eastAsia="Times New Roman" w:hAnsi="Times New Roman"/>
          <w:sz w:val="21"/>
          <w:szCs w:val="21"/>
          <w:color w:val="auto"/>
        </w:rPr>
        <w:t xml:space="preserve"> to, any felony or a lesser crime involving dishonesty or moral turpitude;</w:t>
      </w:r>
    </w:p>
    <w:p>
      <w:pPr>
        <w:spacing w:after="0" w:line="140"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alcohol abuse or other substance abuse;</w:t>
      </w:r>
    </w:p>
    <w:p>
      <w:pPr>
        <w:spacing w:after="0" w:line="179" w:lineRule="exact"/>
        <w:rPr>
          <w:rFonts w:ascii="Times New Roman" w:cs="Times New Roman" w:eastAsia="Times New Roman" w:hAnsi="Times New Roman"/>
          <w:sz w:val="21"/>
          <w:szCs w:val="21"/>
          <w:color w:val="auto"/>
        </w:rPr>
      </w:pPr>
    </w:p>
    <w:p>
      <w:pPr>
        <w:ind w:firstLine="1268"/>
        <w:spacing w:after="0" w:line="225" w:lineRule="auto"/>
        <w:tabs>
          <w:tab w:leader="none" w:pos="1892"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unauthorized use or disclosure of any proprietary information or trade secrets (other than as explicitly set forth in any policy of the Company or any Participating Employer) of the Company, any Participating Employer or any other party to whom Participant owes an obligation of nondisclosure as a result of his or her relationship with the Company or any Participating Employer; or</w:t>
      </w:r>
    </w:p>
    <w:p>
      <w:pPr>
        <w:sectPr>
          <w:pgSz w:w="11900" w:h="16838" w:orient="portrait"/>
          <w:cols w:equalWidth="0" w:num="1">
            <w:col w:w="11220"/>
          </w:cols>
          <w:pgMar w:left="320" w:top="1355" w:right="359" w:bottom="1440" w:gutter="0" w:footer="0" w:header="0"/>
        </w:sectPr>
      </w:pPr>
    </w:p>
    <w:bookmarkStart w:id="45" w:name="page46"/>
    <w:bookmarkEnd w:id="45"/>
    <w:p>
      <w:pPr>
        <w:ind w:right="720" w:firstLine="1268"/>
        <w:spacing w:after="0" w:line="243" w:lineRule="auto"/>
        <w:tabs>
          <w:tab w:leader="none" w:pos="1895"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material breach of any of the Participant’s obligations under any written agreement or covenant with the Company or any Participating Employer.</w:t>
      </w:r>
    </w:p>
    <w:p>
      <w:pPr>
        <w:spacing w:after="0" w:line="13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b w:val="1"/>
          <w:bCs w:val="1"/>
          <w:color w:val="auto"/>
        </w:rPr>
        <w:t xml:space="preserve">2.6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means the occurrence of any of the following:</w:t>
      </w:r>
    </w:p>
    <w:p>
      <w:pPr>
        <w:spacing w:after="0" w:line="184" w:lineRule="exact"/>
        <w:rPr>
          <w:sz w:val="20"/>
          <w:szCs w:val="20"/>
          <w:color w:val="auto"/>
        </w:rPr>
      </w:pPr>
    </w:p>
    <w:p>
      <w:pPr>
        <w:ind w:right="180" w:firstLine="1268"/>
        <w:spacing w:after="0" w:line="222" w:lineRule="auto"/>
        <w:tabs>
          <w:tab w:leader="none" w:pos="189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merger or consolidation of the Company with or into another entity or any other corporate reorganization, if the Company’s shareholders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other reorganization;</w:t>
      </w:r>
    </w:p>
    <w:p>
      <w:pPr>
        <w:spacing w:after="0" w:line="146" w:lineRule="exact"/>
        <w:rPr>
          <w:rFonts w:ascii="Times New Roman" w:cs="Times New Roman" w:eastAsia="Times New Roman" w:hAnsi="Times New Roman"/>
          <w:sz w:val="21"/>
          <w:szCs w:val="21"/>
          <w:color w:val="auto"/>
        </w:rPr>
      </w:pPr>
    </w:p>
    <w:p>
      <w:pPr>
        <w:ind w:firstLine="1268"/>
        <w:spacing w:after="0" w:line="220" w:lineRule="auto"/>
        <w:tabs>
          <w:tab w:leader="none" w:pos="189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the sale, transfer or other disposition of all or substantially all of the Company’s assets (other than (i) to a corporation or other entity of which at least a majority of its combined voting power is owned directly or indirectly by the Company, (ii) to a corporation or other entity owned directly or indirectly by the shareholders of the Company in substantially the same proportions as their ownership of the common stock of the Company or (iii) to a continuing or surviving entity described in Section 2.6(a) in connection with a merger, consolidation or corporate reorganization which does not result in a Change in Control under Section 2.6(a);</w:t>
      </w:r>
    </w:p>
    <w:p>
      <w:pPr>
        <w:spacing w:after="0" w:line="145" w:lineRule="exact"/>
        <w:rPr>
          <w:rFonts w:ascii="Times New Roman" w:cs="Times New Roman" w:eastAsia="Times New Roman" w:hAnsi="Times New Roman"/>
          <w:sz w:val="21"/>
          <w:szCs w:val="21"/>
          <w:color w:val="auto"/>
        </w:rPr>
      </w:pPr>
    </w:p>
    <w:p>
      <w:pPr>
        <w:ind w:right="140" w:firstLine="1268"/>
        <w:spacing w:after="0" w:line="222" w:lineRule="auto"/>
        <w:tabs>
          <w:tab w:leader="none" w:pos="1883"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purposes of this Section 2.6(c), if any Person (as defined in Section 2.6(d)) is considered to be in effective control of the Company, the acquisition of additional control of the Company by the same Person will not be considered a Change in Control;</w:t>
      </w:r>
    </w:p>
    <w:p>
      <w:pPr>
        <w:spacing w:after="0" w:line="146" w:lineRule="exact"/>
        <w:rPr>
          <w:rFonts w:ascii="Times New Roman" w:cs="Times New Roman" w:eastAsia="Times New Roman" w:hAnsi="Times New Roman"/>
          <w:sz w:val="21"/>
          <w:szCs w:val="21"/>
          <w:color w:val="auto"/>
        </w:rPr>
      </w:pPr>
    </w:p>
    <w:p>
      <w:pPr>
        <w:ind w:right="60" w:firstLine="1268"/>
        <w:spacing w:after="0" w:line="217" w:lineRule="auto"/>
        <w:tabs>
          <w:tab w:leader="none" w:pos="1883"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any transaction as a result of which any Person becomes the “beneficial owner” (as defined in Rule 13d-3 under the Exchange Act), directly or indirectly, of securities of the Company representing at least fifty percent (50%) of the total voting power represented by the Company’s then outstanding voting securities. For purposes of this Section</w:t>
      </w:r>
    </w:p>
    <w:p>
      <w:pPr>
        <w:ind w:right="520"/>
        <w:spacing w:after="0" w:line="22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2.6(d), the term “</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shall have the same meaning as when used in Sections 13(d) and 14(d) of the Exchange Act but shall exclude:</w:t>
      </w:r>
    </w:p>
    <w:p>
      <w:pPr>
        <w:spacing w:after="0" w:line="147" w:lineRule="exact"/>
        <w:rPr>
          <w:sz w:val="20"/>
          <w:szCs w:val="20"/>
          <w:color w:val="auto"/>
        </w:rPr>
      </w:pPr>
    </w:p>
    <w:p>
      <w:pPr>
        <w:ind w:left="640" w:right="600" w:firstLine="1260"/>
        <w:spacing w:after="0" w:line="243" w:lineRule="auto"/>
        <w:tabs>
          <w:tab w:leader="none" w:pos="252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trustee or other fiduciary holding securities under an employee benefit plan of the Company or an affiliate of the Company;</w:t>
      </w:r>
    </w:p>
    <w:p>
      <w:pPr>
        <w:spacing w:after="0" w:line="142" w:lineRule="exact"/>
        <w:rPr>
          <w:rFonts w:ascii="Times New Roman" w:cs="Times New Roman" w:eastAsia="Times New Roman" w:hAnsi="Times New Roman"/>
          <w:sz w:val="21"/>
          <w:szCs w:val="21"/>
          <w:color w:val="auto"/>
        </w:rPr>
      </w:pPr>
    </w:p>
    <w:p>
      <w:pPr>
        <w:ind w:left="640" w:right="640" w:firstLine="1260"/>
        <w:spacing w:after="0" w:line="243" w:lineRule="auto"/>
        <w:tabs>
          <w:tab w:leader="none" w:pos="2529"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corporation or other entity owned directly or indirectly by the shareholders of the Company in substantially the same proportions as their ownership of the common stock of the Company;</w:t>
      </w:r>
    </w:p>
    <w:p>
      <w:pPr>
        <w:spacing w:after="0" w:line="142" w:lineRule="exact"/>
        <w:rPr>
          <w:rFonts w:ascii="Times New Roman" w:cs="Times New Roman" w:eastAsia="Times New Roman" w:hAnsi="Times New Roman"/>
          <w:sz w:val="21"/>
          <w:szCs w:val="21"/>
          <w:color w:val="auto"/>
        </w:rPr>
      </w:pPr>
    </w:p>
    <w:p>
      <w:pPr>
        <w:ind w:left="2540" w:hanging="640"/>
        <w:spacing w:after="0"/>
        <w:tabs>
          <w:tab w:leader="none" w:pos="254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w:t>
      </w:r>
    </w:p>
    <w:p>
      <w:pPr>
        <w:spacing w:after="0" w:line="179" w:lineRule="exact"/>
        <w:rPr>
          <w:rFonts w:ascii="Times New Roman" w:cs="Times New Roman" w:eastAsia="Times New Roman" w:hAnsi="Times New Roman"/>
          <w:sz w:val="21"/>
          <w:szCs w:val="21"/>
          <w:color w:val="auto"/>
        </w:rPr>
      </w:pPr>
    </w:p>
    <w:p>
      <w:pPr>
        <w:ind w:left="640" w:right="660" w:firstLine="1260"/>
        <w:spacing w:after="0" w:line="243" w:lineRule="auto"/>
        <w:tabs>
          <w:tab w:leader="none" w:pos="2523"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corporation or other entity of which at least a majority of its combined voting power is owned directly or indirectly by the Company; or</w:t>
      </w:r>
    </w:p>
    <w:p>
      <w:pPr>
        <w:spacing w:after="0" w:line="143" w:lineRule="exact"/>
        <w:rPr>
          <w:sz w:val="20"/>
          <w:szCs w:val="20"/>
          <w:color w:val="auto"/>
        </w:rPr>
      </w:pPr>
    </w:p>
    <w:p>
      <w:pPr>
        <w:ind w:left="1900" w:hanging="632"/>
        <w:spacing w:after="0"/>
        <w:tabs>
          <w:tab w:leader="none" w:pos="190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complete winding up, liquidation or dissolution of the Company;</w:t>
      </w:r>
    </w:p>
    <w:p>
      <w:pPr>
        <w:spacing w:after="0" w:line="178"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in the case of any of the foregoing provisions of this Section 2.6, the transaction constitutes a “change in control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event” within the meaning of Treasury Regulations Section 1.409A-3(i)(5). A transaction shall not constitute a “Change in Control” if its sole purpose is to change the state of the Company’s incorporation or to create a holding company that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6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1"/>
          <w:szCs w:val="21"/>
          <w:color w:val="auto"/>
        </w:rPr>
        <w:t>owned in substantially the same proportions by the persons who held the Company’s securities immediately before such transaction.</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b w:val="1"/>
          <w:bCs w:val="1"/>
          <w:color w:val="auto"/>
        </w:rPr>
        <w:t xml:space="preserve">2.7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means the Internal Revenue Code of 1986, as amended.</w:t>
      </w:r>
    </w:p>
    <w:p>
      <w:pPr>
        <w:spacing w:after="0" w:line="18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b w:val="1"/>
          <w:bCs w:val="1"/>
          <w:color w:val="auto"/>
        </w:rPr>
        <w:t>2.8 Committee</w:t>
      </w:r>
      <w:r>
        <w:rPr>
          <w:rFonts w:ascii="Times New Roman" w:cs="Times New Roman" w:eastAsia="Times New Roman" w:hAnsi="Times New Roman"/>
          <w:sz w:val="21"/>
          <w:szCs w:val="21"/>
          <w:color w:val="auto"/>
        </w:rPr>
        <w:t>” means the Compensation Committee of the Board.</w:t>
      </w:r>
    </w:p>
    <w:p>
      <w:pPr>
        <w:spacing w:after="0" w:line="18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b w:val="1"/>
          <w:bCs w:val="1"/>
          <w:color w:val="auto"/>
        </w:rPr>
        <w:t xml:space="preserve">2.9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means Shutterstock, Inc., a Delaware corporation, and any successor thereto.</w:t>
      </w:r>
    </w:p>
    <w:p>
      <w:pPr>
        <w:spacing w:after="0" w:line="180" w:lineRule="exact"/>
        <w:rPr>
          <w:sz w:val="20"/>
          <w:szCs w:val="20"/>
          <w:color w:val="auto"/>
        </w:rPr>
      </w:pPr>
    </w:p>
    <w:p>
      <w:pPr>
        <w:ind w:right="400" w:firstLine="947"/>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2.10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Compensation</w:t>
      </w:r>
      <w:r>
        <w:rPr>
          <w:rFonts w:ascii="Times New Roman" w:cs="Times New Roman" w:eastAsia="Times New Roman" w:hAnsi="Times New Roman"/>
          <w:sz w:val="21"/>
          <w:szCs w:val="21"/>
          <w:color w:val="auto"/>
        </w:rPr>
        <w:t>” means a Participant’s Salary, Bonus and 401(k) Refund, or, in the case of a Director,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Participant’s Director Fees, for a Plan Year.</w:t>
      </w:r>
    </w:p>
    <w:p>
      <w:pPr>
        <w:spacing w:after="0" w:line="135" w:lineRule="exact"/>
        <w:rPr>
          <w:sz w:val="20"/>
          <w:szCs w:val="20"/>
          <w:color w:val="auto"/>
        </w:rPr>
      </w:pPr>
    </w:p>
    <w:p>
      <w:pPr>
        <w:ind w:firstLine="947"/>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2.11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Deferral</w:t>
      </w:r>
      <w:r>
        <w:rPr>
          <w:rFonts w:ascii="Times New Roman" w:cs="Times New Roman" w:eastAsia="Times New Roman" w:hAnsi="Times New Roman"/>
          <w:sz w:val="21"/>
          <w:szCs w:val="21"/>
          <w:color w:val="auto"/>
        </w:rPr>
        <w:t>” means an amount deferred subject to a Participant’s Deferral Election and any Subsequent Election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pursuant to Section 5 and credited to the Participant’s Account, together with the notional earnings and losses that are credited and debited with respect to such amount.</w:t>
      </w:r>
    </w:p>
    <w:p>
      <w:pPr>
        <w:spacing w:after="0" w:line="142" w:lineRule="exact"/>
        <w:rPr>
          <w:sz w:val="20"/>
          <w:szCs w:val="20"/>
          <w:color w:val="auto"/>
        </w:rPr>
      </w:pPr>
    </w:p>
    <w:p>
      <w:pPr>
        <w:ind w:right="760" w:firstLine="947"/>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2.12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Deferral Election</w:t>
      </w:r>
      <w:r>
        <w:rPr>
          <w:rFonts w:ascii="Times New Roman" w:cs="Times New Roman" w:eastAsia="Times New Roman" w:hAnsi="Times New Roman"/>
          <w:sz w:val="21"/>
          <w:szCs w:val="21"/>
          <w:color w:val="auto"/>
        </w:rPr>
        <w:t>” means an election by a Participant and/or Eligible Employee or Director to defer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Compensation for a Plan Year.</w:t>
      </w:r>
    </w:p>
    <w:p>
      <w:pPr>
        <w:spacing w:after="0" w:line="135" w:lineRule="exact"/>
        <w:rPr>
          <w:sz w:val="20"/>
          <w:szCs w:val="20"/>
          <w:color w:val="auto"/>
        </w:rPr>
      </w:pPr>
    </w:p>
    <w:p>
      <w:pPr>
        <w:ind w:right="800" w:firstLine="947"/>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2.13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Director</w:t>
      </w:r>
      <w:r>
        <w:rPr>
          <w:rFonts w:ascii="Times New Roman" w:cs="Times New Roman" w:eastAsia="Times New Roman" w:hAnsi="Times New Roman"/>
          <w:sz w:val="21"/>
          <w:szCs w:val="21"/>
          <w:color w:val="auto"/>
        </w:rPr>
        <w:t>” means a member of the Board other than an Eligible Employee who has been selected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participation under Section 4.1.</w:t>
      </w:r>
    </w:p>
    <w:p>
      <w:pPr>
        <w:spacing w:after="0" w:line="135" w:lineRule="exact"/>
        <w:rPr>
          <w:sz w:val="20"/>
          <w:szCs w:val="20"/>
          <w:color w:val="auto"/>
        </w:rPr>
      </w:pPr>
    </w:p>
    <w:p>
      <w:pPr>
        <w:ind w:left="960"/>
        <w:spacing w:after="0"/>
        <w:tabs>
          <w:tab w:leader="none" w:pos="1880" w:val="left"/>
        </w:tabs>
        <w:rPr>
          <w:sz w:val="20"/>
          <w:szCs w:val="20"/>
          <w:color w:val="auto"/>
        </w:rPr>
      </w:pPr>
      <w:r>
        <w:rPr>
          <w:rFonts w:ascii="Times New Roman" w:cs="Times New Roman" w:eastAsia="Times New Roman" w:hAnsi="Times New Roman"/>
          <w:sz w:val="21"/>
          <w:szCs w:val="21"/>
          <w:b w:val="1"/>
          <w:bCs w:val="1"/>
          <w:color w:val="auto"/>
        </w:rPr>
        <w:t>2.14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Director Fees</w:t>
      </w:r>
      <w:r>
        <w:rPr>
          <w:rFonts w:ascii="Times New Roman" w:cs="Times New Roman" w:eastAsia="Times New Roman" w:hAnsi="Times New Roman"/>
          <w:sz w:val="20"/>
          <w:szCs w:val="20"/>
          <w:color w:val="auto"/>
        </w:rPr>
        <w:t>” means a Director’s cash retainer or fees for services in a Plan Year.</w:t>
      </w:r>
    </w:p>
    <w:p>
      <w:pPr>
        <w:spacing w:after="0" w:line="180" w:lineRule="exact"/>
        <w:rPr>
          <w:sz w:val="20"/>
          <w:szCs w:val="20"/>
          <w:color w:val="auto"/>
        </w:rPr>
      </w:pPr>
    </w:p>
    <w:p>
      <w:pPr>
        <w:ind w:right="140" w:firstLine="947"/>
        <w:spacing w:after="0" w:line="224" w:lineRule="exact"/>
        <w:rPr>
          <w:sz w:val="20"/>
          <w:szCs w:val="20"/>
          <w:color w:val="auto"/>
        </w:rPr>
      </w:pPr>
      <w:r>
        <w:rPr>
          <w:rFonts w:ascii="Times New Roman" w:cs="Times New Roman" w:eastAsia="Times New Roman" w:hAnsi="Times New Roman"/>
          <w:sz w:val="21"/>
          <w:szCs w:val="21"/>
          <w:b w:val="1"/>
          <w:bCs w:val="1"/>
          <w:color w:val="auto"/>
        </w:rPr>
        <w:t xml:space="preserve">2.15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Disability</w:t>
      </w:r>
      <w:r>
        <w:rPr>
          <w:rFonts w:ascii="Times New Roman" w:cs="Times New Roman" w:eastAsia="Times New Roman" w:hAnsi="Times New Roman"/>
          <w:sz w:val="21"/>
          <w:szCs w:val="21"/>
          <w:color w:val="auto"/>
        </w:rPr>
        <w:t>” means (a) a Participant is unable to engage in any substantial gainful activity by reason 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medically determinable physical or mental impairment that can be expected to result in death or can be expected to last for a continuous period of not less than twelve (12) months, (b) by reason of any medically determinable physical or mental impairment that can be expected to result in death or can be expected to last for a continuous period of not less than twelve (12) months, the Participant is receiving income replacement benefits for a period of not less than three (3) months under an accident and health plan covering employees of the Company or, if applicable, a Participating Employer, or (c) the Participant is determined to be totally disabled by the Social Security Administration, in each case subject to Treasury Regulations Section 1.409A</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3(i)(4).</w:t>
      </w:r>
    </w:p>
    <w:p>
      <w:pPr>
        <w:spacing w:after="0" w:line="121" w:lineRule="exact"/>
        <w:rPr>
          <w:sz w:val="20"/>
          <w:szCs w:val="20"/>
          <w:color w:val="auto"/>
        </w:rPr>
      </w:pPr>
    </w:p>
    <w:p>
      <w:pPr>
        <w:jc w:val="both"/>
        <w:ind w:right="20" w:firstLine="947"/>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2.16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Discretionary Contribution</w:t>
      </w:r>
      <w:r>
        <w:rPr>
          <w:rFonts w:ascii="Times New Roman" w:cs="Times New Roman" w:eastAsia="Times New Roman" w:hAnsi="Times New Roman"/>
          <w:sz w:val="21"/>
          <w:szCs w:val="21"/>
          <w:color w:val="auto"/>
        </w:rPr>
        <w:t>” means an amount awarded to a Participant by the Company and credited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Participant’s Account pursuant to Section 6, together with the notional earnings and losses that are credited and debited with respect to such amount.</w:t>
      </w:r>
    </w:p>
    <w:p>
      <w:pPr>
        <w:spacing w:after="0" w:line="142" w:lineRule="exact"/>
        <w:rPr>
          <w:sz w:val="20"/>
          <w:szCs w:val="20"/>
          <w:color w:val="auto"/>
        </w:rPr>
      </w:pPr>
    </w:p>
    <w:p>
      <w:pPr>
        <w:ind w:right="40" w:firstLine="947"/>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2.17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Distribution Date</w:t>
      </w:r>
      <w:r>
        <w:rPr>
          <w:rFonts w:ascii="Times New Roman" w:cs="Times New Roman" w:eastAsia="Times New Roman" w:hAnsi="Times New Roman"/>
          <w:sz w:val="21"/>
          <w:szCs w:val="21"/>
          <w:color w:val="auto"/>
        </w:rPr>
        <w:t>” means a date specified by a Participant in a Deferral Election with respect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Participant’s elective Deferrals, or otherwise specified with respect to a Participant’s Discretionary Contributions for the payment (or commencement of installment payments) of all or a portion of such Participant’s Account.</w:t>
      </w:r>
    </w:p>
    <w:p>
      <w:pPr>
        <w:spacing w:after="0" w:line="142" w:lineRule="exact"/>
        <w:rPr>
          <w:sz w:val="20"/>
          <w:szCs w:val="20"/>
          <w:color w:val="auto"/>
        </w:rPr>
      </w:pPr>
    </w:p>
    <w:p>
      <w:pPr>
        <w:ind w:right="180" w:firstLine="947"/>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2.18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Election Period</w:t>
      </w:r>
      <w:r>
        <w:rPr>
          <w:rFonts w:ascii="Times New Roman" w:cs="Times New Roman" w:eastAsia="Times New Roman" w:hAnsi="Times New Roman"/>
          <w:sz w:val="21"/>
          <w:szCs w:val="21"/>
          <w:color w:val="auto"/>
        </w:rPr>
        <w:t>” means the period established by the Plan Committee with respect to each Plan Year as set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forth in Section 5.2, during which Participants’ Deferral Elections must be made in accordance with the requirements of Section 409A of the Code.</w:t>
      </w:r>
    </w:p>
    <w:p>
      <w:pPr>
        <w:spacing w:after="0" w:line="142" w:lineRule="exact"/>
        <w:rPr>
          <w:sz w:val="20"/>
          <w:szCs w:val="20"/>
          <w:color w:val="auto"/>
        </w:rPr>
      </w:pPr>
    </w:p>
    <w:p>
      <w:pPr>
        <w:ind w:right="460" w:firstLine="947"/>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2.19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Eligible Employee</w:t>
      </w:r>
      <w:r>
        <w:rPr>
          <w:rFonts w:ascii="Times New Roman" w:cs="Times New Roman" w:eastAsia="Times New Roman" w:hAnsi="Times New Roman"/>
          <w:sz w:val="21"/>
          <w:szCs w:val="21"/>
          <w:color w:val="auto"/>
        </w:rPr>
        <w:t>” means a common law employee of the Company or a Participating Employer 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level of Vice President or above or who has been selected for participation under Section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2" w:right="339" w:bottom="1440" w:gutter="0" w:footer="0" w:header="0"/>
        </w:sectPr>
      </w:pPr>
    </w:p>
    <w:bookmarkStart w:id="47" w:name="page48"/>
    <w:bookmarkEnd w:id="47"/>
    <w:p>
      <w:pPr>
        <w:ind w:left="960"/>
        <w:spacing w:after="0"/>
        <w:tabs>
          <w:tab w:leader="none" w:pos="1880" w:val="left"/>
        </w:tabs>
        <w:rPr>
          <w:sz w:val="20"/>
          <w:szCs w:val="20"/>
          <w:color w:val="auto"/>
        </w:rPr>
      </w:pPr>
      <w:r>
        <w:rPr>
          <w:rFonts w:ascii="Times New Roman" w:cs="Times New Roman" w:eastAsia="Times New Roman" w:hAnsi="Times New Roman"/>
          <w:sz w:val="21"/>
          <w:szCs w:val="21"/>
          <w:b w:val="1"/>
          <w:bCs w:val="1"/>
          <w:color w:val="auto"/>
        </w:rPr>
        <w:t>2.20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ERISA</w:t>
      </w:r>
      <w:r>
        <w:rPr>
          <w:rFonts w:ascii="Times New Roman" w:cs="Times New Roman" w:eastAsia="Times New Roman" w:hAnsi="Times New Roman"/>
          <w:sz w:val="21"/>
          <w:szCs w:val="21"/>
          <w:color w:val="auto"/>
        </w:rPr>
        <w:t>” means the Employee Retirement Income Security Act of 1974, as amended.</w:t>
      </w:r>
    </w:p>
    <w:p>
      <w:pPr>
        <w:spacing w:after="0" w:line="180" w:lineRule="exact"/>
        <w:rPr>
          <w:sz w:val="20"/>
          <w:szCs w:val="20"/>
          <w:color w:val="auto"/>
        </w:rPr>
      </w:pPr>
    </w:p>
    <w:p>
      <w:pPr>
        <w:ind w:left="960"/>
        <w:spacing w:after="0"/>
        <w:tabs>
          <w:tab w:leader="none" w:pos="1880" w:val="left"/>
        </w:tabs>
        <w:rPr>
          <w:sz w:val="20"/>
          <w:szCs w:val="20"/>
          <w:color w:val="auto"/>
        </w:rPr>
      </w:pPr>
      <w:r>
        <w:rPr>
          <w:rFonts w:ascii="Times New Roman" w:cs="Times New Roman" w:eastAsia="Times New Roman" w:hAnsi="Times New Roman"/>
          <w:sz w:val="21"/>
          <w:szCs w:val="21"/>
          <w:b w:val="1"/>
          <w:bCs w:val="1"/>
          <w:color w:val="auto"/>
        </w:rPr>
        <w:t>2.21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180" w:lineRule="exact"/>
        <w:rPr>
          <w:sz w:val="20"/>
          <w:szCs w:val="20"/>
          <w:color w:val="auto"/>
        </w:rPr>
      </w:pPr>
    </w:p>
    <w:p>
      <w:pPr>
        <w:ind w:right="540" w:firstLine="947"/>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2.22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401(k) Plan</w:t>
      </w:r>
      <w:r>
        <w:rPr>
          <w:rFonts w:ascii="Times New Roman" w:cs="Times New Roman" w:eastAsia="Times New Roman" w:hAnsi="Times New Roman"/>
          <w:sz w:val="21"/>
          <w:szCs w:val="21"/>
          <w:color w:val="auto"/>
        </w:rPr>
        <w:t>” means the Shutterstock, Inc. 401(k) Plan, as it may be amended from time to time, or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successor or other qualified retirement plan of the Company or, if applicable, a Participating Employer that includes a cash or deferred arrangement intended to meet the requirements of Section 401(k) of the Code.</w:t>
      </w:r>
    </w:p>
    <w:p>
      <w:pPr>
        <w:spacing w:after="0" w:line="142" w:lineRule="exact"/>
        <w:rPr>
          <w:sz w:val="20"/>
          <w:szCs w:val="20"/>
          <w:color w:val="auto"/>
        </w:rPr>
      </w:pPr>
    </w:p>
    <w:p>
      <w:pPr>
        <w:ind w:firstLine="947"/>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2.23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401(k) Refund</w:t>
      </w:r>
      <w:r>
        <w:rPr>
          <w:rFonts w:ascii="Times New Roman" w:cs="Times New Roman" w:eastAsia="Times New Roman" w:hAnsi="Times New Roman"/>
          <w:sz w:val="21"/>
          <w:szCs w:val="21"/>
          <w:color w:val="auto"/>
        </w:rPr>
        <w:t>” means an amount equal in value to any corrective distributions refunded to a Participant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from the 401(k) Plan in a Plan Year, resulting from salary reduction contributions in excess of the maximum deferral allowable under the 401(k) Plan for the preceding Plan Year.</w:t>
      </w:r>
    </w:p>
    <w:p>
      <w:pPr>
        <w:spacing w:after="0" w:line="142" w:lineRule="exact"/>
        <w:rPr>
          <w:sz w:val="20"/>
          <w:szCs w:val="20"/>
          <w:color w:val="auto"/>
        </w:rPr>
      </w:pPr>
    </w:p>
    <w:p>
      <w:pPr>
        <w:ind w:right="500" w:firstLine="947"/>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2.24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Measurement Fund</w:t>
      </w:r>
      <w:r>
        <w:rPr>
          <w:rFonts w:ascii="Times New Roman" w:cs="Times New Roman" w:eastAsia="Times New Roman" w:hAnsi="Times New Roman"/>
          <w:sz w:val="21"/>
          <w:szCs w:val="21"/>
          <w:color w:val="auto"/>
        </w:rPr>
        <w:t>” means an investment fund, index or vehicle designated by the Plan Committee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provided under Section 7.2.</w:t>
      </w:r>
    </w:p>
    <w:p>
      <w:pPr>
        <w:spacing w:after="0" w:line="135" w:lineRule="exact"/>
        <w:rPr>
          <w:sz w:val="20"/>
          <w:szCs w:val="20"/>
          <w:color w:val="auto"/>
        </w:rPr>
      </w:pPr>
    </w:p>
    <w:p>
      <w:pPr>
        <w:ind w:right="340" w:firstLine="947"/>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2.25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means an Eligible Employee or Director who makes a valid Deferral Election in accordance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Section 5 or who is awarded a Discretionary Contribution as provided in Section 6, and any former Eligible Employee or Director entitled to an amount credited under the Plan.</w:t>
      </w:r>
    </w:p>
    <w:p>
      <w:pPr>
        <w:spacing w:after="0" w:line="142" w:lineRule="exact"/>
        <w:rPr>
          <w:sz w:val="20"/>
          <w:szCs w:val="20"/>
          <w:color w:val="auto"/>
        </w:rPr>
      </w:pPr>
    </w:p>
    <w:p>
      <w:pPr>
        <w:ind w:right="400" w:firstLine="947"/>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2.26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Participating Employer</w:t>
      </w:r>
      <w:r>
        <w:rPr>
          <w:rFonts w:ascii="Times New Roman" w:cs="Times New Roman" w:eastAsia="Times New Roman" w:hAnsi="Times New Roman"/>
          <w:sz w:val="21"/>
          <w:szCs w:val="21"/>
          <w:color w:val="auto"/>
        </w:rPr>
        <w:t>” means a subsidiary of the Company that has been selected by the Board 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Committee to participate in the Plan and has adopted the Plan.</w:t>
      </w:r>
    </w:p>
    <w:p>
      <w:pPr>
        <w:spacing w:after="0" w:line="135" w:lineRule="exact"/>
        <w:rPr>
          <w:sz w:val="20"/>
          <w:szCs w:val="20"/>
          <w:color w:val="auto"/>
        </w:rPr>
      </w:pPr>
    </w:p>
    <w:p>
      <w:pPr>
        <w:ind w:left="960"/>
        <w:spacing w:after="0"/>
        <w:tabs>
          <w:tab w:leader="none" w:pos="1880" w:val="left"/>
        </w:tabs>
        <w:rPr>
          <w:sz w:val="20"/>
          <w:szCs w:val="20"/>
          <w:color w:val="auto"/>
        </w:rPr>
      </w:pPr>
      <w:r>
        <w:rPr>
          <w:rFonts w:ascii="Times New Roman" w:cs="Times New Roman" w:eastAsia="Times New Roman" w:hAnsi="Times New Roman"/>
          <w:sz w:val="21"/>
          <w:szCs w:val="21"/>
          <w:b w:val="1"/>
          <w:bCs w:val="1"/>
          <w:color w:val="auto"/>
        </w:rPr>
        <w:t>2.27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Payment Event</w:t>
      </w:r>
      <w:r>
        <w:rPr>
          <w:rFonts w:ascii="Times New Roman" w:cs="Times New Roman" w:eastAsia="Times New Roman" w:hAnsi="Times New Roman"/>
          <w:sz w:val="21"/>
          <w:szCs w:val="21"/>
          <w:color w:val="auto"/>
        </w:rPr>
        <w:t>” has the meaning set forth in Section 8.1.</w:t>
      </w:r>
    </w:p>
    <w:p>
      <w:pPr>
        <w:spacing w:after="0" w:line="180" w:lineRule="exact"/>
        <w:rPr>
          <w:sz w:val="20"/>
          <w:szCs w:val="20"/>
          <w:color w:val="auto"/>
        </w:rPr>
      </w:pPr>
    </w:p>
    <w:p>
      <w:pPr>
        <w:ind w:right="60" w:firstLine="947"/>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2.28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Performance-Based Compensation</w:t>
      </w:r>
      <w:r>
        <w:rPr>
          <w:rFonts w:ascii="Times New Roman" w:cs="Times New Roman" w:eastAsia="Times New Roman" w:hAnsi="Times New Roman"/>
          <w:sz w:val="21"/>
          <w:szCs w:val="21"/>
          <w:color w:val="auto"/>
        </w:rPr>
        <w:t>” means compensation the amount of or entitlement to which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contingent on satisfaction of pre-established organizational or individual performance criteria relating to a performance period of at least twelve (12) consecutive months for which the outcome is substantially uncertain at the time the criteria are established, which performance criteria are established in writing by not later than ninety (90) days after the commencement of the performance period, and which meets the other requirements set forth in Treasury Regulations Section 1.409A-1(e).</w:t>
      </w:r>
    </w:p>
    <w:p>
      <w:pPr>
        <w:spacing w:after="0" w:line="146" w:lineRule="exact"/>
        <w:rPr>
          <w:sz w:val="20"/>
          <w:szCs w:val="20"/>
          <w:color w:val="auto"/>
        </w:rPr>
      </w:pPr>
    </w:p>
    <w:p>
      <w:pPr>
        <w:ind w:right="640" w:firstLine="947"/>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2.29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means this Shutterstock, Inc. Nonqualified Deferred Compensation Plan, as set forth herein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amended from time to time.</w:t>
      </w:r>
    </w:p>
    <w:p>
      <w:pPr>
        <w:spacing w:after="0" w:line="135" w:lineRule="exact"/>
        <w:rPr>
          <w:sz w:val="20"/>
          <w:szCs w:val="20"/>
          <w:color w:val="auto"/>
        </w:rPr>
      </w:pPr>
    </w:p>
    <w:p>
      <w:pPr>
        <w:ind w:left="960"/>
        <w:spacing w:after="0"/>
        <w:tabs>
          <w:tab w:leader="none" w:pos="1880" w:val="left"/>
        </w:tabs>
        <w:rPr>
          <w:sz w:val="20"/>
          <w:szCs w:val="20"/>
          <w:color w:val="auto"/>
        </w:rPr>
      </w:pPr>
      <w:r>
        <w:rPr>
          <w:rFonts w:ascii="Times New Roman" w:cs="Times New Roman" w:eastAsia="Times New Roman" w:hAnsi="Times New Roman"/>
          <w:sz w:val="21"/>
          <w:szCs w:val="21"/>
          <w:b w:val="1"/>
          <w:bCs w:val="1"/>
          <w:color w:val="auto"/>
        </w:rPr>
        <w:t>2.30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 Committee</w:t>
      </w:r>
      <w:r>
        <w:rPr>
          <w:rFonts w:ascii="Times New Roman" w:cs="Times New Roman" w:eastAsia="Times New Roman" w:hAnsi="Times New Roman"/>
          <w:sz w:val="21"/>
          <w:szCs w:val="21"/>
          <w:color w:val="auto"/>
        </w:rPr>
        <w:t>” has the meaning set forth in Section 3.1.</w:t>
      </w:r>
    </w:p>
    <w:p>
      <w:pPr>
        <w:spacing w:after="0" w:line="177" w:lineRule="exact"/>
        <w:rPr>
          <w:sz w:val="20"/>
          <w:szCs w:val="20"/>
          <w:color w:val="auto"/>
        </w:rPr>
      </w:pPr>
    </w:p>
    <w:p>
      <w:pPr>
        <w:ind w:left="960"/>
        <w:spacing w:after="0"/>
        <w:tabs>
          <w:tab w:leader="none" w:pos="1880" w:val="left"/>
        </w:tabs>
        <w:rPr>
          <w:sz w:val="20"/>
          <w:szCs w:val="20"/>
          <w:color w:val="auto"/>
        </w:rPr>
      </w:pPr>
      <w:r>
        <w:rPr>
          <w:rFonts w:ascii="Times New Roman" w:cs="Times New Roman" w:eastAsia="Times New Roman" w:hAnsi="Times New Roman"/>
          <w:sz w:val="21"/>
          <w:szCs w:val="21"/>
          <w:b w:val="1"/>
          <w:bCs w:val="1"/>
          <w:color w:val="auto"/>
        </w:rPr>
        <w:t>2.31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 Year</w:t>
      </w:r>
      <w:r>
        <w:rPr>
          <w:rFonts w:ascii="Times New Roman" w:cs="Times New Roman" w:eastAsia="Times New Roman" w:hAnsi="Times New Roman"/>
          <w:sz w:val="20"/>
          <w:szCs w:val="20"/>
          <w:color w:val="auto"/>
        </w:rPr>
        <w:t>” means a period beginning on January 1 of each calendar year and continuing through December</w:t>
      </w:r>
    </w:p>
    <w:p>
      <w:pPr>
        <w:spacing w:after="0"/>
        <w:rPr>
          <w:sz w:val="20"/>
          <w:szCs w:val="20"/>
          <w:color w:val="auto"/>
        </w:rPr>
      </w:pPr>
      <w:r>
        <w:rPr>
          <w:rFonts w:ascii="Times New Roman" w:cs="Times New Roman" w:eastAsia="Times New Roman" w:hAnsi="Times New Roman"/>
          <w:sz w:val="21"/>
          <w:szCs w:val="21"/>
          <w:color w:val="auto"/>
        </w:rPr>
        <w:t>31 of such calendar year.</w:t>
      </w:r>
    </w:p>
    <w:p>
      <w:pPr>
        <w:spacing w:after="0" w:line="152" w:lineRule="exact"/>
        <w:rPr>
          <w:sz w:val="20"/>
          <w:szCs w:val="20"/>
          <w:color w:val="auto"/>
        </w:rPr>
      </w:pPr>
    </w:p>
    <w:p>
      <w:pPr>
        <w:ind w:left="960"/>
        <w:spacing w:after="0"/>
        <w:tabs>
          <w:tab w:leader="none" w:pos="1880" w:val="left"/>
        </w:tabs>
        <w:rPr>
          <w:sz w:val="20"/>
          <w:szCs w:val="20"/>
          <w:color w:val="auto"/>
        </w:rPr>
      </w:pPr>
      <w:r>
        <w:rPr>
          <w:rFonts w:ascii="Times New Roman" w:cs="Times New Roman" w:eastAsia="Times New Roman" w:hAnsi="Times New Roman"/>
          <w:sz w:val="21"/>
          <w:szCs w:val="21"/>
          <w:b w:val="1"/>
          <w:bCs w:val="1"/>
          <w:color w:val="auto"/>
        </w:rPr>
        <w:t>2.32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Salary</w:t>
      </w:r>
      <w:r>
        <w:rPr>
          <w:rFonts w:ascii="Times New Roman" w:cs="Times New Roman" w:eastAsia="Times New Roman" w:hAnsi="Times New Roman"/>
          <w:sz w:val="20"/>
          <w:szCs w:val="20"/>
          <w:color w:val="auto"/>
        </w:rPr>
        <w:t>” means a Participant’s base salary payable for services rendered during a Plan Year.</w:t>
      </w:r>
    </w:p>
    <w:p>
      <w:pPr>
        <w:spacing w:after="0" w:line="180" w:lineRule="exact"/>
        <w:rPr>
          <w:sz w:val="20"/>
          <w:szCs w:val="20"/>
          <w:color w:val="auto"/>
        </w:rPr>
      </w:pPr>
    </w:p>
    <w:p>
      <w:pPr>
        <w:ind w:right="140" w:firstLine="947"/>
        <w:spacing w:after="0" w:line="241" w:lineRule="exact"/>
        <w:rPr>
          <w:sz w:val="20"/>
          <w:szCs w:val="20"/>
          <w:color w:val="auto"/>
        </w:rPr>
      </w:pPr>
      <w:r>
        <w:rPr>
          <w:rFonts w:ascii="Times New Roman" w:cs="Times New Roman" w:eastAsia="Times New Roman" w:hAnsi="Times New Roman"/>
          <w:sz w:val="21"/>
          <w:szCs w:val="21"/>
          <w:b w:val="1"/>
          <w:bCs w:val="1"/>
          <w:color w:val="auto"/>
        </w:rPr>
        <w:t xml:space="preserve">2.33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Separation from Service</w:t>
      </w:r>
      <w:r>
        <w:rPr>
          <w:rFonts w:ascii="Times New Roman" w:cs="Times New Roman" w:eastAsia="Times New Roman" w:hAnsi="Times New Roman"/>
          <w:sz w:val="21"/>
          <w:szCs w:val="21"/>
          <w:color w:val="auto"/>
        </w:rPr>
        <w:t>” means a termination of the services provided by a Participant to the Company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 Participating Employer, other than by reason of death or Disability, as determined by the Plan Committee in accordance with Treasury Regulations Section 1.409A</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1(h).</w:t>
      </w:r>
    </w:p>
    <w:p>
      <w:pPr>
        <w:spacing w:after="0" w:line="121" w:lineRule="exact"/>
        <w:rPr>
          <w:sz w:val="20"/>
          <w:szCs w:val="20"/>
          <w:color w:val="auto"/>
        </w:rPr>
      </w:pPr>
    </w:p>
    <w:p>
      <w:pPr>
        <w:ind w:right="180" w:firstLine="947"/>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2.34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Specified Employee</w:t>
      </w:r>
      <w:r>
        <w:rPr>
          <w:rFonts w:ascii="Times New Roman" w:cs="Times New Roman" w:eastAsia="Times New Roman" w:hAnsi="Times New Roman"/>
          <w:sz w:val="21"/>
          <w:szCs w:val="21"/>
          <w:color w:val="auto"/>
        </w:rPr>
        <w:t>” means a “specified employee” within the meaning of Section 409A(a)(2)(B)(i)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Code, as determined by the Plan Committee,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58" w:right="339" w:bottom="1440" w:gutter="0" w:footer="0" w:header="0"/>
        </w:sectPr>
      </w:pPr>
    </w:p>
    <w:bookmarkStart w:id="48" w:name="page49"/>
    <w:bookmarkEnd w:id="48"/>
    <w:p>
      <w:pPr>
        <w:ind w:right="80"/>
        <w:spacing w:after="0" w:line="230" w:lineRule="auto"/>
        <w:rPr>
          <w:sz w:val="20"/>
          <w:szCs w:val="20"/>
          <w:color w:val="auto"/>
        </w:rPr>
      </w:pPr>
      <w:r>
        <w:rPr>
          <w:rFonts w:ascii="Times New Roman" w:cs="Times New Roman" w:eastAsia="Times New Roman" w:hAnsi="Times New Roman"/>
          <w:sz w:val="21"/>
          <w:szCs w:val="21"/>
          <w:color w:val="auto"/>
        </w:rPr>
        <w:t>unless otherwise elected by the Plan Committee in accordance with Treasury Regulations Section 1.409A-1(i)(8), and subject to the requirements of Treasury Regulations Section 1.409A-1(i)(5), each Participant or other Eligible Employee shall be deemed to be a “specified employee” for purposes of the Plan.</w:t>
      </w:r>
    </w:p>
    <w:p>
      <w:pPr>
        <w:spacing w:after="0" w:line="144" w:lineRule="exact"/>
        <w:rPr>
          <w:sz w:val="20"/>
          <w:szCs w:val="20"/>
          <w:color w:val="auto"/>
        </w:rPr>
      </w:pPr>
    </w:p>
    <w:p>
      <w:pPr>
        <w:ind w:left="960"/>
        <w:spacing w:after="0"/>
        <w:tabs>
          <w:tab w:leader="none" w:pos="1880" w:val="left"/>
        </w:tabs>
        <w:rPr>
          <w:sz w:val="20"/>
          <w:szCs w:val="20"/>
          <w:color w:val="auto"/>
        </w:rPr>
      </w:pPr>
      <w:r>
        <w:rPr>
          <w:rFonts w:ascii="Times New Roman" w:cs="Times New Roman" w:eastAsia="Times New Roman" w:hAnsi="Times New Roman"/>
          <w:sz w:val="21"/>
          <w:szCs w:val="21"/>
          <w:b w:val="1"/>
          <w:bCs w:val="1"/>
          <w:color w:val="auto"/>
        </w:rPr>
        <w:t>2.35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Specified Employee Payment Date</w:t>
      </w:r>
      <w:r>
        <w:rPr>
          <w:rFonts w:ascii="Times New Roman" w:cs="Times New Roman" w:eastAsia="Times New Roman" w:hAnsi="Times New Roman"/>
          <w:sz w:val="21"/>
          <w:szCs w:val="21"/>
          <w:color w:val="auto"/>
        </w:rPr>
        <w:t>” has the meaning set forth in Section 8.2.</w:t>
      </w:r>
    </w:p>
    <w:p>
      <w:pPr>
        <w:spacing w:after="0" w:line="180" w:lineRule="exact"/>
        <w:rPr>
          <w:sz w:val="20"/>
          <w:szCs w:val="20"/>
          <w:color w:val="auto"/>
        </w:rPr>
      </w:pPr>
    </w:p>
    <w:p>
      <w:pPr>
        <w:ind w:left="960"/>
        <w:spacing w:after="0"/>
        <w:tabs>
          <w:tab w:leader="none" w:pos="1880" w:val="left"/>
        </w:tabs>
        <w:rPr>
          <w:sz w:val="20"/>
          <w:szCs w:val="20"/>
          <w:color w:val="auto"/>
        </w:rPr>
      </w:pPr>
      <w:r>
        <w:rPr>
          <w:rFonts w:ascii="Times New Roman" w:cs="Times New Roman" w:eastAsia="Times New Roman" w:hAnsi="Times New Roman"/>
          <w:sz w:val="21"/>
          <w:szCs w:val="21"/>
          <w:b w:val="1"/>
          <w:bCs w:val="1"/>
          <w:color w:val="auto"/>
        </w:rPr>
        <w:t>2.36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Subsequent Election</w:t>
      </w:r>
      <w:r>
        <w:rPr>
          <w:rFonts w:ascii="Times New Roman" w:cs="Times New Roman" w:eastAsia="Times New Roman" w:hAnsi="Times New Roman"/>
          <w:sz w:val="21"/>
          <w:szCs w:val="21"/>
          <w:color w:val="auto"/>
        </w:rPr>
        <w:t>” has the meaning set forth in Section 5.3.</w:t>
      </w:r>
    </w:p>
    <w:p>
      <w:pPr>
        <w:spacing w:after="0" w:line="180" w:lineRule="exact"/>
        <w:rPr>
          <w:sz w:val="20"/>
          <w:szCs w:val="20"/>
          <w:color w:val="auto"/>
        </w:rPr>
      </w:pPr>
    </w:p>
    <w:p>
      <w:pPr>
        <w:ind w:right="120" w:firstLine="947"/>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2.37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Unforeseeable Emergency</w:t>
      </w:r>
      <w:r>
        <w:rPr>
          <w:rFonts w:ascii="Times New Roman" w:cs="Times New Roman" w:eastAsia="Times New Roman" w:hAnsi="Times New Roman"/>
          <w:sz w:val="21"/>
          <w:szCs w:val="21"/>
          <w:color w:val="auto"/>
        </w:rPr>
        <w:t>” shall mean a severe financial hardship of the Participant resulting from illness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accident of the Participant or the Participant’s spouse, or dependent, loss of the Participant’s property due to casualty, or (c) such other similar extraordinary and unforeseeable circumstances arising as a result of events beyond the control of the Participant, determined in accordance with Treasury Regulations Section 1.409A-3(i)(3)(i).</w:t>
      </w:r>
    </w:p>
    <w:p>
      <w:pPr>
        <w:spacing w:after="0" w:line="143" w:lineRule="exact"/>
        <w:rPr>
          <w:sz w:val="20"/>
          <w:szCs w:val="20"/>
          <w:color w:val="auto"/>
        </w:rPr>
      </w:pPr>
    </w:p>
    <w:p>
      <w:pPr>
        <w:ind w:firstLine="947"/>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2.38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Valuation Date</w:t>
      </w:r>
      <w:r>
        <w:rPr>
          <w:rFonts w:ascii="Times New Roman" w:cs="Times New Roman" w:eastAsia="Times New Roman" w:hAnsi="Times New Roman"/>
          <w:sz w:val="21"/>
          <w:szCs w:val="21"/>
          <w:color w:val="auto"/>
        </w:rPr>
        <w:t>” means the date designated by the Plan Committee, in its sole discretion, as of which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value of a Measurement Fund, and the corresponding portion of a Participant’s Account, is adjusted for notional earnings and losses, and/or as of which the balance of a Participant’s Account is determined as of the date of any payment to the Participant or the Participant’s Beneficiary under the Plan.</w:t>
      </w:r>
    </w:p>
    <w:p>
      <w:pPr>
        <w:spacing w:after="0" w:line="14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Administration</w:t>
      </w:r>
    </w:p>
    <w:p>
      <w:pPr>
        <w:spacing w:after="0" w:line="180" w:lineRule="exact"/>
        <w:rPr>
          <w:sz w:val="20"/>
          <w:szCs w:val="20"/>
          <w:color w:val="auto"/>
        </w:rPr>
      </w:pPr>
    </w:p>
    <w:p>
      <w:pPr>
        <w:ind w:firstLine="947"/>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3.1 Plan Committee. </w:t>
      </w:r>
      <w:r>
        <w:rPr>
          <w:rFonts w:ascii="Times New Roman" w:cs="Times New Roman" w:eastAsia="Times New Roman" w:hAnsi="Times New Roman"/>
          <w:sz w:val="21"/>
          <w:szCs w:val="21"/>
          <w:color w:val="auto"/>
        </w:rPr>
        <w:t>The Plan shall be administered by the Committee or one or more successor committees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Board appointed by the Board or the Committee to administer the Plan (in either case, the “</w:t>
      </w:r>
      <w:r>
        <w:rPr>
          <w:rFonts w:ascii="Times New Roman" w:cs="Times New Roman" w:eastAsia="Times New Roman" w:hAnsi="Times New Roman"/>
          <w:sz w:val="21"/>
          <w:szCs w:val="21"/>
          <w:b w:val="1"/>
          <w:bCs w:val="1"/>
          <w:color w:val="auto"/>
        </w:rPr>
        <w:t>Plan Committee</w:t>
      </w:r>
      <w:r>
        <w:rPr>
          <w:rFonts w:ascii="Times New Roman" w:cs="Times New Roman" w:eastAsia="Times New Roman" w:hAnsi="Times New Roman"/>
          <w:sz w:val="21"/>
          <w:szCs w:val="21"/>
          <w:color w:val="auto"/>
        </w:rPr>
        <w:t>”). The Plan Committee may delegate any or all of its authority granted under the Plan to one or more executives of the Company or a committee thereof, except with respect to matters pertaining to participation by Directors under the Plan.</w:t>
      </w:r>
    </w:p>
    <w:p>
      <w:pPr>
        <w:spacing w:after="0" w:line="14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b w:val="1"/>
          <w:bCs w:val="1"/>
          <w:color w:val="auto"/>
        </w:rPr>
        <w:t xml:space="preserve">3.2 Authority. </w:t>
      </w:r>
      <w:r>
        <w:rPr>
          <w:rFonts w:ascii="Times New Roman" w:cs="Times New Roman" w:eastAsia="Times New Roman" w:hAnsi="Times New Roman"/>
          <w:sz w:val="21"/>
          <w:szCs w:val="21"/>
          <w:color w:val="auto"/>
        </w:rPr>
        <w:t>The Plan Committee shall have discretionary authority to:</w:t>
      </w:r>
    </w:p>
    <w:p>
      <w:pPr>
        <w:spacing w:after="0" w:line="184" w:lineRule="exact"/>
        <w:rPr>
          <w:sz w:val="20"/>
          <w:szCs w:val="20"/>
          <w:color w:val="auto"/>
        </w:rPr>
      </w:pPr>
    </w:p>
    <w:p>
      <w:pPr>
        <w:ind w:left="1900" w:hanging="632"/>
        <w:spacing w:after="0"/>
        <w:tabs>
          <w:tab w:leader="none" w:pos="190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construe and interpret the Plan and apply its provisions;</w:t>
      </w:r>
    </w:p>
    <w:p>
      <w:pPr>
        <w:spacing w:after="0" w:line="179"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amend, rescind, interpret and enforce rules and regulations relating to the administration of the Plan;</w:t>
      </w:r>
    </w:p>
    <w:p>
      <w:pPr>
        <w:spacing w:after="0" w:line="179" w:lineRule="exact"/>
        <w:rPr>
          <w:rFonts w:ascii="Times New Roman" w:cs="Times New Roman" w:eastAsia="Times New Roman" w:hAnsi="Times New Roman"/>
          <w:sz w:val="21"/>
          <w:szCs w:val="21"/>
          <w:color w:val="auto"/>
        </w:rPr>
      </w:pPr>
    </w:p>
    <w:p>
      <w:pPr>
        <w:ind w:right="160" w:firstLine="1268"/>
        <w:spacing w:after="0" w:line="243" w:lineRule="auto"/>
        <w:tabs>
          <w:tab w:leader="none" w:pos="1892"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decide or resolve any and all questions, including determinations regarding eligibility, participation, benefits and payment, as may arise in connection with the Plan;</w:t>
      </w:r>
    </w:p>
    <w:p>
      <w:pPr>
        <w:spacing w:after="0" w:line="135"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authorize any person to execute, on behalf of the Company, any instrument required to carry out the purposes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Plan;</w:t>
      </w:r>
    </w:p>
    <w:p>
      <w:pPr>
        <w:spacing w:after="0" w:line="155" w:lineRule="exact"/>
        <w:rPr>
          <w:rFonts w:ascii="Times New Roman" w:cs="Times New Roman" w:eastAsia="Times New Roman" w:hAnsi="Times New Roman"/>
          <w:sz w:val="21"/>
          <w:szCs w:val="21"/>
          <w:color w:val="auto"/>
        </w:rPr>
      </w:pPr>
    </w:p>
    <w:p>
      <w:pPr>
        <w:ind w:right="860" w:firstLine="1268"/>
        <w:spacing w:after="0" w:line="243" w:lineRule="auto"/>
        <w:tabs>
          <w:tab w:leader="none" w:pos="1892"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reconcile any inconsistency in, correct any defect in and/or supply any omission in the Plan and any instrument or agreement relating to the Plan; and</w:t>
      </w:r>
    </w:p>
    <w:p>
      <w:pPr>
        <w:spacing w:after="0" w:line="142" w:lineRule="exact"/>
        <w:rPr>
          <w:rFonts w:ascii="Times New Roman" w:cs="Times New Roman" w:eastAsia="Times New Roman" w:hAnsi="Times New Roman"/>
          <w:sz w:val="21"/>
          <w:szCs w:val="21"/>
          <w:color w:val="auto"/>
        </w:rPr>
      </w:pPr>
    </w:p>
    <w:p>
      <w:pPr>
        <w:ind w:right="460" w:firstLine="1268"/>
        <w:spacing w:after="0" w:line="243" w:lineRule="auto"/>
        <w:tabs>
          <w:tab w:leader="none" w:pos="1895"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and all other actions make any and all other determinations that it determines to be necessary or appropriate for the administration of the Plan.</w:t>
      </w:r>
    </w:p>
    <w:p>
      <w:pPr>
        <w:spacing w:after="0" w:line="143"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21"/>
          <w:szCs w:val="21"/>
          <w:color w:val="auto"/>
        </w:rPr>
        <w:t>The determinations of the Plan Committee need not be uniform and shall be conclusive, final and binding on all persons having an interest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180"/>
          </w:cols>
          <w:pgMar w:left="320" w:top="1362" w:right="399" w:bottom="1440" w:gutter="0" w:footer="0" w:header="0"/>
        </w:sectPr>
      </w:pPr>
    </w:p>
    <w:bookmarkStart w:id="49" w:name="page50"/>
    <w:bookmarkEnd w:id="49"/>
    <w:p>
      <w:pPr>
        <w:ind w:firstLine="947"/>
        <w:spacing w:after="0" w:line="213" w:lineRule="auto"/>
        <w:rPr>
          <w:sz w:val="20"/>
          <w:szCs w:val="20"/>
          <w:color w:val="auto"/>
        </w:rPr>
      </w:pPr>
      <w:r>
        <w:rPr>
          <w:rFonts w:ascii="Times New Roman" w:cs="Times New Roman" w:eastAsia="Times New Roman" w:hAnsi="Times New Roman"/>
          <w:sz w:val="21"/>
          <w:szCs w:val="21"/>
          <w:b w:val="1"/>
          <w:bCs w:val="1"/>
          <w:color w:val="auto"/>
        </w:rPr>
        <w:t xml:space="preserve">3.1 Claims Procedure. </w:t>
      </w:r>
      <w:r>
        <w:rPr>
          <w:rFonts w:ascii="Times New Roman" w:cs="Times New Roman" w:eastAsia="Times New Roman" w:hAnsi="Times New Roman"/>
          <w:sz w:val="21"/>
          <w:szCs w:val="21"/>
          <w:color w:val="auto"/>
        </w:rPr>
        <w:t>Except with respect to participation by Directors under the Plan, any claim for benefits under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is wholly or partially denied, the Plan Committee shall give notice in writing of any such denial to the affected Participant or Beneficiary, setting forth the specific reasons for such denial, and a review procedure meeting the applicable requirements of Section 503 of ERISA and the Labor Regulations thereunder shall be available upon such written notice of the denial of the claim. The Participant or Beneficiary may request a further review of such denial within sixty (60) days after the mailing date of such decision by the Plan Committee, in which case such further review shall be made within a reasonable period of time, but not later than sixty</w:t>
      </w:r>
    </w:p>
    <w:p>
      <w:pPr>
        <w:spacing w:after="0" w:line="5" w:lineRule="exact"/>
        <w:rPr>
          <w:sz w:val="20"/>
          <w:szCs w:val="20"/>
          <w:color w:val="auto"/>
        </w:rPr>
      </w:pPr>
    </w:p>
    <w:p>
      <w:pPr>
        <w:ind w:right="80" w:firstLine="5"/>
        <w:spacing w:after="0" w:line="222" w:lineRule="auto"/>
        <w:tabs>
          <w:tab w:leader="none" w:pos="403"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receipt of the request for further review, unless a hearing is necessitated to determine the facts and circumstances, in which event a decision shall be rendered as soon as possible, but not later than one hundred twenty (120) days after receipt of the request for further review.</w:t>
      </w:r>
    </w:p>
    <w:p>
      <w:pPr>
        <w:spacing w:after="0" w:line="14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Eligibility and Participation</w:t>
      </w:r>
    </w:p>
    <w:p>
      <w:pPr>
        <w:spacing w:after="0" w:line="180" w:lineRule="exact"/>
        <w:rPr>
          <w:sz w:val="20"/>
          <w:szCs w:val="20"/>
          <w:color w:val="auto"/>
        </w:rPr>
      </w:pPr>
    </w:p>
    <w:p>
      <w:pPr>
        <w:ind w:firstLine="947"/>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4.1 Eligibility. </w:t>
      </w:r>
      <w:r>
        <w:rPr>
          <w:rFonts w:ascii="Times New Roman" w:cs="Times New Roman" w:eastAsia="Times New Roman" w:hAnsi="Times New Roman"/>
          <w:sz w:val="21"/>
          <w:szCs w:val="21"/>
          <w:color w:val="auto"/>
        </w:rPr>
        <w:t>Employees of the Company or a Participating Employer at the level of Vice President or above or who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designated by the Plan Committee from a select group of management or highly compensated employees (“</w:t>
      </w:r>
      <w:r>
        <w:rPr>
          <w:rFonts w:ascii="Times New Roman" w:cs="Times New Roman" w:eastAsia="Times New Roman" w:hAnsi="Times New Roman"/>
          <w:sz w:val="21"/>
          <w:szCs w:val="21"/>
          <w:b w:val="1"/>
          <w:bCs w:val="1"/>
          <w:color w:val="auto"/>
        </w:rPr>
        <w:t>Eligible Employees</w:t>
      </w:r>
      <w:r>
        <w:rPr>
          <w:rFonts w:ascii="Times New Roman" w:cs="Times New Roman" w:eastAsia="Times New Roman" w:hAnsi="Times New Roman"/>
          <w:sz w:val="21"/>
          <w:szCs w:val="21"/>
          <w:color w:val="auto"/>
        </w:rPr>
        <w:t>”) and members of the Board other than Eligible Employees who are designated by the Plan Committee (“</w:t>
      </w:r>
      <w:r>
        <w:rPr>
          <w:rFonts w:ascii="Times New Roman" w:cs="Times New Roman" w:eastAsia="Times New Roman" w:hAnsi="Times New Roman"/>
          <w:sz w:val="21"/>
          <w:szCs w:val="21"/>
          <w:b w:val="1"/>
          <w:bCs w:val="1"/>
          <w:color w:val="auto"/>
        </w:rPr>
        <w:t>Directors</w:t>
      </w:r>
      <w:r>
        <w:rPr>
          <w:rFonts w:ascii="Times New Roman" w:cs="Times New Roman" w:eastAsia="Times New Roman" w:hAnsi="Times New Roman"/>
          <w:sz w:val="21"/>
          <w:szCs w:val="21"/>
          <w:color w:val="auto"/>
        </w:rPr>
        <w:t>”) shall be eligible to participate in the Plan. Eligible Employees and Directors with respect to any Plan Year shall be so notified by the Company and shall be eligible to make a Deferral Election during the applicable Election Period for the Plan Year.</w:t>
      </w:r>
    </w:p>
    <w:p>
      <w:pPr>
        <w:spacing w:after="0" w:line="146" w:lineRule="exact"/>
        <w:rPr>
          <w:sz w:val="20"/>
          <w:szCs w:val="20"/>
          <w:color w:val="auto"/>
        </w:rPr>
      </w:pPr>
    </w:p>
    <w:p>
      <w:pPr>
        <w:ind w:right="220" w:firstLine="947"/>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4.2 Participation. </w:t>
      </w:r>
      <w:r>
        <w:rPr>
          <w:rFonts w:ascii="Times New Roman" w:cs="Times New Roman" w:eastAsia="Times New Roman" w:hAnsi="Times New Roman"/>
          <w:sz w:val="21"/>
          <w:szCs w:val="21"/>
          <w:color w:val="auto"/>
        </w:rPr>
        <w:t>Each Eligible Employee or Director who makes a Deferral Election or who receives a Discretionary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Contribution shall become a Participant in the Plan. In the event a Participant ceases to be an Eligible Employee or Director for a subsequent Plan Year, the Participant shall retain all of the Participant’s rights under the Plan, except the Participant shall not be permitted to receive a Discretionary Contribution or to make a Deferral Election for the Plan Year.</w:t>
      </w:r>
    </w:p>
    <w:p>
      <w:pPr>
        <w:spacing w:after="0" w:line="14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b w:val="1"/>
          <w:bCs w:val="1"/>
          <w:color w:val="auto"/>
        </w:rPr>
        <w:t>Section 5.</w:t>
      </w:r>
      <w:r>
        <w:rPr>
          <w:sz w:val="20"/>
          <w:szCs w:val="20"/>
          <w:color w:val="auto"/>
        </w:rPr>
        <w:tab/>
      </w:r>
      <w:r>
        <w:rPr>
          <w:rFonts w:ascii="Times New Roman" w:cs="Times New Roman" w:eastAsia="Times New Roman" w:hAnsi="Times New Roman"/>
          <w:sz w:val="21"/>
          <w:szCs w:val="21"/>
          <w:b w:val="1"/>
          <w:bCs w:val="1"/>
          <w:color w:val="auto"/>
        </w:rPr>
        <w:t>Deferral Elections</w:t>
      </w:r>
    </w:p>
    <w:p>
      <w:pPr>
        <w:spacing w:after="0" w:line="180" w:lineRule="exact"/>
        <w:rPr>
          <w:sz w:val="20"/>
          <w:szCs w:val="20"/>
          <w:color w:val="auto"/>
        </w:rPr>
      </w:pPr>
    </w:p>
    <w:p>
      <w:pPr>
        <w:ind w:right="220" w:firstLine="947"/>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5.1 Deferral Election. </w:t>
      </w:r>
      <w:r>
        <w:rPr>
          <w:rFonts w:ascii="Times New Roman" w:cs="Times New Roman" w:eastAsia="Times New Roman" w:hAnsi="Times New Roman"/>
          <w:sz w:val="21"/>
          <w:szCs w:val="21"/>
          <w:color w:val="auto"/>
        </w:rPr>
        <w:t>An Eligible Employee or Director may elect to defer Compensation by completing a Deferral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Election, in the manner and form and subject to and in accordance with applicable requirements and procedures established by the Plan Committee, during the Election Period for a Plan Year. The Deferral Election must specify:</w:t>
      </w:r>
    </w:p>
    <w:p>
      <w:pPr>
        <w:spacing w:after="0" w:line="146" w:lineRule="exact"/>
        <w:rPr>
          <w:sz w:val="20"/>
          <w:szCs w:val="20"/>
          <w:color w:val="auto"/>
        </w:rPr>
      </w:pPr>
    </w:p>
    <w:p>
      <w:pPr>
        <w:ind w:right="240" w:firstLine="1268"/>
        <w:spacing w:after="0" w:line="243" w:lineRule="auto"/>
        <w:tabs>
          <w:tab w:leader="none" w:pos="1892"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or percentage of Salary and/or Bonus, or, in the case of a Director, the amount or percentage of Director Fees, to be deferred by the Participant and whether the Participant wishes to defer any 401(k) Refund for the Plan Year;</w:t>
      </w:r>
    </w:p>
    <w:p>
      <w:pPr>
        <w:spacing w:after="0" w:line="142" w:lineRule="exact"/>
        <w:rPr>
          <w:rFonts w:ascii="Times New Roman" w:cs="Times New Roman" w:eastAsia="Times New Roman" w:hAnsi="Times New Roman"/>
          <w:sz w:val="21"/>
          <w:szCs w:val="21"/>
          <w:color w:val="auto"/>
        </w:rPr>
      </w:pPr>
    </w:p>
    <w:p>
      <w:pPr>
        <w:ind w:right="380" w:firstLine="1268"/>
        <w:spacing w:after="0" w:line="243" w:lineRule="auto"/>
        <w:tabs>
          <w:tab w:leader="none" w:pos="189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Distribution Date, if any, and the form of payment (in a lump sum or installments) on each applicable Payment Event for the Participant’s Deferral for the Plan Year;</w:t>
      </w:r>
    </w:p>
    <w:p>
      <w:pPr>
        <w:spacing w:after="0" w:line="142" w:lineRule="exact"/>
        <w:rPr>
          <w:rFonts w:ascii="Times New Roman" w:cs="Times New Roman" w:eastAsia="Times New Roman" w:hAnsi="Times New Roman"/>
          <w:sz w:val="21"/>
          <w:szCs w:val="21"/>
          <w:color w:val="auto"/>
        </w:rPr>
      </w:pPr>
    </w:p>
    <w:p>
      <w:pPr>
        <w:jc w:val="both"/>
        <w:ind w:right="40" w:firstLine="1268"/>
        <w:spacing w:after="0" w:line="230" w:lineRule="auto"/>
        <w:tabs>
          <w:tab w:leader="none" w:pos="1892"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Participant’s initial Deferral Election under the Plan, whether the Participant wishes to receive payment of the balance of the Participant’s Account upon a Change in Control, and the form of any such payment upon a Change in Control; and</w:t>
      </w:r>
    </w:p>
    <w:p>
      <w:pPr>
        <w:spacing w:after="0" w:line="147" w:lineRule="exact"/>
        <w:rPr>
          <w:rFonts w:ascii="Times New Roman" w:cs="Times New Roman" w:eastAsia="Times New Roman" w:hAnsi="Times New Roman"/>
          <w:sz w:val="21"/>
          <w:szCs w:val="21"/>
          <w:color w:val="auto"/>
        </w:rPr>
      </w:pPr>
    </w:p>
    <w:p>
      <w:pPr>
        <w:ind w:right="640" w:firstLine="1268"/>
        <w:spacing w:after="0" w:line="243" w:lineRule="auto"/>
        <w:tabs>
          <w:tab w:leader="none" w:pos="189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Participant’s initial Deferral Election under the Plan, the percentage of the Participant’s Account allocated to each Measurement Fund available to the Participant under the Plan.</w:t>
      </w:r>
    </w:p>
    <w:p>
      <w:pPr>
        <w:spacing w:after="0" w:line="143"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1"/>
          <w:szCs w:val="21"/>
          <w:color w:val="auto"/>
        </w:rPr>
        <w:t>A Participant may elect to defer up to seventy-five percent (75%) of the Participant’s Salary and up to one hundred percent (100%) of the Participant’s Bonus or Director Fees for a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00"/>
          </w:cols>
          <w:pgMar w:left="320" w:top="1358" w:right="379" w:bottom="1440" w:gutter="0" w:footer="0" w:header="0"/>
        </w:sectPr>
      </w:pPr>
    </w:p>
    <w:bookmarkStart w:id="50" w:name="page51"/>
    <w:bookmarkEnd w:id="50"/>
    <w:p>
      <w:pPr>
        <w:ind w:right="60"/>
        <w:spacing w:after="0" w:line="218" w:lineRule="auto"/>
        <w:rPr>
          <w:sz w:val="20"/>
          <w:szCs w:val="20"/>
          <w:color w:val="auto"/>
        </w:rPr>
      </w:pPr>
      <w:r>
        <w:rPr>
          <w:rFonts w:ascii="Times New Roman" w:cs="Times New Roman" w:eastAsia="Times New Roman" w:hAnsi="Times New Roman"/>
          <w:sz w:val="21"/>
          <w:szCs w:val="21"/>
          <w:color w:val="auto"/>
        </w:rPr>
        <w:t>Except as otherwise provided by the Plan Committee, a Participant may elect to receive payment in two or more annual installments over a period not to exceed twelve (12) years, in the case of payment on the Participant’s Separation from Service, or five (5) years, in the case of payment on a specified Distribution Date or Change in Control. If a Participant’s Deferral Election fails to specify the form of payment with respect to any payment, the form and method shall be a single lump sum. If permitted by and subject to and in accordance with the requirements and procedures established by the Plan Committee, a Participant’s Deferral Election may specify one or more separate payment elections to apply to each component of Compensation or to a specified percentage or dollar amount of the Deferral elected by the Participant for a Plan Year.</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b w:val="1"/>
          <w:bCs w:val="1"/>
          <w:color w:val="auto"/>
        </w:rPr>
        <w:t>5.2 Election Period.</w:t>
      </w:r>
    </w:p>
    <w:p>
      <w:pPr>
        <w:spacing w:after="0" w:line="184" w:lineRule="exact"/>
        <w:rPr>
          <w:sz w:val="20"/>
          <w:szCs w:val="20"/>
          <w:color w:val="auto"/>
        </w:rPr>
      </w:pPr>
    </w:p>
    <w:p>
      <w:pPr>
        <w:ind w:right="160" w:firstLine="1268"/>
        <w:spacing w:after="0" w:line="225" w:lineRule="auto"/>
        <w:tabs>
          <w:tab w:leader="none" w:pos="189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Rule</w:t>
      </w:r>
      <w:r>
        <w:rPr>
          <w:rFonts w:ascii="Times New Roman" w:cs="Times New Roman" w:eastAsia="Times New Roman" w:hAnsi="Times New Roman"/>
          <w:sz w:val="21"/>
          <w:szCs w:val="21"/>
          <w:color w:val="auto"/>
        </w:rPr>
        <w:t>. The Plan Committee shall establish one or more Election Periods during which Deferral Elections must be made by each Participant or Eligible Employee or Director for a Plan Year. Except as otherwise provided in this Section 5.2, the Election Period shall end, and the Participant’s, or Eligible Employee or Director’s, Deferral Election shall become irrevocable, not later than the last day of the Plan Year immediately preceding the Plan Year to which the Deferral Election relates.</w:t>
      </w:r>
    </w:p>
    <w:p>
      <w:pPr>
        <w:spacing w:after="0" w:line="147" w:lineRule="exact"/>
        <w:rPr>
          <w:rFonts w:ascii="Times New Roman" w:cs="Times New Roman" w:eastAsia="Times New Roman" w:hAnsi="Times New Roman"/>
          <w:sz w:val="21"/>
          <w:szCs w:val="21"/>
          <w:color w:val="auto"/>
        </w:rPr>
      </w:pPr>
    </w:p>
    <w:p>
      <w:pPr>
        <w:ind w:right="60" w:firstLine="1268"/>
        <w:spacing w:after="0" w:line="220" w:lineRule="exact"/>
        <w:tabs>
          <w:tab w:leader="none" w:pos="1895"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New Participants</w:t>
      </w:r>
      <w:r>
        <w:rPr>
          <w:rFonts w:ascii="Times New Roman" w:cs="Times New Roman" w:eastAsia="Times New Roman" w:hAnsi="Times New Roman"/>
          <w:sz w:val="21"/>
          <w:szCs w:val="21"/>
          <w:color w:val="auto"/>
        </w:rPr>
        <w:t>. In the case of an Eligible Employee or Director who first becomes eligible to participate in the Plan (as determined in accordance with Treasury Regulations Section 1.409A-2(a)(7)(ii) and the “plan aggregation” rules provided in Treasury Regulations Section 1.409A</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1(c)(2)) during a Plan Year, or, for the initial Plan Year, the Plan Committee may permit a Deferral Election to be made for the Plan Year with respect to the portion of Compensation attributable to the services to be performed after the date of the election during the Plan Year, as determined by the Plan Committee,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any such case, the Election Period shall end, and the Deferral Election shall become irrevocable, not later than thirty (30) days after the Eligible Employee or Director first becomes eligible to participate in the Plan.</w:t>
      </w:r>
    </w:p>
    <w:p>
      <w:pPr>
        <w:spacing w:after="0" w:line="148" w:lineRule="exact"/>
        <w:rPr>
          <w:rFonts w:ascii="Times New Roman" w:cs="Times New Roman" w:eastAsia="Times New Roman" w:hAnsi="Times New Roman"/>
          <w:sz w:val="21"/>
          <w:szCs w:val="21"/>
          <w:color w:val="auto"/>
        </w:rPr>
      </w:pPr>
    </w:p>
    <w:p>
      <w:pPr>
        <w:ind w:firstLine="1268"/>
        <w:spacing w:after="0" w:line="220" w:lineRule="auto"/>
        <w:tabs>
          <w:tab w:leader="none" w:pos="189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Performance-Based Compensation</w:t>
      </w:r>
      <w:r>
        <w:rPr>
          <w:rFonts w:ascii="Times New Roman" w:cs="Times New Roman" w:eastAsia="Times New Roman" w:hAnsi="Times New Roman"/>
          <w:sz w:val="21"/>
          <w:szCs w:val="21"/>
          <w:color w:val="auto"/>
        </w:rPr>
        <w:t xml:space="preserve">. Notwithstanding the other provisions of this Section 5.2, in the case of any Bonus that constitutes Performance-Based Compensation for a Plan Year, the Plan Committee may permit a Participant to subsequently change the Participant’s Deferral Election or submit a new Deferral Election in accordance with this Section 5,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the Election Period for such Deferral Election or change in Deferral Election shall end, and the Deferral Election shall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become irrevocable, not later than six months before the end of the Plan Year for which the Bonus is earned and in no event later than the date on which the amount of the Bonus becomes readily ascertainable.</w:t>
      </w:r>
    </w:p>
    <w:p>
      <w:pPr>
        <w:spacing w:after="0" w:line="194" w:lineRule="exact"/>
        <w:rPr>
          <w:sz w:val="20"/>
          <w:szCs w:val="20"/>
          <w:color w:val="auto"/>
        </w:rPr>
      </w:pPr>
    </w:p>
    <w:p>
      <w:pPr>
        <w:ind w:right="400" w:firstLine="947"/>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5.1 Subsequent Elections. </w:t>
      </w:r>
      <w:r>
        <w:rPr>
          <w:rFonts w:ascii="Times New Roman" w:cs="Times New Roman" w:eastAsia="Times New Roman" w:hAnsi="Times New Roman"/>
          <w:sz w:val="21"/>
          <w:szCs w:val="21"/>
          <w:color w:val="auto"/>
        </w:rPr>
        <w:t>If permitted by and subject to and in accordance with the requirements and procedures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established by the Plan Committee, a Participant may make an election to change the form of payment of Deferrals subject to an existing Deferral Election and to postpone the payment of Deferrals to be paid on a specified Distribution Date until a later Distribution Date, in whole or in part (a "</w:t>
      </w:r>
      <w:r>
        <w:rPr>
          <w:rFonts w:ascii="Times New Roman" w:cs="Times New Roman" w:eastAsia="Times New Roman" w:hAnsi="Times New Roman"/>
          <w:sz w:val="21"/>
          <w:szCs w:val="21"/>
          <w:b w:val="1"/>
          <w:bCs w:val="1"/>
          <w:color w:val="auto"/>
        </w:rPr>
        <w:t>Subsequent Election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all of the following requirements are met:</w:t>
      </w:r>
    </w:p>
    <w:p>
      <w:pPr>
        <w:spacing w:after="0" w:line="147" w:lineRule="exact"/>
        <w:rPr>
          <w:sz w:val="20"/>
          <w:szCs w:val="20"/>
          <w:color w:val="auto"/>
        </w:rPr>
      </w:pPr>
    </w:p>
    <w:p>
      <w:pPr>
        <w:ind w:right="460" w:firstLine="1268"/>
        <w:spacing w:after="0" w:line="243" w:lineRule="auto"/>
        <w:tabs>
          <w:tab w:leader="none" w:pos="189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Subsequent Election shall not take effect until at least twelve (12) months after the date on which the Subsequent Election is made;</w:t>
      </w:r>
    </w:p>
    <w:p>
      <w:pPr>
        <w:spacing w:after="0" w:line="142" w:lineRule="exact"/>
        <w:rPr>
          <w:rFonts w:ascii="Times New Roman" w:cs="Times New Roman" w:eastAsia="Times New Roman" w:hAnsi="Times New Roman"/>
          <w:sz w:val="21"/>
          <w:szCs w:val="21"/>
          <w:color w:val="auto"/>
        </w:rPr>
      </w:pPr>
    </w:p>
    <w:p>
      <w:pPr>
        <w:ind w:right="160" w:firstLine="1268"/>
        <w:spacing w:after="0" w:line="243" w:lineRule="auto"/>
        <w:tabs>
          <w:tab w:leader="none" w:pos="1883"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payment of the Deferrals subject to the Subsequent Election shall be deferred at least five (5) years from the date the payment would otherwise have been made;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20"/>
          </w:cols>
          <w:pgMar w:left="320" w:top="1362" w:right="359" w:bottom="1440" w:gutter="0" w:footer="0" w:header="0"/>
        </w:sectPr>
      </w:pPr>
    </w:p>
    <w:bookmarkStart w:id="51" w:name="page52"/>
    <w:bookmarkEnd w:id="51"/>
    <w:p>
      <w:pPr>
        <w:ind w:right="400" w:firstLine="1268"/>
        <w:spacing w:after="0" w:line="243" w:lineRule="auto"/>
        <w:tabs>
          <w:tab w:leader="none" w:pos="1883"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Subsequent Election related to a payment on a specified Distribution Date, the Subsequent Election shall be made not less than twelve (12) months before the original Distribution Date.</w:t>
      </w:r>
    </w:p>
    <w:p>
      <w:pPr>
        <w:spacing w:after="0" w:line="19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b w:val="1"/>
          <w:bCs w:val="1"/>
          <w:color w:val="auto"/>
        </w:rPr>
        <w:t>Section 6.</w:t>
      </w:r>
      <w:r>
        <w:rPr>
          <w:sz w:val="20"/>
          <w:szCs w:val="20"/>
          <w:color w:val="auto"/>
        </w:rPr>
        <w:tab/>
      </w:r>
      <w:r>
        <w:rPr>
          <w:rFonts w:ascii="Times New Roman" w:cs="Times New Roman" w:eastAsia="Times New Roman" w:hAnsi="Times New Roman"/>
          <w:sz w:val="21"/>
          <w:szCs w:val="21"/>
          <w:b w:val="1"/>
          <w:bCs w:val="1"/>
          <w:color w:val="auto"/>
        </w:rPr>
        <w:t>Discretionary Contributions</w:t>
      </w:r>
    </w:p>
    <w:p>
      <w:pPr>
        <w:spacing w:after="0" w:line="184" w:lineRule="exact"/>
        <w:rPr>
          <w:sz w:val="20"/>
          <w:szCs w:val="20"/>
          <w:color w:val="auto"/>
        </w:rPr>
      </w:pPr>
    </w:p>
    <w:p>
      <w:pPr>
        <w:ind w:right="60" w:firstLine="1263"/>
        <w:spacing w:after="0" w:line="211" w:lineRule="auto"/>
        <w:rPr>
          <w:sz w:val="20"/>
          <w:szCs w:val="20"/>
          <w:color w:val="auto"/>
        </w:rPr>
      </w:pPr>
      <w:r>
        <w:rPr>
          <w:rFonts w:ascii="Times New Roman" w:cs="Times New Roman" w:eastAsia="Times New Roman" w:hAnsi="Times New Roman"/>
          <w:sz w:val="21"/>
          <w:szCs w:val="21"/>
          <w:color w:val="auto"/>
        </w:rPr>
        <w:t xml:space="preserve">In any Plan Year, the Company may, but shall not have any obligation to, make a Discretionary Contribution to the Plan on behalf of a Participant in such amount as the Company shall determine in its sole and absolute discretion. Any Discretionary Contribution shall be credited to the Participant’s Account on or as soon as practicable following the date the Company awards the Discretionary Contribution to the Participant or as otherwise provided by the Company pursuant to the terms of the award. Discretionary Contributions shall be credited and debited with notional investment earnings and losses in accordance with Measurement Funds designated by the Company or the Plan Committee, or if permitted by the terms of the Discretionary Contribution, selected by the Participant in accordance with the procedures established by the Plan Committee. If no Measurement Fund is selected for a Discretionary Contribution, the notional investment earnings and losses shall be determined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based on the Measurement Funds selected by the Participant for the elective Deferrals credited to the Participant’s Account. Unless otherwise determined by the Plan Committee at the time the Participant is awarded the Discretionary Contribution, distributions of any Discretionary Contributions credited to a Participant’s Account for any Plan Year shall be paid in the same time and manner as any Elective Deferrals credited to the Participant’s Account for the same Plan Year or as otherwise provided in accordance with Section</w:t>
      </w:r>
    </w:p>
    <w:p>
      <w:pPr>
        <w:spacing w:after="0" w:line="3" w:lineRule="exact"/>
        <w:rPr>
          <w:sz w:val="20"/>
          <w:szCs w:val="20"/>
          <w:color w:val="auto"/>
        </w:rPr>
      </w:pPr>
    </w:p>
    <w:p>
      <w:pPr>
        <w:ind w:right="180" w:firstLine="5"/>
        <w:spacing w:after="0" w:line="222" w:lineRule="auto"/>
        <w:tabs>
          <w:tab w:leader="none" w:pos="211"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Participants shall be vested in the portions of their Accounts attributable to Discretionary Contributions, including the notional investment earnings and losses thereon, in accordance with Section 7.4 and the vesting and other conditions established pursuant to the terms of the Discretionary Contribution award.</w:t>
      </w:r>
    </w:p>
    <w:p>
      <w:pPr>
        <w:spacing w:after="0" w:line="14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b w:val="1"/>
          <w:bCs w:val="1"/>
          <w:color w:val="auto"/>
        </w:rPr>
        <w:t>Section 7.</w:t>
      </w:r>
      <w:r>
        <w:rPr>
          <w:sz w:val="20"/>
          <w:szCs w:val="20"/>
          <w:color w:val="auto"/>
        </w:rPr>
        <w:tab/>
      </w:r>
      <w:r>
        <w:rPr>
          <w:rFonts w:ascii="Times New Roman" w:cs="Times New Roman" w:eastAsia="Times New Roman" w:hAnsi="Times New Roman"/>
          <w:sz w:val="21"/>
          <w:szCs w:val="21"/>
          <w:b w:val="1"/>
          <w:bCs w:val="1"/>
          <w:color w:val="auto"/>
        </w:rPr>
        <w:t>Participant Accounts</w:t>
      </w:r>
    </w:p>
    <w:p>
      <w:pPr>
        <w:spacing w:after="0" w:line="180" w:lineRule="exact"/>
        <w:rPr>
          <w:sz w:val="20"/>
          <w:szCs w:val="20"/>
          <w:color w:val="auto"/>
        </w:rPr>
      </w:pPr>
    </w:p>
    <w:p>
      <w:pPr>
        <w:ind w:right="280" w:firstLine="947"/>
        <w:spacing w:after="0" w:line="220" w:lineRule="auto"/>
        <w:rPr>
          <w:sz w:val="20"/>
          <w:szCs w:val="20"/>
          <w:color w:val="auto"/>
        </w:rPr>
      </w:pPr>
      <w:r>
        <w:rPr>
          <w:rFonts w:ascii="Times New Roman" w:cs="Times New Roman" w:eastAsia="Times New Roman" w:hAnsi="Times New Roman"/>
          <w:sz w:val="21"/>
          <w:szCs w:val="21"/>
          <w:b w:val="1"/>
          <w:bCs w:val="1"/>
          <w:color w:val="auto"/>
        </w:rPr>
        <w:t xml:space="preserve">7.1 Participant Accounts. </w:t>
      </w:r>
      <w:r>
        <w:rPr>
          <w:rFonts w:ascii="Times New Roman" w:cs="Times New Roman" w:eastAsia="Times New Roman" w:hAnsi="Times New Roman"/>
          <w:sz w:val="21"/>
          <w:szCs w:val="21"/>
          <w:color w:val="auto"/>
        </w:rPr>
        <w:t>The Company shall establish and maintain an Account for each Participant reflecting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Deferrals and Discretionary Contributions credited for the benefit of the Participant, together with the credits and debits reflecting notional investment earnings and losses and payments from such Account. The Company may establish subaccounts within each Participant’s Account for different Plan Years, multiple Distribution Dates or payments elections or as the Plan Committee may deem necessary or desirable for proper administration of the Plan. Accounts (including any subaccounts) shall be maintained for bookkeeping purposes only and shall not hold any assets or funds.</w:t>
      </w:r>
    </w:p>
    <w:p>
      <w:pPr>
        <w:spacing w:after="0" w:line="146" w:lineRule="exact"/>
        <w:rPr>
          <w:sz w:val="20"/>
          <w:szCs w:val="20"/>
          <w:color w:val="auto"/>
        </w:rPr>
      </w:pPr>
    </w:p>
    <w:p>
      <w:pPr>
        <w:ind w:firstLine="947"/>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7.2 Notional Investment. </w:t>
      </w:r>
      <w:r>
        <w:rPr>
          <w:rFonts w:ascii="Times New Roman" w:cs="Times New Roman" w:eastAsia="Times New Roman" w:hAnsi="Times New Roman"/>
          <w:sz w:val="21"/>
          <w:szCs w:val="21"/>
          <w:color w:val="auto"/>
        </w:rPr>
        <w:t>The Plan Committee shall designate the Measurement Funds to be made available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Participants for the deemed investment of and the basis for crediting the equivalent of earnings and losses to their Accounts under the Plan. The Plan Committee may change, discontinue, or add to the Measurement Funds made available under the Plan at any time, from time to time and in its sole discretion and establish procedures for the transition between Measurement Funds. A Participant may select the Measurement Funds for their Account in the Participant’s initial Deferral Election or upon becoming a Participant in the Plan and/or may make changes to their selections at such times and in accordance with the procedures and subject to such restrictions and limitations as may be established by the Plan Committee from time to time. In the event that a Participant does not make a valid Measurement Fund selection, or the Participant’s prior selection is no longer valid, the default Measurement Fund established by the Plan Committee shall apply. The Company shall have no obligation to make or to hold actual investments corresponding to the Measurement Funds for Participants’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62" w:right="339" w:bottom="1440" w:gutter="0" w:footer="0" w:header="0"/>
        </w:sectPr>
      </w:pPr>
    </w:p>
    <w:bookmarkStart w:id="52" w:name="page53"/>
    <w:bookmarkEnd w:id="52"/>
    <w:p>
      <w:pPr>
        <w:ind w:firstLine="947"/>
        <w:spacing w:after="0" w:line="214" w:lineRule="auto"/>
        <w:rPr>
          <w:sz w:val="20"/>
          <w:szCs w:val="20"/>
          <w:color w:val="auto"/>
        </w:rPr>
      </w:pPr>
      <w:r>
        <w:rPr>
          <w:rFonts w:ascii="Times New Roman" w:cs="Times New Roman" w:eastAsia="Times New Roman" w:hAnsi="Times New Roman"/>
          <w:sz w:val="21"/>
          <w:szCs w:val="21"/>
          <w:b w:val="1"/>
          <w:bCs w:val="1"/>
          <w:color w:val="auto"/>
        </w:rPr>
        <w:t xml:space="preserve">7.3 Earnings and Losses. </w:t>
      </w:r>
      <w:r>
        <w:rPr>
          <w:rFonts w:ascii="Times New Roman" w:cs="Times New Roman" w:eastAsia="Times New Roman" w:hAnsi="Times New Roman"/>
          <w:sz w:val="21"/>
          <w:szCs w:val="21"/>
          <w:color w:val="auto"/>
        </w:rPr>
        <w:t>Each Account shall be credited or debited for notional earnings or losses based on the net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investment return of the Measurement Funds selected. Earnings and losses shall be computed on each Valuation Date in accordance with the processes and procedures determined by the Plan Committee and, for purposes of any payment from a Participant’s Account, the Account shall be valued and the amount paid shall be determined in accordance with the rules established by the Plan Committee as of a Valuation Date coinciding with or next preceding the date on which the payment is made. Amounts credited to Accounts as elective Deferrals and Discretionary Contributions shall be credited to the applicable Measurement Funds as of the dates determined in accordance with the procedures established by the Plan Committee. The notional value corresponding to a Measurement Fund at any Valuation Date shall be based on the fair market value of a corresponding interest in the Measurement Fund, as determined by the Plan Committee in its sole discretion. All dividends, interest, gains, and distributions of any nature that would be earned on a notional Measurement Fund investment shall be credited to the Account as though reinvested in additional shares of or other units of the applicable Measurement Fund and expenses that would be attributable to such investments shall be charged to the Account.</w:t>
      </w:r>
    </w:p>
    <w:p>
      <w:pPr>
        <w:spacing w:after="0" w:line="153" w:lineRule="exact"/>
        <w:rPr>
          <w:sz w:val="20"/>
          <w:szCs w:val="20"/>
          <w:color w:val="auto"/>
        </w:rPr>
      </w:pPr>
    </w:p>
    <w:p>
      <w:pPr>
        <w:ind w:right="20" w:firstLine="947"/>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7.4 Vesting. </w:t>
      </w:r>
      <w:r>
        <w:rPr>
          <w:rFonts w:ascii="Times New Roman" w:cs="Times New Roman" w:eastAsia="Times New Roman" w:hAnsi="Times New Roman"/>
          <w:sz w:val="21"/>
          <w:szCs w:val="21"/>
          <w:color w:val="auto"/>
        </w:rPr>
        <w:t>Participants shall be at all times one hundred percent (100%) vested in the portion of their Account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attributable to their elective Deferrals, including amounts credited or debited on such amounts in accordance with Section 7.3, and shall be vested in the portion of their Accounts attributable to Discretionary Contributions, including credits or debits on such amounts, in accordance with the schedule and other conditions established by the Company pursuant to the terms of the Discretionary Contribution award,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to the extent then unvested, a Participant’s Account shall fully vest upon the occurrence of the Participant’s death or Disability or the occurrence of the Participant’s Separation from Service within twelve (12) months following the effective date of a Change in Control for reasons other than Cause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any portion of a Participant’s Account attributable to Discretionary Contributions shall be forfeited by the Participant upon the occurrence of an event constituting Cause.</w:t>
      </w:r>
    </w:p>
    <w:p>
      <w:pPr>
        <w:spacing w:after="0" w:line="14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b w:val="1"/>
          <w:bCs w:val="1"/>
          <w:color w:val="auto"/>
        </w:rPr>
        <w:t>Section 8.</w:t>
      </w:r>
      <w:r>
        <w:rPr>
          <w:sz w:val="20"/>
          <w:szCs w:val="20"/>
          <w:color w:val="auto"/>
        </w:rPr>
        <w:tab/>
      </w:r>
      <w:r>
        <w:rPr>
          <w:rFonts w:ascii="Times New Roman" w:cs="Times New Roman" w:eastAsia="Times New Roman" w:hAnsi="Times New Roman"/>
          <w:sz w:val="21"/>
          <w:szCs w:val="21"/>
          <w:b w:val="1"/>
          <w:bCs w:val="1"/>
          <w:color w:val="auto"/>
        </w:rPr>
        <w:t>Distributions</w:t>
      </w:r>
    </w:p>
    <w:p>
      <w:pPr>
        <w:spacing w:after="0" w:line="180" w:lineRule="exact"/>
        <w:rPr>
          <w:sz w:val="20"/>
          <w:szCs w:val="20"/>
          <w:color w:val="auto"/>
        </w:rPr>
      </w:pPr>
    </w:p>
    <w:p>
      <w:pPr>
        <w:ind w:right="260" w:firstLine="947"/>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8.1 Payment Event. </w:t>
      </w:r>
      <w:r>
        <w:rPr>
          <w:rFonts w:ascii="Times New Roman" w:cs="Times New Roman" w:eastAsia="Times New Roman" w:hAnsi="Times New Roman"/>
          <w:sz w:val="21"/>
          <w:szCs w:val="21"/>
          <w:color w:val="auto"/>
        </w:rPr>
        <w:t>In general, distribution of a Participant’s Account, or the portion of the Account specified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applicable Deferral Election or the terms of a Discretionary Contribution shall be made or shall commence (if the distribution is in installments) on the earliest to occur of the following dates or events (the “</w:t>
      </w:r>
      <w:r>
        <w:rPr>
          <w:rFonts w:ascii="Times New Roman" w:cs="Times New Roman" w:eastAsia="Times New Roman" w:hAnsi="Times New Roman"/>
          <w:sz w:val="21"/>
          <w:szCs w:val="21"/>
          <w:b w:val="1"/>
          <w:bCs w:val="1"/>
          <w:color w:val="auto"/>
        </w:rPr>
        <w:t>Payment Event</w:t>
      </w:r>
      <w:r>
        <w:rPr>
          <w:rFonts w:ascii="Times New Roman" w:cs="Times New Roman" w:eastAsia="Times New Roman" w:hAnsi="Times New Roman"/>
          <w:sz w:val="21"/>
          <w:szCs w:val="21"/>
          <w:color w:val="auto"/>
        </w:rPr>
        <w:t>”):</w:t>
      </w:r>
    </w:p>
    <w:p>
      <w:pPr>
        <w:spacing w:after="0" w:line="139" w:lineRule="exact"/>
        <w:rPr>
          <w:sz w:val="20"/>
          <w:szCs w:val="20"/>
          <w:color w:val="auto"/>
        </w:rPr>
      </w:pPr>
    </w:p>
    <w:p>
      <w:pPr>
        <w:ind w:left="1900" w:hanging="632"/>
        <w:spacing w:after="0"/>
        <w:tabs>
          <w:tab w:leader="none" w:pos="190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elected by the Participant in accordance with Section 5.1, the Distribution Date specified in the applicable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Deferral Election;</w:t>
      </w:r>
    </w:p>
    <w:p>
      <w:pPr>
        <w:spacing w:after="0" w:line="155"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Separation from Service;</w:t>
      </w:r>
    </w:p>
    <w:p>
      <w:pPr>
        <w:spacing w:after="0" w:line="179"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death;</w:t>
      </w:r>
    </w:p>
    <w:p>
      <w:pPr>
        <w:spacing w:after="0" w:line="179" w:lineRule="exact"/>
        <w:rPr>
          <w:rFonts w:ascii="Times New Roman" w:cs="Times New Roman" w:eastAsia="Times New Roman" w:hAnsi="Times New Roman"/>
          <w:sz w:val="21"/>
          <w:szCs w:val="21"/>
          <w:color w:val="auto"/>
        </w:rPr>
      </w:pPr>
    </w:p>
    <w:p>
      <w:pPr>
        <w:ind w:left="1900" w:hanging="632"/>
        <w:spacing w:after="0"/>
        <w:tabs>
          <w:tab w:leader="none" w:pos="190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Participant’s Disability; and</w:t>
      </w:r>
    </w:p>
    <w:p>
      <w:pPr>
        <w:spacing w:after="0" w:line="179" w:lineRule="exact"/>
        <w:rPr>
          <w:rFonts w:ascii="Times New Roman" w:cs="Times New Roman" w:eastAsia="Times New Roman" w:hAnsi="Times New Roman"/>
          <w:sz w:val="21"/>
          <w:szCs w:val="21"/>
          <w:color w:val="auto"/>
        </w:rPr>
      </w:pPr>
    </w:p>
    <w:p>
      <w:pPr>
        <w:ind w:right="320" w:firstLine="1268"/>
        <w:spacing w:after="0" w:line="243" w:lineRule="auto"/>
        <w:tabs>
          <w:tab w:leader="none" w:pos="189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elected by the Participant in the Participant’s initial Deferral Election in accordance with Section 5.1, the occurrence of a Change in Control.</w:t>
      </w:r>
    </w:p>
    <w:p>
      <w:pPr>
        <w:spacing w:after="0" w:line="143" w:lineRule="exact"/>
        <w:rPr>
          <w:sz w:val="20"/>
          <w:szCs w:val="20"/>
          <w:color w:val="auto"/>
        </w:rPr>
      </w:pPr>
    </w:p>
    <w:p>
      <w:pPr>
        <w:ind w:right="100"/>
        <w:spacing w:after="0" w:line="225" w:lineRule="auto"/>
        <w:rPr>
          <w:sz w:val="20"/>
          <w:szCs w:val="20"/>
          <w:color w:val="auto"/>
        </w:rPr>
      </w:pPr>
      <w:r>
        <w:rPr>
          <w:rFonts w:ascii="Times New Roman" w:cs="Times New Roman" w:eastAsia="Times New Roman" w:hAnsi="Times New Roman"/>
          <w:sz w:val="21"/>
          <w:szCs w:val="21"/>
          <w:color w:val="auto"/>
        </w:rPr>
        <w:t>Subject to the other provisions of this Section 8, distribution of the portion of the Participant’s Account payable on a Payment Event shall be made or shall commence within ninety (90) days following occurrence of the Payment Event. If the distribution is in installments, the amount of each installment shall be determined (at commencement and annually thereafter) by dividing the portion of the Participant’s Account subject to such installment distribution by the total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58" w:right="339" w:bottom="1440" w:gutter="0" w:footer="0" w:header="0"/>
        </w:sectPr>
      </w:pPr>
    </w:p>
    <w:bookmarkStart w:id="53" w:name="page54"/>
    <w:bookmarkEnd w:id="53"/>
    <w:p>
      <w:pPr>
        <w:ind w:right="80"/>
        <w:spacing w:after="0" w:line="222" w:lineRule="auto"/>
        <w:rPr>
          <w:sz w:val="20"/>
          <w:szCs w:val="20"/>
          <w:color w:val="auto"/>
        </w:rPr>
      </w:pPr>
      <w:r>
        <w:rPr>
          <w:rFonts w:ascii="Times New Roman" w:cs="Times New Roman" w:eastAsia="Times New Roman" w:hAnsi="Times New Roman"/>
          <w:sz w:val="21"/>
          <w:szCs w:val="21"/>
          <w:color w:val="auto"/>
        </w:rPr>
        <w:t xml:space="preserve">of installments (including the installment subject to the determination) remaining to be paid. Annual installment payments subsequent to the initial installment shall be made on or following January 1, but not later than the end of, each succeeding Plan Year,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Participant may elect to receive such installment payments on a quarterly or monthly basis, if permitted by and subject to and in accordance with the requirements and procedures established by the Plan Committee and otherwise subject to the requirements of Section 409A of the Code.</w:t>
      </w:r>
    </w:p>
    <w:p>
      <w:pPr>
        <w:spacing w:after="0" w:line="142" w:lineRule="exact"/>
        <w:rPr>
          <w:sz w:val="20"/>
          <w:szCs w:val="20"/>
          <w:color w:val="auto"/>
        </w:rPr>
      </w:pPr>
    </w:p>
    <w:p>
      <w:pPr>
        <w:ind w:right="20" w:firstLine="947"/>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8.2 Specified Employees. </w:t>
      </w:r>
      <w:r>
        <w:rPr>
          <w:rFonts w:ascii="Times New Roman" w:cs="Times New Roman" w:eastAsia="Times New Roman" w:hAnsi="Times New Roman"/>
          <w:sz w:val="21"/>
          <w:szCs w:val="21"/>
          <w:color w:val="auto"/>
        </w:rPr>
        <w:t>Notwithstanding anything in the Plan to the contrary, if a Participant is a Specified Employee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of the date of the Participant’s Separation from Service, then no distribution from such Participant’s Account upon the Participant’s Separation from Service shall be made (or shall commence) until the first payroll date of the seventh month following the Participant’s Separation from Service or, if earlier, upon the date of the Participant’s death (the “</w:t>
      </w:r>
      <w:r>
        <w:rPr>
          <w:rFonts w:ascii="Times New Roman" w:cs="Times New Roman" w:eastAsia="Times New Roman" w:hAnsi="Times New Roman"/>
          <w:sz w:val="21"/>
          <w:szCs w:val="21"/>
          <w:b w:val="1"/>
          <w:bCs w:val="1"/>
          <w:color w:val="auto"/>
        </w:rPr>
        <w:t>Specified Employee Payment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Any payments to which a Specified Employee otherwise would have been entitled under the Plan upon (or commencing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upon) the Participant’s Separation from Service during the period between the Participant’s Separation from Service and the Specified Employee Payment Date shall be accumulated and paid in a lump-sum payment on the Specified Employee Payment Date.</w:t>
      </w:r>
    </w:p>
    <w:p>
      <w:pPr>
        <w:spacing w:after="0" w:line="142" w:lineRule="exact"/>
        <w:rPr>
          <w:sz w:val="20"/>
          <w:szCs w:val="20"/>
          <w:color w:val="auto"/>
        </w:rPr>
      </w:pPr>
    </w:p>
    <w:p>
      <w:pPr>
        <w:ind w:right="260" w:firstLine="947"/>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8.3 Other Distributions. </w:t>
      </w:r>
      <w:r>
        <w:rPr>
          <w:rFonts w:ascii="Times New Roman" w:cs="Times New Roman" w:eastAsia="Times New Roman" w:hAnsi="Times New Roman"/>
          <w:sz w:val="21"/>
          <w:szCs w:val="21"/>
          <w:color w:val="auto"/>
        </w:rPr>
        <w:t>Notwithstanding the provisions of Sections 8.1 and 8.2, the Plan Committee may provide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distributions of Participants’ Accounts as set forth below:</w:t>
      </w:r>
    </w:p>
    <w:p>
      <w:pPr>
        <w:spacing w:after="0" w:line="139" w:lineRule="exact"/>
        <w:rPr>
          <w:sz w:val="20"/>
          <w:szCs w:val="20"/>
          <w:color w:val="auto"/>
        </w:rPr>
      </w:pPr>
    </w:p>
    <w:p>
      <w:pPr>
        <w:ind w:right="160" w:firstLine="1268"/>
        <w:spacing w:after="0" w:line="225" w:lineRule="auto"/>
        <w:tabs>
          <w:tab w:leader="none" w:pos="1895"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Unforeseeable Emergency</w:t>
      </w:r>
      <w:r>
        <w:rPr>
          <w:rFonts w:ascii="Times New Roman" w:cs="Times New Roman" w:eastAsia="Times New Roman" w:hAnsi="Times New Roman"/>
          <w:sz w:val="21"/>
          <w:szCs w:val="21"/>
          <w:color w:val="auto"/>
        </w:rPr>
        <w:t>. The Plan Committee may authorize the distribution of all or a portion of a Participant’s Account upon the occurrence of an Unforeseeable Emergency, in accordance with and subject to the requirements and procedures established by the Plan Committee and otherwise subject to the requirements of Treasury Regulations Section 1.409A-3(i)(3).</w:t>
      </w:r>
    </w:p>
    <w:p>
      <w:pPr>
        <w:spacing w:after="0" w:line="147" w:lineRule="exact"/>
        <w:rPr>
          <w:rFonts w:ascii="Times New Roman" w:cs="Times New Roman" w:eastAsia="Times New Roman" w:hAnsi="Times New Roman"/>
          <w:sz w:val="21"/>
          <w:szCs w:val="21"/>
          <w:color w:val="auto"/>
        </w:rPr>
      </w:pPr>
    </w:p>
    <w:p>
      <w:pPr>
        <w:ind w:firstLine="1268"/>
        <w:spacing w:after="0" w:line="243" w:lineRule="auto"/>
        <w:tabs>
          <w:tab w:leader="none" w:pos="189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Domestic Relations Order</w:t>
      </w:r>
      <w:r>
        <w:rPr>
          <w:rFonts w:ascii="Times New Roman" w:cs="Times New Roman" w:eastAsia="Times New Roman" w:hAnsi="Times New Roman"/>
          <w:sz w:val="21"/>
          <w:szCs w:val="21"/>
          <w:color w:val="auto"/>
        </w:rPr>
        <w:t>. The Plan Committee may provide for a distribution from a Participant’s Account to the extent necessary to comply with a domestic relations order (as defined in Section 414(p)(1)(B) of the Code).</w:t>
      </w:r>
    </w:p>
    <w:p>
      <w:pPr>
        <w:spacing w:after="0" w:line="142" w:lineRule="exact"/>
        <w:rPr>
          <w:rFonts w:ascii="Times New Roman" w:cs="Times New Roman" w:eastAsia="Times New Roman" w:hAnsi="Times New Roman"/>
          <w:sz w:val="21"/>
          <w:szCs w:val="21"/>
          <w:color w:val="auto"/>
        </w:rPr>
      </w:pPr>
    </w:p>
    <w:p>
      <w:pPr>
        <w:ind w:right="200" w:firstLine="1268"/>
        <w:spacing w:after="0" w:line="243" w:lineRule="auto"/>
        <w:tabs>
          <w:tab w:leader="none" w:pos="189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Plan Termination</w:t>
      </w:r>
      <w:r>
        <w:rPr>
          <w:rFonts w:ascii="Times New Roman" w:cs="Times New Roman" w:eastAsia="Times New Roman" w:hAnsi="Times New Roman"/>
          <w:sz w:val="21"/>
          <w:szCs w:val="21"/>
          <w:color w:val="auto"/>
        </w:rPr>
        <w:t>. The Plan Committee may accelerate payment of a Participant’s Account upon termination of the Plan in accordance with and subject to the provisions of Treasury Regulations Section 1.409A-3(j)(4)(ix).</w:t>
      </w:r>
    </w:p>
    <w:p>
      <w:pPr>
        <w:spacing w:after="0" w:line="142" w:lineRule="exact"/>
        <w:rPr>
          <w:rFonts w:ascii="Times New Roman" w:cs="Times New Roman" w:eastAsia="Times New Roman" w:hAnsi="Times New Roman"/>
          <w:sz w:val="21"/>
          <w:szCs w:val="21"/>
          <w:color w:val="auto"/>
        </w:rPr>
      </w:pPr>
    </w:p>
    <w:p>
      <w:pPr>
        <w:ind w:right="260" w:firstLine="1268"/>
        <w:spacing w:after="0" w:line="230" w:lineRule="auto"/>
        <w:tabs>
          <w:tab w:leader="none" w:pos="1883"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Limited Cash Out</w:t>
      </w:r>
      <w:r>
        <w:rPr>
          <w:rFonts w:ascii="Times New Roman" w:cs="Times New Roman" w:eastAsia="Times New Roman" w:hAnsi="Times New Roman"/>
          <w:sz w:val="21"/>
          <w:szCs w:val="21"/>
          <w:color w:val="auto"/>
        </w:rPr>
        <w:t>. If the balance of a Participant’s Account is less than or equal to the applicable dollar amount under Section 402(g)(1)(B) of the Code, the Plan Committee may accelerate payment of a Participant’s Account in single, lump sum, in accordance with and subject to the provisions of Treasury Regulations Section 1.409A-3(j)(4)(v).</w:t>
      </w:r>
    </w:p>
    <w:p>
      <w:pPr>
        <w:spacing w:after="0" w:line="147" w:lineRule="exact"/>
        <w:rPr>
          <w:rFonts w:ascii="Times New Roman" w:cs="Times New Roman" w:eastAsia="Times New Roman" w:hAnsi="Times New Roman"/>
          <w:sz w:val="21"/>
          <w:szCs w:val="21"/>
          <w:color w:val="auto"/>
        </w:rPr>
      </w:pPr>
    </w:p>
    <w:p>
      <w:pPr>
        <w:ind w:right="140" w:firstLine="1268"/>
        <w:spacing w:after="0" w:line="225" w:lineRule="auto"/>
        <w:tabs>
          <w:tab w:leader="none" w:pos="1883"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Acceleration for Taxes</w:t>
      </w:r>
      <w:r>
        <w:rPr>
          <w:rFonts w:ascii="Times New Roman" w:cs="Times New Roman" w:eastAsia="Times New Roman" w:hAnsi="Times New Roman"/>
          <w:sz w:val="21"/>
          <w:szCs w:val="21"/>
          <w:color w:val="auto"/>
        </w:rPr>
        <w:t>. The Plan Committee may accelerate payment of all or a portion of a Participant’s Account for the payment of Federal Insurance Contributions Act (FICA) tax, as a result of income inclusion under Section 409A of the Code, or to reflect state, local and foreign tax obligations in accordance with and subject to the provisions of Treasury Regulations Sections 1.409A-3(j)(4)(vi), (vii) and (xi).</w:t>
      </w:r>
    </w:p>
    <w:p>
      <w:pPr>
        <w:spacing w:after="0" w:line="147" w:lineRule="exact"/>
        <w:rPr>
          <w:rFonts w:ascii="Times New Roman" w:cs="Times New Roman" w:eastAsia="Times New Roman" w:hAnsi="Times New Roman"/>
          <w:sz w:val="21"/>
          <w:szCs w:val="21"/>
          <w:color w:val="auto"/>
        </w:rPr>
      </w:pPr>
    </w:p>
    <w:p>
      <w:pPr>
        <w:ind w:right="380" w:firstLine="1268"/>
        <w:spacing w:after="0" w:line="230" w:lineRule="auto"/>
        <w:tabs>
          <w:tab w:leader="none" w:pos="189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Accelerations</w:t>
      </w:r>
      <w:r>
        <w:rPr>
          <w:rFonts w:ascii="Times New Roman" w:cs="Times New Roman" w:eastAsia="Times New Roman" w:hAnsi="Times New Roman"/>
          <w:sz w:val="21"/>
          <w:szCs w:val="21"/>
          <w:color w:val="auto"/>
        </w:rPr>
        <w:t>. The Plan Committee may accelerate the payment of all or a portion of a Participant’s Account in accordance with and subject to the other provisions of Treasury Regulations Section 1.409A-3(j)(4) or as otherwise permitted without violating the prohibition on the acceleration of payments or other requirements of Section 409A of the Code.</w:t>
      </w:r>
    </w:p>
    <w:p>
      <w:pPr>
        <w:spacing w:after="0" w:line="144" w:lineRule="exact"/>
        <w:rPr>
          <w:sz w:val="20"/>
          <w:szCs w:val="20"/>
          <w:color w:val="auto"/>
        </w:rPr>
      </w:pPr>
    </w:p>
    <w:p>
      <w:pPr>
        <w:jc w:val="both"/>
        <w:ind w:right="180" w:firstLine="947"/>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8.1 Payment Delays. </w:t>
      </w:r>
      <w:r>
        <w:rPr>
          <w:rFonts w:ascii="Times New Roman" w:cs="Times New Roman" w:eastAsia="Times New Roman" w:hAnsi="Times New Roman"/>
          <w:sz w:val="21"/>
          <w:szCs w:val="21"/>
          <w:color w:val="auto"/>
        </w:rPr>
        <w:t>The Plan Committee may delay any payment under the Plan to a date later than the date on which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payment would otherwise be required under the Plan, subject to the applicable conditions set forth in Treasury Regulations Section 1.409A-2(b)(7)(i)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20"/>
          </w:cols>
          <w:pgMar w:left="320" w:top="1362" w:right="359" w:bottom="1440" w:gutter="0" w:footer="0" w:header="0"/>
        </w:sectPr>
      </w:pPr>
    </w:p>
    <w:bookmarkStart w:id="54" w:name="page55"/>
    <w:bookmarkEnd w:id="54"/>
    <w:p>
      <w:pPr>
        <w:jc w:val="both"/>
        <w:ind w:right="80"/>
        <w:spacing w:after="0" w:line="215" w:lineRule="auto"/>
        <w:rPr>
          <w:sz w:val="20"/>
          <w:szCs w:val="20"/>
          <w:color w:val="auto"/>
        </w:rPr>
      </w:pPr>
      <w:r>
        <w:rPr>
          <w:rFonts w:ascii="Times New Roman" w:cs="Times New Roman" w:eastAsia="Times New Roman" w:hAnsi="Times New Roman"/>
          <w:sz w:val="21"/>
          <w:szCs w:val="21"/>
          <w:color w:val="auto"/>
        </w:rPr>
        <w:t>in the event that the Plan Committee reasonably anticipates that, if the payment were made when otherwise required under the Plan, the deduction with respect to such payment would not be permitted due to the application of Section 162(m) of the Code, or that the making of the payment would violate Federal securities laws or other applicable law. Furthermore, the Plan Committee may provide for a delay upon the occurrence of a Change in Control, subject to the requirements of Treasury Regulations Section 1.409A-3(i)(5)</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1"/>
          <w:szCs w:val="21"/>
          <w:color w:val="auto"/>
        </w:rPr>
        <w:t>(iv), or upon such other events and conditions as may be prescribed in accordance with Treasury Regulations Section 1.409A-2(b)(7) (iii), or as may be otherwise permitted without violating the requirements of Section 409A of the Code.</w:t>
      </w:r>
    </w:p>
    <w:p>
      <w:pPr>
        <w:spacing w:after="0" w:line="14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b w:val="1"/>
          <w:bCs w:val="1"/>
          <w:color w:val="auto"/>
        </w:rPr>
        <w:t>Section 9.</w:t>
      </w:r>
      <w:r>
        <w:rPr>
          <w:sz w:val="20"/>
          <w:szCs w:val="20"/>
          <w:color w:val="auto"/>
        </w:rPr>
        <w:tab/>
      </w:r>
      <w:r>
        <w:rPr>
          <w:rFonts w:ascii="Times New Roman" w:cs="Times New Roman" w:eastAsia="Times New Roman" w:hAnsi="Times New Roman"/>
          <w:sz w:val="20"/>
          <w:szCs w:val="20"/>
          <w:b w:val="1"/>
          <w:bCs w:val="1"/>
          <w:color w:val="auto"/>
        </w:rPr>
        <w:t>Trust</w:t>
      </w:r>
    </w:p>
    <w:p>
      <w:pPr>
        <w:spacing w:after="0" w:line="184" w:lineRule="exact"/>
        <w:rPr>
          <w:sz w:val="20"/>
          <w:szCs w:val="20"/>
          <w:color w:val="auto"/>
        </w:rPr>
      </w:pPr>
    </w:p>
    <w:p>
      <w:pPr>
        <w:jc w:val="both"/>
        <w:ind w:right="20" w:firstLine="1263"/>
        <w:spacing w:after="0" w:line="225" w:lineRule="auto"/>
        <w:rPr>
          <w:sz w:val="20"/>
          <w:szCs w:val="20"/>
          <w:color w:val="auto"/>
        </w:rPr>
      </w:pPr>
      <w:r>
        <w:rPr>
          <w:rFonts w:ascii="Times New Roman" w:cs="Times New Roman" w:eastAsia="Times New Roman" w:hAnsi="Times New Roman"/>
          <w:sz w:val="21"/>
          <w:szCs w:val="21"/>
          <w:color w:val="auto"/>
        </w:rPr>
        <w:t>The Company shall establish a grantor trust to assist in carrying out its obligations under the Plan, the assets of which shall at all times remain subject to the claims of the general creditors of the Company and any Participating Employer in the event of the Company or Participating Employer’s insolvency, until payment to the Participants and their Beneficiaries of the entire balances of their Accounts as specified in the Plan.</w:t>
      </w:r>
    </w:p>
    <w:p>
      <w:pPr>
        <w:spacing w:after="0" w:line="14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b w:val="1"/>
          <w:bCs w:val="1"/>
          <w:color w:val="auto"/>
        </w:rPr>
        <w:t>Section 10.</w:t>
      </w:r>
      <w:r>
        <w:rPr>
          <w:sz w:val="20"/>
          <w:szCs w:val="20"/>
          <w:color w:val="auto"/>
        </w:rPr>
        <w:tab/>
      </w:r>
      <w:r>
        <w:rPr>
          <w:rFonts w:ascii="Times New Roman" w:cs="Times New Roman" w:eastAsia="Times New Roman" w:hAnsi="Times New Roman"/>
          <w:sz w:val="20"/>
          <w:szCs w:val="20"/>
          <w:b w:val="1"/>
          <w:bCs w:val="1"/>
          <w:color w:val="auto"/>
        </w:rPr>
        <w:t>Amendment and Termination</w:t>
      </w:r>
    </w:p>
    <w:p>
      <w:pPr>
        <w:spacing w:after="0" w:line="184" w:lineRule="exact"/>
        <w:rPr>
          <w:sz w:val="20"/>
          <w:szCs w:val="20"/>
          <w:color w:val="auto"/>
        </w:rPr>
      </w:pPr>
    </w:p>
    <w:p>
      <w:pPr>
        <w:ind w:right="40" w:firstLine="1263"/>
        <w:spacing w:after="0" w:line="217" w:lineRule="auto"/>
        <w:rPr>
          <w:sz w:val="20"/>
          <w:szCs w:val="20"/>
          <w:color w:val="auto"/>
        </w:rPr>
      </w:pPr>
      <w:r>
        <w:rPr>
          <w:rFonts w:ascii="Times New Roman" w:cs="Times New Roman" w:eastAsia="Times New Roman" w:hAnsi="Times New Roman"/>
          <w:sz w:val="21"/>
          <w:szCs w:val="21"/>
          <w:color w:val="auto"/>
        </w:rPr>
        <w:t xml:space="preserve">The Board may, at any time, and in its discretion, alter, amend, modify, suspend or terminate the Plan or any portion thereof, and with respect to all or a designated group of Participants;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no such amendment, modification, suspension or termination shall, without the consent of a Participant, reduce amounts credited to or accrued in the Participant’s Account. In the event of a termination of the Plan, no new Deferral Elections or Discretionary Contributions shall be permitted by or for Participants affected by the termination,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Accounts of such Participants shall continue to be credited with elective deferrals attributable to a Deferral Election that was in effect prior to the Plan termination, to the extent necessary to comply with Section 409A of the Code, shall continue to be credited or debited with notional earnings and losses in accordance with Section 7 and shall be distributed to the Participant or the Participant’s Beneficiary in accordance with Section 8.</w:t>
      </w:r>
    </w:p>
    <w:p>
      <w:pPr>
        <w:spacing w:after="0" w:line="14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1"/>
          <w:szCs w:val="21"/>
          <w:b w:val="1"/>
          <w:bCs w:val="1"/>
          <w:color w:val="auto"/>
        </w:rPr>
        <w:t>Section 11.</w:t>
        <w:tab/>
        <w:t>Miscellaneous</w:t>
      </w:r>
    </w:p>
    <w:p>
      <w:pPr>
        <w:spacing w:after="0" w:line="180" w:lineRule="exact"/>
        <w:rPr>
          <w:sz w:val="20"/>
          <w:szCs w:val="20"/>
          <w:color w:val="auto"/>
        </w:rPr>
      </w:pPr>
    </w:p>
    <w:p>
      <w:pPr>
        <w:ind w:right="20" w:firstLine="947"/>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11.1 Tax Withholding. </w:t>
      </w:r>
      <w:r>
        <w:rPr>
          <w:rFonts w:ascii="Times New Roman" w:cs="Times New Roman" w:eastAsia="Times New Roman" w:hAnsi="Times New Roman"/>
          <w:sz w:val="21"/>
          <w:szCs w:val="21"/>
          <w:color w:val="auto"/>
        </w:rPr>
        <w:t>The Company shall have the right to deduct from any amounts otherwise payable under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any federal, state, local, or other applicable taxes required to be withheld.</w:t>
      </w:r>
    </w:p>
    <w:p>
      <w:pPr>
        <w:spacing w:after="0" w:line="135" w:lineRule="exact"/>
        <w:rPr>
          <w:sz w:val="20"/>
          <w:szCs w:val="20"/>
          <w:color w:val="auto"/>
        </w:rPr>
      </w:pPr>
    </w:p>
    <w:p>
      <w:pPr>
        <w:ind w:right="160" w:firstLine="947"/>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11.2 Beneficiary Designation. </w:t>
      </w:r>
      <w:r>
        <w:rPr>
          <w:rFonts w:ascii="Times New Roman" w:cs="Times New Roman" w:eastAsia="Times New Roman" w:hAnsi="Times New Roman"/>
          <w:sz w:val="21"/>
          <w:szCs w:val="21"/>
          <w:color w:val="auto"/>
        </w:rPr>
        <w:t>Each Participant under the Plan may from time to time name any Beneficiary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Beneficiaries to receive the Participant’s interest in the Plan in the event of the Participant’s death. Each designation will revoke all prior designations by the same Participant, shall be in a form reasonably prescribed by the Plan Committee and shall be effective only when filed by the Participant in writing with the Company during the Participant’s lifetime. If a Participant fails to designate a Beneficiary, then the Participant’s designated Beneficiary shall be deemed to be the Participant’s estate.</w:t>
      </w:r>
    </w:p>
    <w:p>
      <w:pPr>
        <w:spacing w:after="0" w:line="146" w:lineRule="exact"/>
        <w:rPr>
          <w:sz w:val="20"/>
          <w:szCs w:val="20"/>
          <w:color w:val="auto"/>
        </w:rPr>
      </w:pPr>
    </w:p>
    <w:p>
      <w:pPr>
        <w:ind w:right="300" w:firstLine="947"/>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11.3 No Service Contract. </w:t>
      </w:r>
      <w:r>
        <w:rPr>
          <w:rFonts w:ascii="Times New Roman" w:cs="Times New Roman" w:eastAsia="Times New Roman" w:hAnsi="Times New Roman"/>
          <w:sz w:val="21"/>
          <w:szCs w:val="21"/>
          <w:color w:val="auto"/>
        </w:rPr>
        <w:t>The terms and conditions of the Plan shall not be deemed to constitute a contract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or other service between the Company or any Participating Employer and the Participant. Nothing in the Plan or any instrument or agreement pursuant thereto shall confer upon any Participant any right to continue to serve the Company or any Participating Employer or interfere in any way with the right of the Company or any Participating Employer to terminate the Participant’s employment or service at any time with or without notice and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20"/>
          </w:cols>
          <w:pgMar w:left="320" w:top="1362" w:right="359" w:bottom="1440" w:gutter="0" w:footer="0" w:header="0"/>
        </w:sectPr>
      </w:pPr>
    </w:p>
    <w:bookmarkStart w:id="55" w:name="page56"/>
    <w:bookmarkEnd w:id="55"/>
    <w:p>
      <w:pPr>
        <w:ind w:right="260" w:firstLine="947"/>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11.4 No Assignment. </w:t>
      </w:r>
      <w:r>
        <w:rPr>
          <w:rFonts w:ascii="Times New Roman" w:cs="Times New Roman" w:eastAsia="Times New Roman" w:hAnsi="Times New Roman"/>
          <w:sz w:val="21"/>
          <w:szCs w:val="21"/>
          <w:color w:val="auto"/>
        </w:rPr>
        <w:t>Neither a Participant nor any other person shall have any right to commute, sell, assign,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transfer, pledge, anticipate, mortgage or otherwise encumber, transfer, hypothecate, alienate or convey prior to actual payment, the amounts, if any, payable hereunder, or any part thereof.</w:t>
      </w:r>
    </w:p>
    <w:p>
      <w:pPr>
        <w:spacing w:after="0" w:line="142" w:lineRule="exact"/>
        <w:rPr>
          <w:sz w:val="20"/>
          <w:szCs w:val="20"/>
          <w:color w:val="auto"/>
        </w:rPr>
      </w:pPr>
    </w:p>
    <w:p>
      <w:pPr>
        <w:ind w:firstLine="947"/>
        <w:spacing w:after="0" w:line="222" w:lineRule="auto"/>
        <w:rPr>
          <w:sz w:val="20"/>
          <w:szCs w:val="20"/>
          <w:color w:val="auto"/>
        </w:rPr>
      </w:pPr>
      <w:r>
        <w:rPr>
          <w:rFonts w:ascii="Times New Roman" w:cs="Times New Roman" w:eastAsia="Times New Roman" w:hAnsi="Times New Roman"/>
          <w:sz w:val="21"/>
          <w:szCs w:val="21"/>
          <w:b w:val="1"/>
          <w:bCs w:val="1"/>
          <w:color w:val="auto"/>
        </w:rPr>
        <w:t xml:space="preserve">11.5 General Unsecured Creditor. </w:t>
      </w:r>
      <w:r>
        <w:rPr>
          <w:rFonts w:ascii="Times New Roman" w:cs="Times New Roman" w:eastAsia="Times New Roman" w:hAnsi="Times New Roman"/>
          <w:sz w:val="21"/>
          <w:szCs w:val="21"/>
          <w:color w:val="auto"/>
        </w:rPr>
        <w:t>The Company and any Participating Employer’s obligation under the Plan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that of a mere unfunded, unsecured promise to pay money in the future, and no Participant or Beneficiary, heir, successor or assign shall have any legal or equitable rights, interests or claims in any property or assets of the Company or any Participating Employer, which shall be general, unsecured assets of the Company or Participating Employer for purposes of the payment of benefits under the Plan.</w:t>
      </w:r>
    </w:p>
    <w:p>
      <w:pPr>
        <w:spacing w:after="0" w:line="146" w:lineRule="exact"/>
        <w:rPr>
          <w:sz w:val="20"/>
          <w:szCs w:val="20"/>
          <w:color w:val="auto"/>
        </w:rPr>
      </w:pPr>
    </w:p>
    <w:p>
      <w:pPr>
        <w:ind w:right="160" w:firstLine="947"/>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11.6 “Top Hat” Plan. </w:t>
      </w:r>
      <w:r>
        <w:rPr>
          <w:rFonts w:ascii="Times New Roman" w:cs="Times New Roman" w:eastAsia="Times New Roman" w:hAnsi="Times New Roman"/>
          <w:sz w:val="21"/>
          <w:szCs w:val="21"/>
          <w:color w:val="auto"/>
        </w:rPr>
        <w:t>The Plan is intended to be “a plan which is unfunded and is maintained by an employer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primarily for the purpose of providing deferred compensation for a select group of management or highly compensated employees” within the meaning of Sections 201(2), 301(a)(3) and 401(a)(1) of ERISA, and shall be administered, interpreted and construed consistent with such intent with respect to participation by current or former Eligible Employees.</w:t>
      </w:r>
    </w:p>
    <w:p>
      <w:pPr>
        <w:spacing w:after="0" w:line="143" w:lineRule="exact"/>
        <w:rPr>
          <w:sz w:val="20"/>
          <w:szCs w:val="20"/>
          <w:color w:val="auto"/>
        </w:rPr>
      </w:pPr>
    </w:p>
    <w:p>
      <w:pPr>
        <w:ind w:right="120" w:firstLine="947"/>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11.7 Section 409A. </w:t>
      </w:r>
      <w:r>
        <w:rPr>
          <w:rFonts w:ascii="Times New Roman" w:cs="Times New Roman" w:eastAsia="Times New Roman" w:hAnsi="Times New Roman"/>
          <w:sz w:val="21"/>
          <w:szCs w:val="21"/>
          <w:color w:val="auto"/>
        </w:rPr>
        <w:t>The Plan is intended to meet the requirements of Section 409A of the Code and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administered, interpreted and construed consistent with such intent. Notwithstanding the foregoing, the Company makes no representation that the Plan complies with Section 409A of the Code and neither the Company nor any Participating Employer shall have any liability to any Participant or Beneficiary for any failure to comply with Section 409A of the Code.</w:t>
      </w:r>
    </w:p>
    <w:p>
      <w:pPr>
        <w:spacing w:after="0" w:line="143" w:lineRule="exact"/>
        <w:rPr>
          <w:sz w:val="20"/>
          <w:szCs w:val="20"/>
          <w:color w:val="auto"/>
        </w:rPr>
      </w:pPr>
    </w:p>
    <w:p>
      <w:pPr>
        <w:ind w:right="160" w:firstLine="947"/>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11.8 Governing Law. </w:t>
      </w:r>
      <w:r>
        <w:rPr>
          <w:rFonts w:ascii="Times New Roman" w:cs="Times New Roman" w:eastAsia="Times New Roman" w:hAnsi="Times New Roman"/>
          <w:sz w:val="21"/>
          <w:szCs w:val="21"/>
          <w:color w:val="auto"/>
        </w:rPr>
        <w:t>The Plan shall be administered, construed and governed in all respects under and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laws of the State of New York, without reference to the principles of conflicts of law, except and to the extent preempted by ERISA and other applicable Federal law.</w:t>
      </w:r>
    </w:p>
    <w:p>
      <w:pPr>
        <w:spacing w:after="0" w:line="142" w:lineRule="exact"/>
        <w:rPr>
          <w:sz w:val="20"/>
          <w:szCs w:val="20"/>
          <w:color w:val="auto"/>
        </w:rPr>
      </w:pPr>
    </w:p>
    <w:p>
      <w:pPr>
        <w:ind w:right="40" w:firstLine="947"/>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11.9 Severability. </w:t>
      </w:r>
      <w:r>
        <w:rPr>
          <w:rFonts w:ascii="Times New Roman" w:cs="Times New Roman" w:eastAsia="Times New Roman" w:hAnsi="Times New Roman"/>
          <w:sz w:val="21"/>
          <w:szCs w:val="21"/>
          <w:color w:val="auto"/>
        </w:rPr>
        <w:t>If any provision of the Plan is held to be invalid, illegal or unenforceable, whether in whole or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 such provision shall be fully severable and shall be deemed modified to the extent of such invalidity, illegality or unenforceability, and the remaining provisions shall not be affected and the Plan shall be construed and enforced as if such illegal or invalid provisions had not been included therein.</w:t>
      </w:r>
    </w:p>
    <w:p>
      <w:pPr>
        <w:spacing w:after="0" w:line="143" w:lineRule="exact"/>
        <w:rPr>
          <w:sz w:val="20"/>
          <w:szCs w:val="20"/>
          <w:color w:val="auto"/>
        </w:rPr>
      </w:pPr>
    </w:p>
    <w:p>
      <w:pPr>
        <w:ind w:right="20" w:firstLine="947"/>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11.10 Headings and Subheadings. </w:t>
      </w:r>
      <w:r>
        <w:rPr>
          <w:rFonts w:ascii="Times New Roman" w:cs="Times New Roman" w:eastAsia="Times New Roman" w:hAnsi="Times New Roman"/>
          <w:sz w:val="21"/>
          <w:szCs w:val="21"/>
          <w:color w:val="auto"/>
        </w:rPr>
        <w:t>Headings and subheadings in the Plan are for convenience only and are not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considered in the construction of the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58"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Hennessy, certify that:</w:t>
      </w:r>
    </w:p>
    <w:p>
      <w:pPr>
        <w:spacing w:after="0" w:line="198" w:lineRule="exact"/>
        <w:rPr>
          <w:sz w:val="20"/>
          <w:szCs w:val="20"/>
          <w:color w:val="auto"/>
        </w:rPr>
      </w:pPr>
    </w:p>
    <w:p>
      <w:pPr>
        <w:ind w:left="840" w:hanging="519"/>
        <w:spacing w:after="0"/>
        <w:tabs>
          <w:tab w:leader="none" w:pos="8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October 25, 2022</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74"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Jarrod Yahes, certify that:</w:t>
      </w:r>
    </w:p>
    <w:p>
      <w:pPr>
        <w:spacing w:after="0" w:line="198" w:lineRule="exact"/>
        <w:rPr>
          <w:sz w:val="20"/>
          <w:szCs w:val="20"/>
          <w:color w:val="auto"/>
        </w:rPr>
      </w:pPr>
    </w:p>
    <w:p>
      <w:pPr>
        <w:ind w:left="840" w:hanging="519"/>
        <w:spacing w:after="0"/>
        <w:tabs>
          <w:tab w:leader="none" w:pos="8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40"/>
        <w:spacing w:after="0"/>
        <w:tabs>
          <w:tab w:leader="none" w:pos="5760" w:val="left"/>
          <w:tab w:leader="none" w:pos="6220" w:val="left"/>
        </w:tabs>
        <w:rPr>
          <w:sz w:val="20"/>
          <w:szCs w:val="20"/>
          <w:color w:val="auto"/>
        </w:rPr>
      </w:pPr>
      <w:r>
        <w:rPr>
          <w:rFonts w:ascii="Times New Roman" w:cs="Times New Roman" w:eastAsia="Times New Roman" w:hAnsi="Times New Roman"/>
          <w:sz w:val="16"/>
          <w:szCs w:val="16"/>
          <w:color w:val="auto"/>
        </w:rPr>
        <w:t>Date: October 25,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17145</wp:posOffset>
            </wp:positionV>
            <wp:extent cx="3183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2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Jarrod Yahes</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1240"/>
          </w:cols>
          <w:pgMar w:left="320" w:top="874"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8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September 30, 2022 as filed with the Securities and Exchange Commission on the date hereof (the “Report”), I, Paul Hennessy,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October 25, 2022</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9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September 30, 2022 as filed with the Securities and Exchange Commission on the date hereof (the “Report”), I, Jarrod Yahes,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October 25,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Jarrod Yahes</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3"/>
    </w:lvl>
  </w:abstractNum>
  <w:abstractNum w:abstractNumId="4">
    <w:nsid w:val="3F2DBA31"/>
    <w:multiLevelType w:val="hybridMultilevel"/>
    <w:lvl w:ilvl="0">
      <w:lvlJc w:val="left"/>
      <w:lvlText w:val="1"/>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lowerLetter"/>
      <w:start w:val="3"/>
    </w:lvl>
  </w:abstractNum>
  <w:abstractNum w:abstractNumId="13">
    <w:nsid w:val="2D1D5AE9"/>
    <w:multiLevelType w:val="hybridMultilevel"/>
    <w:lvl w:ilvl="0">
      <w:lvlJc w:val="left"/>
      <w:lvlText w:val="(%1)"/>
      <w:numFmt w:val="lowerLetter"/>
      <w:start w:val="4"/>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decimal"/>
      <w:start w:val="104"/>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1)"/>
      <w:numFmt w:val="lowerLetter"/>
      <w:start w:val="6"/>
    </w:lvl>
  </w:abstractNum>
  <w:abstractNum w:abstractNumId="18">
    <w:nsid w:val="4353D0CD"/>
    <w:multiLevelType w:val="hybridMultilevel"/>
    <w:lvl w:ilvl="0">
      <w:lvlJc w:val="left"/>
      <w:lvlText w:val="(%1)"/>
      <w:numFmt w:val="lowerLetter"/>
      <w:start w:val="7"/>
    </w:lvl>
  </w:abstractNum>
  <w:abstractNum w:abstractNumId="19">
    <w:nsid w:val="B03E0C6"/>
    <w:multiLevelType w:val="hybridMultilevel"/>
    <w:lvl w:ilvl="0">
      <w:lvlJc w:val="left"/>
      <w:lvlText w:val="(%1)"/>
      <w:numFmt w:val="lowerRoman"/>
      <w:start w:val="1"/>
    </w:lvl>
  </w:abstractNum>
  <w:abstractNum w:abstractNumId="20">
    <w:nsid w:val="189A769B"/>
    <w:multiLevelType w:val="hybridMultilevel"/>
    <w:lvl w:ilvl="0">
      <w:lvlJc w:val="left"/>
      <w:lvlText w:val="(%1)"/>
      <w:numFmt w:val="lowerLetter"/>
      <w:start w:val="1"/>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decimal"/>
      <w:start w:val="60"/>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lowerLetter"/>
      <w:start w:val="5"/>
    </w:lvl>
  </w:abstractNum>
  <w:abstractNum w:abstractNumId="25">
    <w:nsid w:val="2901D82"/>
    <w:multiLevelType w:val="hybridMultilevel"/>
    <w:lvl w:ilvl="0">
      <w:lvlJc w:val="left"/>
      <w:lvlText w:val="(%1)"/>
      <w:numFmt w:val="lowerLetter"/>
      <w:start w:val="8"/>
    </w:lvl>
  </w:abstractNum>
  <w:abstractNum w:abstractNumId="26">
    <w:nsid w:val="3A95F874"/>
    <w:multiLevelType w:val="hybridMultilevel"/>
    <w:lvl w:ilvl="0">
      <w:lvlJc w:val="left"/>
      <w:lvlText w:val="(%1)"/>
      <w:numFmt w:val="lowerLetter"/>
      <w:start w:val="10"/>
    </w:lvl>
  </w:abstractNum>
  <w:abstractNum w:abstractNumId="27">
    <w:nsid w:val="8138641"/>
    <w:multiLevelType w:val="hybridMultilevel"/>
    <w:lvl w:ilvl="0">
      <w:lvlJc w:val="left"/>
      <w:lvlText w:val="%1."/>
      <w:numFmt w:val="decimal"/>
      <w:start w:val="8"/>
    </w:lvl>
  </w:abstractNum>
  <w:abstractNum w:abstractNumId="28">
    <w:nsid w:val="1E7FF521"/>
    <w:multiLevelType w:val="hybridMultilevel"/>
    <w:lvl w:ilvl="0">
      <w:lvlJc w:val="left"/>
      <w:lvlText w:val="(%1)"/>
      <w:numFmt w:val="lowerLetter"/>
      <w:start w:val="1"/>
    </w:lvl>
  </w:abstractNum>
  <w:abstractNum w:abstractNumId="29">
    <w:nsid w:val="7C3DBD3D"/>
    <w:multiLevelType w:val="hybridMultilevel"/>
    <w:lvl w:ilvl="0">
      <w:lvlJc w:val="left"/>
      <w:lvlText w:val="(%1)"/>
      <w:numFmt w:val="lowerLetter"/>
      <w:start w:val="6"/>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59" Type="http://schemas.openxmlformats.org/officeDocument/2006/relationships/hyperlink" Target="http://www.sec.gov/Archives/edgar/data/1549346/000154934622000030/please_docusignxpxsilvi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2022-10-25T06:13:33Z</dcterms:created>
  <dcterms:modified xsi:type="dcterms:W3CDTF">2022-10-25T06:13:33Z</dcterms:modified>
</cp:coreProperties>
</file>