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369570</wp:posOffset>
            </wp:positionV>
            <wp:extent cx="69469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left="380"/>
        <w:spacing w:after="0"/>
        <w:rPr>
          <w:sz w:val="20"/>
          <w:szCs w:val="20"/>
          <w:color w:val="auto"/>
        </w:rPr>
      </w:pPr>
      <w:r>
        <w:rPr>
          <w:rFonts w:ascii="Arial" w:cs="Arial" w:eastAsia="Arial" w:hAnsi="Arial"/>
          <w:sz w:val="21"/>
          <w:szCs w:val="21"/>
          <w:b w:val="1"/>
          <w:bCs w:val="1"/>
          <w:color w:val="auto"/>
        </w:rPr>
        <w:t>UNITED STATES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21"/>
          <w:szCs w:val="21"/>
          <w:b w:val="1"/>
          <w:bCs w:val="1"/>
          <w:color w:val="auto"/>
        </w:rPr>
        <w:t>SECURITIES AND EXCHANGE COMMISSION</w:t>
      </w:r>
    </w:p>
    <w:p>
      <w:pPr>
        <w:jc w:val="center"/>
        <w:ind w:left="380"/>
        <w:spacing w:after="0"/>
        <w:rPr>
          <w:sz w:val="20"/>
          <w:szCs w:val="20"/>
          <w:color w:val="auto"/>
        </w:rPr>
      </w:pPr>
      <w:r>
        <w:rPr>
          <w:rFonts w:ascii="Arial" w:cs="Arial" w:eastAsia="Arial" w:hAnsi="Arial"/>
          <w:sz w:val="12"/>
          <w:szCs w:val="12"/>
          <w:b w:val="1"/>
          <w:bCs w:val="1"/>
          <w:color w:val="auto"/>
        </w:rPr>
        <w:t>WASHINGTON, D.C. 20549</w:t>
      </w:r>
    </w:p>
    <w:p>
      <w:pPr>
        <w:spacing w:after="0" w:line="106" w:lineRule="exact"/>
        <w:rPr>
          <w:sz w:val="24"/>
          <w:szCs w:val="24"/>
          <w:color w:val="auto"/>
        </w:rPr>
      </w:pPr>
    </w:p>
    <w:p>
      <w:pPr>
        <w:ind w:left="30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w:t>
      </w:r>
    </w:p>
    <w:p>
      <w:pPr>
        <w:spacing w:after="0" w:line="93" w:lineRule="exact"/>
        <w:rPr>
          <w:sz w:val="24"/>
          <w:szCs w:val="24"/>
          <w:color w:val="auto"/>
        </w:rPr>
      </w:pPr>
    </w:p>
    <w:p>
      <w:pPr>
        <w:jc w:val="center"/>
        <w:ind w:left="380"/>
        <w:spacing w:after="0"/>
        <w:rPr>
          <w:sz w:val="20"/>
          <w:szCs w:val="20"/>
          <w:color w:val="auto"/>
        </w:rPr>
      </w:pPr>
      <w:r>
        <w:rPr>
          <w:rFonts w:ascii="Arial" w:cs="Arial" w:eastAsia="Arial" w:hAnsi="Arial"/>
          <w:sz w:val="21"/>
          <w:szCs w:val="21"/>
          <w:b w:val="1"/>
          <w:bCs w:val="1"/>
          <w:color w:val="auto"/>
        </w:rPr>
        <w:t>FORM 10-K</w:t>
      </w:r>
    </w:p>
    <w:p>
      <w:pPr>
        <w:spacing w:after="0" w:line="110" w:lineRule="exact"/>
        <w:rPr>
          <w:sz w:val="24"/>
          <w:szCs w:val="24"/>
          <w:color w:val="auto"/>
        </w:rPr>
      </w:pPr>
    </w:p>
    <w:p>
      <w:pPr>
        <w:ind w:left="400"/>
        <w:spacing w:after="0"/>
        <w:rPr>
          <w:sz w:val="20"/>
          <w:szCs w:val="20"/>
          <w:color w:val="auto"/>
        </w:rPr>
      </w:pPr>
      <w:r>
        <w:rPr>
          <w:rFonts w:ascii="Arial" w:cs="Arial" w:eastAsia="Arial" w:hAnsi="Arial"/>
          <w:sz w:val="12"/>
          <w:szCs w:val="12"/>
          <w:b w:val="1"/>
          <w:bCs w:val="1"/>
          <w:color w:val="auto"/>
        </w:rPr>
        <w:t>(Mark One)</w:t>
      </w:r>
    </w:p>
    <w:p>
      <w:pPr>
        <w:spacing w:after="0" w:line="121" w:lineRule="exact"/>
        <w:rPr>
          <w:sz w:val="24"/>
          <w:szCs w:val="24"/>
          <w:color w:val="auto"/>
        </w:rPr>
      </w:pPr>
    </w:p>
    <w:p>
      <w:pPr>
        <w:ind w:left="2540" w:hanging="272"/>
        <w:spacing w:after="0"/>
        <w:tabs>
          <w:tab w:leader="none" w:pos="2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4" w:lineRule="exact"/>
        <w:rPr>
          <w:sz w:val="24"/>
          <w:szCs w:val="24"/>
          <w:color w:val="auto"/>
        </w:rPr>
      </w:pPr>
    </w:p>
    <w:p>
      <w:pPr>
        <w:jc w:val="center"/>
        <w:ind w:left="380"/>
        <w:spacing w:after="0"/>
        <w:rPr>
          <w:sz w:val="20"/>
          <w:szCs w:val="20"/>
          <w:color w:val="auto"/>
        </w:rPr>
      </w:pPr>
      <w:r>
        <w:rPr>
          <w:rFonts w:ascii="Arial" w:cs="Arial" w:eastAsia="Arial" w:hAnsi="Arial"/>
          <w:sz w:val="12"/>
          <w:szCs w:val="12"/>
          <w:b w:val="1"/>
          <w:bCs w:val="1"/>
          <w:color w:val="auto"/>
        </w:rPr>
        <w:t>For the fiscal year ended December 31, 2021</w:t>
      </w:r>
    </w:p>
    <w:p>
      <w:pPr>
        <w:spacing w:after="0" w:line="18" w:lineRule="exact"/>
        <w:rPr>
          <w:sz w:val="24"/>
          <w:szCs w:val="24"/>
          <w:color w:val="auto"/>
        </w:rPr>
      </w:pPr>
    </w:p>
    <w:p>
      <w:pPr>
        <w:jc w:val="center"/>
        <w:ind w:left="380"/>
        <w:spacing w:after="0"/>
        <w:rPr>
          <w:sz w:val="20"/>
          <w:szCs w:val="20"/>
          <w:color w:val="auto"/>
        </w:rPr>
      </w:pPr>
      <w:r>
        <w:rPr>
          <w:rFonts w:ascii="Arial" w:cs="Arial" w:eastAsia="Arial" w:hAnsi="Arial"/>
          <w:sz w:val="14"/>
          <w:szCs w:val="14"/>
          <w:color w:val="auto"/>
        </w:rPr>
        <w:t>or</w:t>
      </w:r>
    </w:p>
    <w:p>
      <w:pPr>
        <w:spacing w:after="0" w:line="5" w:lineRule="exact"/>
        <w:rPr>
          <w:sz w:val="24"/>
          <w:szCs w:val="24"/>
          <w:color w:val="auto"/>
        </w:rPr>
      </w:pPr>
    </w:p>
    <w:p>
      <w:pPr>
        <w:ind w:left="2380" w:hanging="242"/>
        <w:spacing w:after="0"/>
        <w:tabs>
          <w:tab w:leader="none" w:pos="2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rFonts w:ascii="MS PGothic" w:cs="MS PGothic" w:eastAsia="MS PGothic" w:hAnsi="MS PGothic"/>
          <w:sz w:val="14"/>
          <w:szCs w:val="14"/>
          <w:color w:val="auto"/>
        </w:rPr>
      </w:pPr>
    </w:p>
    <w:p>
      <w:pPr>
        <w:ind w:left="4720"/>
        <w:spacing w:after="0"/>
        <w:rPr>
          <w:rFonts w:ascii="MS PGothic" w:cs="MS PGothic" w:eastAsia="MS PGothic" w:hAnsi="MS PGothic"/>
          <w:sz w:val="14"/>
          <w:szCs w:val="14"/>
          <w:color w:val="auto"/>
        </w:rPr>
      </w:pPr>
      <w:r>
        <w:rPr>
          <w:rFonts w:ascii="Arial" w:cs="Arial" w:eastAsia="Arial" w:hAnsi="Arial"/>
          <w:sz w:val="12"/>
          <w:szCs w:val="12"/>
          <w:b w:val="1"/>
          <w:bCs w:val="1"/>
          <w:color w:val="auto"/>
        </w:rPr>
        <w:t>For the transition period from ___ to ___</w:t>
      </w:r>
    </w:p>
    <w:p>
      <w:pPr>
        <w:spacing w:after="0" w:line="59" w:lineRule="exact"/>
        <w:rPr>
          <w:sz w:val="24"/>
          <w:szCs w:val="24"/>
          <w:color w:val="auto"/>
        </w:rPr>
      </w:pPr>
    </w:p>
    <w:p>
      <w:pPr>
        <w:jc w:val="center"/>
        <w:ind w:left="380"/>
        <w:spacing w:after="0"/>
        <w:rPr>
          <w:sz w:val="20"/>
          <w:szCs w:val="20"/>
          <w:color w:val="auto"/>
        </w:rPr>
      </w:pPr>
      <w:r>
        <w:rPr>
          <w:rFonts w:ascii="Arial" w:cs="Arial" w:eastAsia="Arial" w:hAnsi="Arial"/>
          <w:sz w:val="12"/>
          <w:szCs w:val="12"/>
          <w:b w:val="1"/>
          <w:bCs w:val="1"/>
          <w:color w:val="auto"/>
        </w:rPr>
        <w:t>Commission File Number: 001-35669</w:t>
      </w:r>
    </w:p>
    <w:p>
      <w:pPr>
        <w:spacing w:after="0" w:line="21" w:lineRule="exact"/>
        <w:rPr>
          <w:sz w:val="24"/>
          <w:szCs w:val="24"/>
          <w:color w:val="auto"/>
        </w:rPr>
      </w:pPr>
    </w:p>
    <w:p>
      <w:pPr>
        <w:ind w:left="240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w:t>
      </w:r>
    </w:p>
    <w:p>
      <w:pPr>
        <w:spacing w:after="0" w:line="79" w:lineRule="exact"/>
        <w:rPr>
          <w:sz w:val="24"/>
          <w:szCs w:val="24"/>
          <w:color w:val="auto"/>
        </w:rPr>
      </w:pPr>
    </w:p>
    <w:p>
      <w:pPr>
        <w:jc w:val="center"/>
        <w:ind w:left="380"/>
        <w:spacing w:after="0"/>
        <w:rPr>
          <w:sz w:val="20"/>
          <w:szCs w:val="20"/>
          <w:color w:val="auto"/>
        </w:rPr>
      </w:pPr>
      <w:r>
        <w:rPr>
          <w:rFonts w:ascii="Arial" w:cs="Arial" w:eastAsia="Arial" w:hAnsi="Arial"/>
          <w:sz w:val="25"/>
          <w:szCs w:val="25"/>
          <w:b w:val="1"/>
          <w:bCs w:val="1"/>
          <w:color w:val="auto"/>
        </w:rPr>
        <w:t>Shutterstock, Inc.</w:t>
      </w:r>
    </w:p>
    <w:p>
      <w:pPr>
        <w:spacing w:after="0" w:line="112" w:lineRule="exact"/>
        <w:rPr>
          <w:sz w:val="24"/>
          <w:szCs w:val="24"/>
          <w:color w:val="auto"/>
        </w:rPr>
      </w:pPr>
    </w:p>
    <w:p>
      <w:pPr>
        <w:jc w:val="center"/>
        <w:ind w:left="380"/>
        <w:spacing w:after="0"/>
        <w:rPr>
          <w:sz w:val="20"/>
          <w:szCs w:val="20"/>
          <w:color w:val="auto"/>
        </w:rPr>
      </w:pPr>
      <w:r>
        <w:rPr>
          <w:rFonts w:ascii="Arial" w:cs="Arial" w:eastAsia="Arial" w:hAnsi="Arial"/>
          <w:sz w:val="14"/>
          <w:szCs w:val="14"/>
          <w:color w:val="auto"/>
        </w:rPr>
        <w:t>(Exact name of registrant as specified in its charter)</w:t>
      </w:r>
    </w:p>
    <w:p>
      <w:pPr>
        <w:spacing w:after="0" w:line="155" w:lineRule="exact"/>
        <w:rPr>
          <w:sz w:val="24"/>
          <w:szCs w:val="24"/>
          <w:color w:val="auto"/>
        </w:rPr>
      </w:pPr>
    </w:p>
    <w:tbl>
      <w:tblPr>
        <w:tblLayout w:type="fixed"/>
        <w:tblInd w:w="3800" w:type="dxa"/>
        <w:tblCellMar>
          <w:top w:w="0" w:type="dxa"/>
          <w:left w:w="0" w:type="dxa"/>
          <w:bottom w:w="0" w:type="dxa"/>
          <w:right w:w="0" w:type="dxa"/>
        </w:tblCellMar>
      </w:tblPr>
      <w:tr>
        <w:trPr>
          <w:trHeight w:val="159"/>
        </w:trPr>
        <w:tc>
          <w:tcPr>
            <w:tcW w:w="2360" w:type="dxa"/>
            <w:vAlign w:val="bottom"/>
          </w:tcPr>
          <w:p>
            <w:pPr>
              <w:jc w:val="center"/>
              <w:ind w:right="819"/>
              <w:spacing w:after="0"/>
              <w:rPr>
                <w:sz w:val="20"/>
                <w:szCs w:val="20"/>
                <w:color w:val="auto"/>
              </w:rPr>
            </w:pPr>
            <w:r>
              <w:rPr>
                <w:rFonts w:ascii="Arial" w:cs="Arial" w:eastAsia="Arial" w:hAnsi="Arial"/>
                <w:sz w:val="12"/>
                <w:szCs w:val="12"/>
                <w:b w:val="1"/>
                <w:bCs w:val="1"/>
                <w:color w:val="auto"/>
                <w:w w:val="91"/>
              </w:rPr>
              <w:t>Delaware</w:t>
            </w:r>
          </w:p>
        </w:tc>
        <w:tc>
          <w:tcPr>
            <w:tcW w:w="1780" w:type="dxa"/>
            <w:vAlign w:val="bottom"/>
          </w:tcPr>
          <w:p>
            <w:pPr>
              <w:jc w:val="center"/>
              <w:ind w:left="819"/>
              <w:spacing w:after="0"/>
              <w:rPr>
                <w:sz w:val="20"/>
                <w:szCs w:val="20"/>
                <w:color w:val="auto"/>
              </w:rPr>
            </w:pPr>
            <w:r>
              <w:rPr>
                <w:rFonts w:ascii="Arial" w:cs="Arial" w:eastAsia="Arial" w:hAnsi="Arial"/>
                <w:sz w:val="12"/>
                <w:szCs w:val="12"/>
                <w:b w:val="1"/>
                <w:bCs w:val="1"/>
                <w:color w:val="auto"/>
                <w:w w:val="90"/>
              </w:rPr>
              <w:t>80-0812659</w:t>
            </w:r>
          </w:p>
        </w:tc>
      </w:tr>
      <w:tr>
        <w:trPr>
          <w:trHeight w:val="187"/>
        </w:trPr>
        <w:tc>
          <w:tcPr>
            <w:tcW w:w="2360" w:type="dxa"/>
            <w:vAlign w:val="bottom"/>
          </w:tcPr>
          <w:p>
            <w:pPr>
              <w:jc w:val="center"/>
              <w:ind w:right="819"/>
              <w:spacing w:after="0"/>
              <w:rPr>
                <w:sz w:val="20"/>
                <w:szCs w:val="20"/>
                <w:color w:val="auto"/>
              </w:rPr>
            </w:pPr>
            <w:r>
              <w:rPr>
                <w:rFonts w:ascii="Arial" w:cs="Arial" w:eastAsia="Arial" w:hAnsi="Arial"/>
                <w:sz w:val="12"/>
                <w:szCs w:val="12"/>
                <w:color w:val="auto"/>
                <w:w w:val="95"/>
              </w:rPr>
              <w:t>(State or other jurisdiction of</w:t>
            </w:r>
          </w:p>
        </w:tc>
        <w:tc>
          <w:tcPr>
            <w:tcW w:w="1780" w:type="dxa"/>
            <w:vAlign w:val="bottom"/>
          </w:tcPr>
          <w:p>
            <w:pPr>
              <w:jc w:val="center"/>
              <w:ind w:left="839"/>
              <w:spacing w:after="0"/>
              <w:rPr>
                <w:sz w:val="20"/>
                <w:szCs w:val="20"/>
                <w:color w:val="auto"/>
              </w:rPr>
            </w:pPr>
            <w:r>
              <w:rPr>
                <w:rFonts w:ascii="Arial" w:cs="Arial" w:eastAsia="Arial" w:hAnsi="Arial"/>
                <w:sz w:val="12"/>
                <w:szCs w:val="12"/>
                <w:color w:val="auto"/>
                <w:w w:val="95"/>
              </w:rPr>
              <w:t>(I.R.S. Employer</w:t>
            </w:r>
          </w:p>
        </w:tc>
      </w:tr>
      <w:tr>
        <w:trPr>
          <w:trHeight w:val="155"/>
        </w:trPr>
        <w:tc>
          <w:tcPr>
            <w:tcW w:w="2360" w:type="dxa"/>
            <w:vAlign w:val="bottom"/>
          </w:tcPr>
          <w:p>
            <w:pPr>
              <w:jc w:val="center"/>
              <w:ind w:right="819"/>
              <w:spacing w:after="0"/>
              <w:rPr>
                <w:sz w:val="20"/>
                <w:szCs w:val="20"/>
                <w:color w:val="auto"/>
              </w:rPr>
            </w:pPr>
            <w:r>
              <w:rPr>
                <w:rFonts w:ascii="Arial" w:cs="Arial" w:eastAsia="Arial" w:hAnsi="Arial"/>
                <w:sz w:val="12"/>
                <w:szCs w:val="12"/>
                <w:color w:val="auto"/>
                <w:w w:val="94"/>
              </w:rPr>
              <w:t>incorporation or organization)</w:t>
            </w:r>
          </w:p>
        </w:tc>
        <w:tc>
          <w:tcPr>
            <w:tcW w:w="1780" w:type="dxa"/>
            <w:vAlign w:val="bottom"/>
          </w:tcPr>
          <w:p>
            <w:pPr>
              <w:jc w:val="center"/>
              <w:ind w:left="819"/>
              <w:spacing w:after="0"/>
              <w:rPr>
                <w:sz w:val="20"/>
                <w:szCs w:val="20"/>
                <w:color w:val="auto"/>
              </w:rPr>
            </w:pPr>
            <w:r>
              <w:rPr>
                <w:rFonts w:ascii="Arial" w:cs="Arial" w:eastAsia="Arial" w:hAnsi="Arial"/>
                <w:sz w:val="12"/>
                <w:szCs w:val="12"/>
                <w:color w:val="auto"/>
                <w:w w:val="96"/>
              </w:rPr>
              <w:t>Identification No.)</w:t>
            </w:r>
          </w:p>
        </w:tc>
      </w:tr>
    </w:tbl>
    <w:p>
      <w:pPr>
        <w:spacing w:after="0" w:line="191" w:lineRule="exact"/>
        <w:rPr>
          <w:sz w:val="24"/>
          <w:szCs w:val="24"/>
          <w:color w:val="auto"/>
        </w:rPr>
      </w:pPr>
    </w:p>
    <w:p>
      <w:pPr>
        <w:jc w:val="center"/>
        <w:ind w:left="380"/>
        <w:spacing w:after="0"/>
        <w:rPr>
          <w:sz w:val="20"/>
          <w:szCs w:val="20"/>
          <w:color w:val="auto"/>
        </w:rPr>
      </w:pPr>
      <w:r>
        <w:rPr>
          <w:rFonts w:ascii="Arial" w:cs="Arial" w:eastAsia="Arial" w:hAnsi="Arial"/>
          <w:sz w:val="14"/>
          <w:szCs w:val="14"/>
          <w:b w:val="1"/>
          <w:bCs w:val="1"/>
          <w:color w:val="auto"/>
        </w:rPr>
        <w:t>350 Fifth Avenue, 21st Floor</w:t>
      </w:r>
    </w:p>
    <w:p>
      <w:pPr>
        <w:spacing w:after="0" w:line="10" w:lineRule="exact"/>
        <w:rPr>
          <w:sz w:val="24"/>
          <w:szCs w:val="24"/>
          <w:color w:val="auto"/>
        </w:rPr>
      </w:pPr>
    </w:p>
    <w:p>
      <w:pPr>
        <w:jc w:val="center"/>
        <w:ind w:left="380"/>
        <w:spacing w:after="0"/>
        <w:rPr>
          <w:sz w:val="20"/>
          <w:szCs w:val="20"/>
          <w:color w:val="auto"/>
        </w:rPr>
      </w:pPr>
      <w:r>
        <w:rPr>
          <w:rFonts w:ascii="Arial" w:cs="Arial" w:eastAsia="Arial" w:hAnsi="Arial"/>
          <w:sz w:val="14"/>
          <w:szCs w:val="14"/>
          <w:b w:val="1"/>
          <w:bCs w:val="1"/>
          <w:color w:val="auto"/>
        </w:rPr>
        <w:t>New York, NY 10118</w:t>
      </w:r>
    </w:p>
    <w:p>
      <w:pPr>
        <w:jc w:val="center"/>
        <w:ind w:left="380"/>
        <w:spacing w:after="0" w:line="235" w:lineRule="auto"/>
        <w:rPr>
          <w:sz w:val="20"/>
          <w:szCs w:val="20"/>
          <w:color w:val="auto"/>
        </w:rPr>
      </w:pPr>
      <w:r>
        <w:rPr>
          <w:rFonts w:ascii="Arial" w:cs="Arial" w:eastAsia="Arial" w:hAnsi="Arial"/>
          <w:sz w:val="14"/>
          <w:szCs w:val="14"/>
          <w:color w:val="auto"/>
        </w:rPr>
        <w:t>(Address of principal executive offices, including zip code)</w:t>
      </w:r>
    </w:p>
    <w:p>
      <w:pPr>
        <w:jc w:val="center"/>
        <w:ind w:left="380"/>
        <w:spacing w:after="0" w:line="235" w:lineRule="auto"/>
        <w:rPr>
          <w:sz w:val="20"/>
          <w:szCs w:val="20"/>
          <w:color w:val="auto"/>
        </w:rPr>
      </w:pPr>
      <w:r>
        <w:rPr>
          <w:rFonts w:ascii="Arial" w:cs="Arial" w:eastAsia="Arial" w:hAnsi="Arial"/>
          <w:sz w:val="14"/>
          <w:szCs w:val="14"/>
          <w:color w:val="auto"/>
        </w:rPr>
        <w:t>646 710-3417</w:t>
      </w:r>
    </w:p>
    <w:p>
      <w:pPr>
        <w:spacing w:after="0" w:line="1" w:lineRule="exact"/>
        <w:rPr>
          <w:sz w:val="24"/>
          <w:szCs w:val="24"/>
          <w:color w:val="auto"/>
        </w:rPr>
      </w:pPr>
    </w:p>
    <w:p>
      <w:pPr>
        <w:jc w:val="center"/>
        <w:ind w:left="380"/>
        <w:spacing w:after="0"/>
        <w:rPr>
          <w:sz w:val="20"/>
          <w:szCs w:val="20"/>
          <w:color w:val="auto"/>
        </w:rPr>
      </w:pPr>
      <w:r>
        <w:rPr>
          <w:rFonts w:ascii="Arial" w:cs="Arial" w:eastAsia="Arial" w:hAnsi="Arial"/>
          <w:sz w:val="14"/>
          <w:szCs w:val="14"/>
          <w:color w:val="auto"/>
        </w:rPr>
        <w:t>Registrant’s telephone number, including area code</w:t>
      </w:r>
    </w:p>
    <w:p>
      <w:pPr>
        <w:spacing w:after="0" w:line="222" w:lineRule="exact"/>
        <w:rPr>
          <w:sz w:val="24"/>
          <w:szCs w:val="24"/>
          <w:color w:val="auto"/>
        </w:rPr>
      </w:pPr>
    </w:p>
    <w:p>
      <w:pPr>
        <w:jc w:val="center"/>
        <w:ind w:left="3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0" w:lineRule="exact"/>
        <w:rPr>
          <w:sz w:val="24"/>
          <w:szCs w:val="24"/>
          <w:color w:val="auto"/>
        </w:rPr>
      </w:pPr>
    </w:p>
    <w:tbl>
      <w:tblPr>
        <w:tblLayout w:type="fixed"/>
        <w:tblInd w:w="1180" w:type="dxa"/>
        <w:tblCellMar>
          <w:top w:w="0" w:type="dxa"/>
          <w:left w:w="0" w:type="dxa"/>
          <w:bottom w:w="0" w:type="dxa"/>
          <w:right w:w="0" w:type="dxa"/>
        </w:tblCellMar>
      </w:tblPr>
      <w:tr>
        <w:trPr>
          <w:trHeight w:val="159"/>
        </w:trPr>
        <w:tc>
          <w:tcPr>
            <w:tcW w:w="3560" w:type="dxa"/>
            <w:vAlign w:val="bottom"/>
          </w:tcPr>
          <w:p>
            <w:pPr>
              <w:jc w:val="center"/>
              <w:ind w:left="259"/>
              <w:spacing w:after="0"/>
              <w:rPr>
                <w:sz w:val="20"/>
                <w:szCs w:val="20"/>
                <w:color w:val="auto"/>
              </w:rPr>
            </w:pPr>
            <w:r>
              <w:rPr>
                <w:rFonts w:ascii="Arial" w:cs="Arial" w:eastAsia="Arial" w:hAnsi="Arial"/>
                <w:sz w:val="12"/>
                <w:szCs w:val="12"/>
                <w:b w:val="1"/>
                <w:bCs w:val="1"/>
                <w:color w:val="auto"/>
                <w:w w:val="88"/>
              </w:rPr>
              <w:t>Title of each class</w:t>
            </w:r>
          </w:p>
        </w:tc>
        <w:tc>
          <w:tcPr>
            <w:tcW w:w="2100" w:type="dxa"/>
            <w:vAlign w:val="bottom"/>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3240" w:type="dxa"/>
            <w:vAlign w:val="bottom"/>
          </w:tcPr>
          <w:p>
            <w:pPr>
              <w:jc w:val="center"/>
              <w:ind w:left="5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30"/>
        </w:trPr>
        <w:tc>
          <w:tcPr>
            <w:tcW w:w="3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61"/>
        </w:trPr>
        <w:tc>
          <w:tcPr>
            <w:tcW w:w="3560" w:type="dxa"/>
            <w:vAlign w:val="bottom"/>
          </w:tcPr>
          <w:p>
            <w:pPr>
              <w:jc w:val="center"/>
              <w:ind w:left="259"/>
              <w:spacing w:after="0"/>
              <w:rPr>
                <w:sz w:val="20"/>
                <w:szCs w:val="20"/>
                <w:color w:val="auto"/>
              </w:rPr>
            </w:pPr>
            <w:r>
              <w:rPr>
                <w:rFonts w:ascii="Arial" w:cs="Arial" w:eastAsia="Arial" w:hAnsi="Arial"/>
                <w:sz w:val="12"/>
                <w:szCs w:val="12"/>
                <w:color w:val="auto"/>
                <w:w w:val="92"/>
              </w:rPr>
              <w:t>Common Stock, $0.01 par value per share</w:t>
            </w:r>
          </w:p>
        </w:tc>
        <w:tc>
          <w:tcPr>
            <w:tcW w:w="2100" w:type="dxa"/>
            <w:vAlign w:val="bottom"/>
          </w:tcPr>
          <w:p>
            <w:pPr>
              <w:jc w:val="center"/>
              <w:spacing w:after="0"/>
              <w:rPr>
                <w:sz w:val="20"/>
                <w:szCs w:val="20"/>
                <w:color w:val="auto"/>
              </w:rPr>
            </w:pPr>
            <w:r>
              <w:rPr>
                <w:rFonts w:ascii="Arial" w:cs="Arial" w:eastAsia="Arial" w:hAnsi="Arial"/>
                <w:sz w:val="12"/>
                <w:szCs w:val="12"/>
                <w:color w:val="auto"/>
                <w:w w:val="95"/>
              </w:rPr>
              <w:t>SSTK</w:t>
            </w:r>
          </w:p>
        </w:tc>
        <w:tc>
          <w:tcPr>
            <w:tcW w:w="3240" w:type="dxa"/>
            <w:vAlign w:val="bottom"/>
          </w:tcPr>
          <w:p>
            <w:pPr>
              <w:jc w:val="center"/>
              <w:ind w:left="59"/>
              <w:spacing w:after="0"/>
              <w:rPr>
                <w:sz w:val="20"/>
                <w:szCs w:val="20"/>
                <w:color w:val="auto"/>
              </w:rPr>
            </w:pPr>
            <w:r>
              <w:rPr>
                <w:rFonts w:ascii="Arial" w:cs="Arial" w:eastAsia="Arial" w:hAnsi="Arial"/>
                <w:sz w:val="12"/>
                <w:szCs w:val="12"/>
                <w:color w:val="auto"/>
                <w:w w:val="92"/>
              </w:rPr>
              <w:t>New York Stock Exchange</w:t>
            </w:r>
          </w:p>
        </w:tc>
      </w:tr>
    </w:tbl>
    <w:p>
      <w:pPr>
        <w:spacing w:after="0" w:line="205" w:lineRule="exact"/>
        <w:rPr>
          <w:sz w:val="24"/>
          <w:szCs w:val="24"/>
          <w:color w:val="auto"/>
        </w:rPr>
      </w:pPr>
    </w:p>
    <w:p>
      <w:pPr>
        <w:ind w:left="4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08"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ind w:left="400" w:right="4200"/>
        <w:spacing w:after="0" w:line="18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9" w:lineRule="exact"/>
        <w:rPr>
          <w:sz w:val="24"/>
          <w:szCs w:val="24"/>
          <w:color w:val="auto"/>
        </w:rPr>
      </w:pPr>
    </w:p>
    <w:p>
      <w:pPr>
        <w:ind w:right="20" w:firstLine="395"/>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right="220" w:firstLine="395"/>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left="2560" w:hanging="2137"/>
        <w:spacing w:after="0" w:line="27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52"/>
        </w:trPr>
        <w:tc>
          <w:tcPr>
            <w:tcW w:w="1800" w:type="dxa"/>
            <w:vAlign w:val="bottom"/>
          </w:tcPr>
          <w:p>
            <w:pPr>
              <w:jc w:val="center"/>
              <w:ind w:right="229"/>
              <w:spacing w:after="0"/>
              <w:rPr>
                <w:sz w:val="20"/>
                <w:szCs w:val="20"/>
                <w:color w:val="auto"/>
              </w:rPr>
            </w:pPr>
            <w:r>
              <w:rPr>
                <w:rFonts w:ascii="Arial" w:cs="Arial" w:eastAsia="Arial" w:hAnsi="Arial"/>
                <w:sz w:val="21"/>
                <w:szCs w:val="21"/>
                <w:color w:val="auto"/>
                <w:w w:val="88"/>
              </w:rPr>
              <w:t>Large accelerated</w:t>
            </w:r>
          </w:p>
        </w:tc>
        <w:tc>
          <w:tcPr>
            <w:tcW w:w="256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spacing w:after="0"/>
              <w:rPr>
                <w:sz w:val="21"/>
                <w:szCs w:val="21"/>
                <w:color w:val="auto"/>
              </w:rPr>
            </w:pP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68"/>
        </w:trPr>
        <w:tc>
          <w:tcPr>
            <w:tcW w:w="1800" w:type="dxa"/>
            <w:vAlign w:val="bottom"/>
          </w:tcPr>
          <w:p>
            <w:pPr>
              <w:ind w:left="360"/>
              <w:spacing w:after="0"/>
              <w:rPr>
                <w:sz w:val="20"/>
                <w:szCs w:val="20"/>
                <w:color w:val="auto"/>
              </w:rPr>
            </w:pPr>
            <w:r>
              <w:rPr>
                <w:rFonts w:ascii="Arial" w:cs="Arial" w:eastAsia="Arial" w:hAnsi="Arial"/>
                <w:sz w:val="21"/>
                <w:szCs w:val="21"/>
                <w:color w:val="auto"/>
              </w:rPr>
              <w:t>filer</w:t>
            </w:r>
          </w:p>
        </w:tc>
        <w:tc>
          <w:tcPr>
            <w:tcW w:w="2560" w:type="dxa"/>
            <w:vAlign w:val="bottom"/>
          </w:tcPr>
          <w:p>
            <w:pPr>
              <w:spacing w:after="0"/>
              <w:rPr>
                <w:sz w:val="23"/>
                <w:szCs w:val="23"/>
                <w:color w:val="auto"/>
              </w:rPr>
            </w:pPr>
          </w:p>
        </w:tc>
        <w:tc>
          <w:tcPr>
            <w:tcW w:w="3840" w:type="dxa"/>
            <w:vAlign w:val="bottom"/>
          </w:tcPr>
          <w:p>
            <w:pPr>
              <w:jc w:val="center"/>
              <w:ind w:left="1759"/>
              <w:spacing w:after="0"/>
              <w:rPr>
                <w:sz w:val="20"/>
                <w:szCs w:val="20"/>
                <w:color w:val="auto"/>
              </w:rPr>
            </w:pPr>
            <w:r>
              <w:rPr>
                <w:rFonts w:ascii="Arial" w:cs="Arial" w:eastAsia="Arial" w:hAnsi="Arial"/>
                <w:sz w:val="12"/>
                <w:szCs w:val="12"/>
                <w:color w:val="auto"/>
                <w:w w:val="95"/>
              </w:rPr>
              <w:t>Accelerated filer</w:t>
            </w:r>
          </w:p>
        </w:tc>
        <w:tc>
          <w:tcPr>
            <w:tcW w:w="460" w:type="dxa"/>
            <w:vAlign w:val="bottom"/>
          </w:tcPr>
          <w:p>
            <w:pPr>
              <w:spacing w:after="0"/>
              <w:rPr>
                <w:sz w:val="23"/>
                <w:szCs w:val="23"/>
                <w:color w:val="auto"/>
              </w:rPr>
            </w:pPr>
          </w:p>
        </w:tc>
      </w:tr>
      <w:tr>
        <w:trPr>
          <w:trHeight w:val="199"/>
        </w:trPr>
        <w:tc>
          <w:tcPr>
            <w:tcW w:w="1800" w:type="dxa"/>
            <w:vAlign w:val="bottom"/>
          </w:tcPr>
          <w:p>
            <w:pPr>
              <w:jc w:val="center"/>
              <w:ind w:right="229"/>
              <w:spacing w:after="0"/>
              <w:rPr>
                <w:sz w:val="20"/>
                <w:szCs w:val="20"/>
                <w:color w:val="auto"/>
              </w:rPr>
            </w:pPr>
            <w:r>
              <w:rPr>
                <w:rFonts w:ascii="Arial" w:cs="Arial" w:eastAsia="Arial" w:hAnsi="Arial"/>
                <w:sz w:val="12"/>
                <w:szCs w:val="12"/>
                <w:color w:val="auto"/>
                <w:w w:val="93"/>
              </w:rPr>
              <w:t>Non-accelerated filer</w:t>
            </w:r>
          </w:p>
        </w:tc>
        <w:tc>
          <w:tcPr>
            <w:tcW w:w="256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jc w:val="center"/>
              <w:ind w:left="1759"/>
              <w:spacing w:after="0"/>
              <w:rPr>
                <w:sz w:val="20"/>
                <w:szCs w:val="20"/>
                <w:color w:val="auto"/>
              </w:rPr>
            </w:pPr>
            <w:r>
              <w:rPr>
                <w:rFonts w:ascii="Arial" w:cs="Arial" w:eastAsia="Arial" w:hAnsi="Arial"/>
                <w:sz w:val="12"/>
                <w:szCs w:val="12"/>
                <w:color w:val="auto"/>
                <w:w w:val="93"/>
              </w:rPr>
              <w:t>Smaller reporting company</w:t>
            </w: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7"/>
        </w:trPr>
        <w:tc>
          <w:tcPr>
            <w:tcW w:w="1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40" w:type="dxa"/>
            <w:vAlign w:val="bottom"/>
          </w:tcPr>
          <w:p>
            <w:pPr>
              <w:jc w:val="center"/>
              <w:ind w:left="1759"/>
              <w:spacing w:after="0"/>
              <w:rPr>
                <w:sz w:val="20"/>
                <w:szCs w:val="20"/>
                <w:color w:val="auto"/>
              </w:rPr>
            </w:pPr>
            <w:r>
              <w:rPr>
                <w:rFonts w:ascii="Arial" w:cs="Arial" w:eastAsia="Arial" w:hAnsi="Arial"/>
                <w:sz w:val="12"/>
                <w:szCs w:val="12"/>
                <w:color w:val="auto"/>
                <w:w w:val="93"/>
              </w:rPr>
              <w:t>Emerging growth company</w:t>
            </w: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46" w:lineRule="exact"/>
        <w:rPr>
          <w:sz w:val="24"/>
          <w:szCs w:val="24"/>
          <w:color w:val="auto"/>
        </w:rPr>
      </w:pPr>
    </w:p>
    <w:p>
      <w:pPr>
        <w:ind w:right="180" w:firstLine="395"/>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8" w:lineRule="exact"/>
        <w:rPr>
          <w:sz w:val="24"/>
          <w:szCs w:val="24"/>
          <w:color w:val="auto"/>
        </w:rPr>
      </w:pPr>
    </w:p>
    <w:p>
      <w:pPr>
        <w:ind w:right="100" w:firstLine="395"/>
        <w:spacing w:after="0" w:line="174"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1" w:lineRule="exact"/>
        <w:rPr>
          <w:sz w:val="24"/>
          <w:szCs w:val="24"/>
          <w:color w:val="auto"/>
        </w:rPr>
      </w:pPr>
    </w:p>
    <w:p>
      <w:pPr>
        <w:ind w:left="400"/>
        <w:spacing w:after="0" w:line="127" w:lineRule="exact"/>
        <w:tabs>
          <w:tab w:leader="none" w:pos="590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93" w:lineRule="exact"/>
        <w:rPr>
          <w:sz w:val="24"/>
          <w:szCs w:val="24"/>
          <w:color w:val="auto"/>
        </w:rPr>
      </w:pPr>
    </w:p>
    <w:p>
      <w:pPr>
        <w:ind w:right="760" w:firstLine="395"/>
        <w:spacing w:after="0" w:line="282" w:lineRule="auto"/>
        <w:rPr>
          <w:sz w:val="20"/>
          <w:szCs w:val="20"/>
          <w:color w:val="auto"/>
        </w:rPr>
      </w:pPr>
      <w:r>
        <w:rPr>
          <w:rFonts w:ascii="Arial" w:cs="Arial" w:eastAsia="Arial" w:hAnsi="Arial"/>
          <w:sz w:val="12"/>
          <w:szCs w:val="12"/>
          <w:color w:val="auto"/>
        </w:rPr>
        <w:t>As of June 30, 2021, the last business day of the registrant’s most recently completed second fiscal quarter, the aggregate market value of its voting and non-voting common stock held by non-affiliates was $2,303,919,923, based on the last reported sale price of the registrant’s common stock on that date.</w:t>
      </w:r>
    </w:p>
    <w:p>
      <w:pPr>
        <w:spacing w:after="0" w:line="18" w:lineRule="exact"/>
        <w:rPr>
          <w:sz w:val="24"/>
          <w:szCs w:val="24"/>
          <w:color w:val="auto"/>
        </w:rPr>
      </w:pPr>
    </w:p>
    <w:p>
      <w:pPr>
        <w:ind w:left="400"/>
        <w:spacing w:after="0"/>
        <w:rPr>
          <w:sz w:val="20"/>
          <w:szCs w:val="20"/>
          <w:color w:val="auto"/>
        </w:rPr>
      </w:pPr>
      <w:r>
        <w:rPr>
          <w:rFonts w:ascii="Arial" w:cs="Arial" w:eastAsia="Arial" w:hAnsi="Arial"/>
          <w:sz w:val="12"/>
          <w:szCs w:val="12"/>
          <w:color w:val="auto"/>
        </w:rPr>
        <w:t>On February 4, 2022, 36,357,198 shares of the registrant’s common stock were outstanding.</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12"/>
          <w:szCs w:val="12"/>
          <w:color w:val="auto"/>
        </w:rPr>
        <w:t>____________________________________________________________________________</w:t>
      </w:r>
    </w:p>
    <w:p>
      <w:pPr>
        <w:spacing w:after="0" w:line="55" w:lineRule="exact"/>
        <w:rPr>
          <w:sz w:val="24"/>
          <w:szCs w:val="24"/>
          <w:color w:val="auto"/>
        </w:rPr>
      </w:pPr>
    </w:p>
    <w:p>
      <w:pPr>
        <w:jc w:val="center"/>
        <w:ind w:left="380"/>
        <w:spacing w:after="0"/>
        <w:rPr>
          <w:sz w:val="20"/>
          <w:szCs w:val="20"/>
          <w:color w:val="auto"/>
        </w:rPr>
      </w:pPr>
      <w:r>
        <w:rPr>
          <w:rFonts w:ascii="Arial" w:cs="Arial" w:eastAsia="Arial" w:hAnsi="Arial"/>
          <w:sz w:val="12"/>
          <w:szCs w:val="12"/>
          <w:b w:val="1"/>
          <w:bCs w:val="1"/>
          <w:color w:val="auto"/>
        </w:rPr>
        <w:t>DOCUMENTS INCORPORATED BY REFERENCE</w:t>
      </w:r>
    </w:p>
    <w:p>
      <w:pPr>
        <w:spacing w:after="0" w:line="63" w:lineRule="exact"/>
        <w:rPr>
          <w:sz w:val="24"/>
          <w:szCs w:val="24"/>
          <w:color w:val="auto"/>
        </w:rPr>
      </w:pPr>
    </w:p>
    <w:p>
      <w:pPr>
        <w:ind w:right="40" w:firstLine="395"/>
        <w:spacing w:after="0" w:line="266" w:lineRule="auto"/>
        <w:rPr>
          <w:sz w:val="20"/>
          <w:szCs w:val="20"/>
          <w:color w:val="auto"/>
        </w:rPr>
      </w:pPr>
      <w:r>
        <w:rPr>
          <w:rFonts w:ascii="Arial" w:cs="Arial" w:eastAsia="Arial" w:hAnsi="Arial"/>
          <w:sz w:val="12"/>
          <w:szCs w:val="12"/>
          <w:color w:val="auto"/>
        </w:rPr>
        <w:t>The information required by Part III of this Annual Report on Form 10-K, to the extent not set forth herein, is incorporated herein by reference from the registrant’s definitive proxy statement relating to the Annual Meeting of Stockholders to be held in 2022, which definitive proxy statement shall be filed with the Securities and Exchange Commission within 120 days after the end of the fiscal year to which this Annual Report on Form 10-K relates.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849630</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ind w:left="38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15"/>
          </w:tcPr>
          <w:p>
            <w:pPr>
              <w:jc w:val="center"/>
              <w:ind w:right="4180"/>
              <w:spacing w:after="0"/>
              <w:rPr>
                <w:sz w:val="20"/>
                <w:szCs w:val="20"/>
                <w:color w:val="auto"/>
              </w:rPr>
            </w:pPr>
            <w:r>
              <w:rPr>
                <w:rFonts w:ascii="Arial" w:cs="Arial" w:eastAsia="Arial" w:hAnsi="Arial"/>
                <w:sz w:val="18"/>
                <w:szCs w:val="18"/>
                <w:b w:val="1"/>
                <w:bCs w:val="1"/>
                <w:color w:val="auto"/>
                <w:w w:val="94"/>
              </w:rPr>
              <w:t>Form 10-K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540" w:type="dxa"/>
            <w:vAlign w:val="bottom"/>
            <w:gridSpan w:val="18"/>
          </w:tcPr>
          <w:p>
            <w:pPr>
              <w:jc w:val="center"/>
              <w:ind w:right="3080"/>
              <w:spacing w:after="0"/>
              <w:rPr>
                <w:sz w:val="20"/>
                <w:szCs w:val="20"/>
                <w:color w:val="auto"/>
              </w:rPr>
            </w:pPr>
            <w:r>
              <w:rPr>
                <w:rFonts w:ascii="Arial" w:cs="Arial" w:eastAsia="Arial" w:hAnsi="Arial"/>
                <w:sz w:val="18"/>
                <w:szCs w:val="18"/>
                <w:b w:val="1"/>
                <w:bCs w:val="1"/>
                <w:color w:val="auto"/>
                <w:w w:val="88"/>
              </w:rPr>
              <w:t>For the Fiscal Year Ended December 31, 2021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16"/>
          </w:tcPr>
          <w:p>
            <w:pPr>
              <w:jc w:val="center"/>
              <w:ind w:right="3520"/>
              <w:spacing w:after="0"/>
              <w:rPr>
                <w:sz w:val="20"/>
                <w:szCs w:val="20"/>
                <w:color w:val="auto"/>
              </w:rPr>
            </w:pPr>
            <w:r>
              <w:rPr>
                <w:rFonts w:ascii="Arial" w:cs="Arial" w:eastAsia="Arial" w:hAnsi="Arial"/>
                <w:sz w:val="18"/>
                <w:szCs w:val="18"/>
                <w:b w:val="1"/>
                <w:bCs w:val="1"/>
                <w:color w:val="auto"/>
                <w:w w:val="96"/>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r>
      <w:tr>
        <w:trPr>
          <w:trHeight w:val="158"/>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11"/>
          </w:tcPr>
          <w:p>
            <w:pPr>
              <w:jc w:val="center"/>
              <w:ind w:right="4580"/>
              <w:spacing w:after="0" w:line="158" w:lineRule="exact"/>
              <w:rPr>
                <w:rFonts w:ascii="Arial" w:cs="Arial" w:eastAsia="Arial" w:hAnsi="Arial"/>
                <w:sz w:val="16"/>
                <w:szCs w:val="16"/>
                <w:b w:val="1"/>
                <w:bCs w:val="1"/>
                <w:color w:val="0000FF"/>
                <w:w w:val="99"/>
              </w:rPr>
            </w:pPr>
            <w:hyperlink w:anchor="page2">
              <w:r>
                <w:rPr>
                  <w:rFonts w:ascii="Arial" w:cs="Arial" w:eastAsia="Arial" w:hAnsi="Arial"/>
                  <w:sz w:val="16"/>
                  <w:szCs w:val="16"/>
                  <w:b w:val="1"/>
                  <w:bCs w:val="1"/>
                  <w:color w:val="0000FF"/>
                  <w:w w:val="99"/>
                </w:rPr>
                <w:t>Part I</w:t>
              </w:r>
            </w:hyperlink>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100" w:type="dxa"/>
            <w:vAlign w:val="bottom"/>
          </w:tcPr>
          <w:p>
            <w:pPr>
              <w:spacing w:after="0"/>
              <w:rPr>
                <w:sz w:val="16"/>
                <w:szCs w:val="16"/>
                <w:color w:val="auto"/>
              </w:rPr>
            </w:pPr>
          </w:p>
        </w:tc>
        <w:tc>
          <w:tcPr>
            <w:tcW w:w="4840" w:type="dxa"/>
            <w:vAlign w:val="bottom"/>
            <w:gridSpan w:val="19"/>
          </w:tcPr>
          <w:p>
            <w:pPr>
              <w:ind w:left="820"/>
              <w:spacing w:after="0"/>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400" w:type="dxa"/>
            <w:vAlign w:val="bottom"/>
            <w:tcBorders>
              <w:top w:val="single" w:sz="8" w:color="0000FF"/>
            </w:tcBorders>
          </w:tcPr>
          <w:p>
            <w:pPr>
              <w:spacing w:after="0"/>
              <w:rPr>
                <w:sz w:val="16"/>
                <w:szCs w:val="16"/>
                <w:color w:val="auto"/>
              </w:rPr>
            </w:pPr>
          </w:p>
        </w:tc>
        <w:tc>
          <w:tcPr>
            <w:tcW w:w="4620" w:type="dxa"/>
            <w:vAlign w:val="bottom"/>
            <w:gridSpan w:val="9"/>
          </w:tcPr>
          <w:p>
            <w:pPr>
              <w:spacing w:after="0"/>
              <w:rPr>
                <w:sz w:val="16"/>
                <w:szCs w:val="16"/>
                <w:color w:val="auto"/>
              </w:rPr>
            </w:pPr>
          </w:p>
        </w:tc>
        <w:tc>
          <w:tcPr>
            <w:tcW w:w="78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0"/>
              </w:rPr>
            </w:pPr>
            <w:hyperlink w:anchor="page14">
              <w:r>
                <w:rPr>
                  <w:rFonts w:ascii="Arial" w:cs="Arial" w:eastAsia="Arial" w:hAnsi="Arial"/>
                  <w:sz w:val="16"/>
                  <w:szCs w:val="16"/>
                  <w:color w:val="0000FF"/>
                  <w:w w:val="90"/>
                </w:rPr>
                <w:t>Item 1A.</w:t>
              </w:r>
            </w:hyperlink>
          </w:p>
        </w:tc>
        <w:tc>
          <w:tcPr>
            <w:tcW w:w="9860" w:type="dxa"/>
            <w:vAlign w:val="bottom"/>
            <w:gridSpan w:val="29"/>
          </w:tcPr>
          <w:p>
            <w:pPr>
              <w:ind w:left="820"/>
              <w:spacing w:after="0"/>
              <w:rPr>
                <w:rFonts w:ascii="Arial" w:cs="Arial" w:eastAsia="Arial" w:hAnsi="Arial"/>
                <w:sz w:val="16"/>
                <w:szCs w:val="16"/>
                <w:color w:val="0000FF"/>
              </w:rPr>
            </w:pPr>
            <w:hyperlink w:anchor="page14">
              <w:r>
                <w:rPr>
                  <w:rFonts w:ascii="Arial" w:cs="Arial" w:eastAsia="Arial" w:hAnsi="Arial"/>
                  <w:sz w:val="16"/>
                  <w:szCs w:val="16"/>
                  <w:color w:val="0000FF"/>
                </w:rPr>
                <w:t>Risk Factors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14">
              <w:r>
                <w:rPr>
                  <w:rFonts w:ascii="Arial" w:cs="Arial" w:eastAsia="Arial" w:hAnsi="Arial"/>
                  <w:sz w:val="16"/>
                  <w:szCs w:val="16"/>
                  <w:color w:val="0000FF"/>
                </w:rPr>
                <w:t>15</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Item 1B.</w:t>
              </w:r>
            </w:hyperlink>
          </w:p>
        </w:tc>
        <w:tc>
          <w:tcPr>
            <w:tcW w:w="9860" w:type="dxa"/>
            <w:vAlign w:val="bottom"/>
            <w:gridSpan w:val="29"/>
          </w:tcPr>
          <w:p>
            <w:pPr>
              <w:ind w:left="820"/>
              <w:spacing w:after="0"/>
              <w:rPr>
                <w:rFonts w:ascii="Arial" w:cs="Arial" w:eastAsia="Arial" w:hAnsi="Arial"/>
                <w:sz w:val="16"/>
                <w:szCs w:val="16"/>
                <w:color w:val="0000FF"/>
              </w:rPr>
            </w:pPr>
            <w:hyperlink w:anchor="page39">
              <w:r>
                <w:rPr>
                  <w:rFonts w:ascii="Arial" w:cs="Arial" w:eastAsia="Arial" w:hAnsi="Arial"/>
                  <w:sz w:val="16"/>
                  <w:szCs w:val="16"/>
                  <w:color w:val="0000FF"/>
                </w:rPr>
                <w:t>Unresolved Staff Comments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2.</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39">
              <w:r>
                <w:rPr>
                  <w:rFonts w:ascii="Arial" w:cs="Arial" w:eastAsia="Arial" w:hAnsi="Arial"/>
                  <w:sz w:val="16"/>
                  <w:szCs w:val="16"/>
                  <w:color w:val="0000FF"/>
                </w:rPr>
                <w:t>Properties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40">
              <w:r>
                <w:rPr>
                  <w:rFonts w:ascii="Arial" w:cs="Arial" w:eastAsia="Arial" w:hAnsi="Arial"/>
                  <w:sz w:val="16"/>
                  <w:szCs w:val="16"/>
                  <w:color w:val="0000FF"/>
                  <w:w w:val="85"/>
                </w:rPr>
                <w:t>Item 3.</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40">
              <w:r>
                <w:rPr>
                  <w:rFonts w:ascii="Arial" w:cs="Arial" w:eastAsia="Arial" w:hAnsi="Arial"/>
                  <w:sz w:val="16"/>
                  <w:szCs w:val="16"/>
                  <w:color w:val="0000FF"/>
                  <w:w w:val="85"/>
                </w:rPr>
                <w:t>Item 4.</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40">
              <w:r>
                <w:rPr>
                  <w:rFonts w:ascii="Arial" w:cs="Arial" w:eastAsia="Arial" w:hAnsi="Arial"/>
                  <w:sz w:val="16"/>
                  <w:szCs w:val="16"/>
                  <w:color w:val="0000FF"/>
                </w:rPr>
                <w:t>Mine Safety Disclosures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191"/>
        </w:trPr>
        <w:tc>
          <w:tcPr>
            <w:tcW w:w="4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11"/>
          </w:tcPr>
          <w:p>
            <w:pPr>
              <w:jc w:val="center"/>
              <w:ind w:right="4600"/>
              <w:spacing w:after="0"/>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Part II</w:t>
              </w:r>
            </w:hyperlink>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5.</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41">
              <w:r>
                <w:rPr>
                  <w:rFonts w:ascii="Arial" w:cs="Arial" w:eastAsia="Arial" w:hAnsi="Arial"/>
                  <w:sz w:val="16"/>
                  <w:szCs w:val="16"/>
                  <w:color w:val="0000FF"/>
                </w:rPr>
                <w:t>Market for Registrant’s Common Equity, Related Stockholder Matters and Issuer Purchases of Equity Securities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Arial" w:cs="Arial" w:eastAsia="Arial" w:hAnsi="Arial"/>
                <w:sz w:val="16"/>
                <w:szCs w:val="16"/>
                <w:color w:val="0000FF"/>
                <w:w w:val="85"/>
              </w:rPr>
              <w:t>Item 6.</w:t>
            </w:r>
          </w:p>
        </w:tc>
        <w:tc>
          <w:tcPr>
            <w:tcW w:w="100" w:type="dxa"/>
            <w:vAlign w:val="bottom"/>
          </w:tcPr>
          <w:p>
            <w:pPr>
              <w:spacing w:after="0"/>
              <w:rPr>
                <w:sz w:val="16"/>
                <w:szCs w:val="16"/>
                <w:color w:val="auto"/>
              </w:rPr>
            </w:pPr>
          </w:p>
        </w:tc>
        <w:tc>
          <w:tcPr>
            <w:tcW w:w="9860" w:type="dxa"/>
            <w:vAlign w:val="bottom"/>
            <w:gridSpan w:val="29"/>
          </w:tcPr>
          <w:p>
            <w:pPr>
              <w:ind w:left="820"/>
              <w:spacing w:after="0"/>
              <w:rPr>
                <w:sz w:val="20"/>
                <w:szCs w:val="20"/>
                <w:color w:val="auto"/>
              </w:rPr>
            </w:pPr>
            <w:r>
              <w:rPr>
                <w:rFonts w:ascii="Arial" w:cs="Arial" w:eastAsia="Arial" w:hAnsi="Arial"/>
                <w:sz w:val="16"/>
                <w:szCs w:val="16"/>
                <w:color w:val="0000FF"/>
              </w:rPr>
              <w:t>Selected Financial Data</w:t>
            </w:r>
          </w:p>
        </w:tc>
        <w:tc>
          <w:tcPr>
            <w:tcW w:w="78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42">
              <w:r>
                <w:rPr>
                  <w:rFonts w:ascii="Arial" w:cs="Arial" w:eastAsia="Arial" w:hAnsi="Arial"/>
                  <w:sz w:val="16"/>
                  <w:szCs w:val="16"/>
                  <w:color w:val="0000FF"/>
                  <w:w w:val="85"/>
                </w:rPr>
                <w:t>Item 7.</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42">
              <w:r>
                <w:rPr>
                  <w:rFonts w:ascii="Arial" w:cs="Arial" w:eastAsia="Arial" w:hAnsi="Arial"/>
                  <w:sz w:val="16"/>
                  <w:szCs w:val="16"/>
                  <w:color w:val="0000FF"/>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43</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0"/>
              </w:rPr>
            </w:pPr>
            <w:hyperlink w:anchor="page60">
              <w:r>
                <w:rPr>
                  <w:rFonts w:ascii="Arial" w:cs="Arial" w:eastAsia="Arial" w:hAnsi="Arial"/>
                  <w:sz w:val="16"/>
                  <w:szCs w:val="16"/>
                  <w:color w:val="0000FF"/>
                  <w:w w:val="90"/>
                </w:rPr>
                <w:t>Item 7A.</w:t>
              </w:r>
            </w:hyperlink>
          </w:p>
        </w:tc>
        <w:tc>
          <w:tcPr>
            <w:tcW w:w="9860" w:type="dxa"/>
            <w:vAlign w:val="bottom"/>
            <w:gridSpan w:val="29"/>
          </w:tcPr>
          <w:p>
            <w:pPr>
              <w:ind w:left="820"/>
              <w:spacing w:after="0"/>
              <w:rPr>
                <w:rFonts w:ascii="Arial" w:cs="Arial" w:eastAsia="Arial" w:hAnsi="Arial"/>
                <w:sz w:val="16"/>
                <w:szCs w:val="16"/>
                <w:color w:val="0000FF"/>
              </w:rPr>
            </w:pPr>
            <w:hyperlink w:anchor="page60">
              <w:r>
                <w:rPr>
                  <w:rFonts w:ascii="Arial" w:cs="Arial" w:eastAsia="Arial" w:hAnsi="Arial"/>
                  <w:sz w:val="16"/>
                  <w:szCs w:val="16"/>
                  <w:color w:val="0000FF"/>
                </w:rPr>
                <w:t>Quantitative and Qualitative Disclosures About Market Risk</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60">
              <w:r>
                <w:rPr>
                  <w:rFonts w:ascii="Arial" w:cs="Arial" w:eastAsia="Arial" w:hAnsi="Arial"/>
                  <w:sz w:val="16"/>
                  <w:szCs w:val="16"/>
                  <w:color w:val="0000FF"/>
                  <w:w w:val="85"/>
                </w:rPr>
                <w:t>Item 8.</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60">
              <w:r>
                <w:rPr>
                  <w:rFonts w:ascii="Arial" w:cs="Arial" w:eastAsia="Arial" w:hAnsi="Arial"/>
                  <w:sz w:val="16"/>
                  <w:szCs w:val="16"/>
                  <w:color w:val="0000FF"/>
                </w:rPr>
                <w:t>Financial Statements and Supplementary Data</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61</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460" w:type="dxa"/>
            <w:vAlign w:val="bottom"/>
          </w:tcPr>
          <w:p>
            <w:pPr>
              <w:spacing w:after="0"/>
              <w:rPr>
                <w:rFonts w:ascii="Arial" w:cs="Arial" w:eastAsia="Arial" w:hAnsi="Arial"/>
                <w:sz w:val="16"/>
                <w:szCs w:val="16"/>
                <w:color w:val="0000FF"/>
                <w:w w:val="85"/>
              </w:rPr>
            </w:pPr>
            <w:hyperlink w:anchor="page61">
              <w:r>
                <w:rPr>
                  <w:rFonts w:ascii="Arial" w:cs="Arial" w:eastAsia="Arial" w:hAnsi="Arial"/>
                  <w:sz w:val="16"/>
                  <w:szCs w:val="16"/>
                  <w:color w:val="0000FF"/>
                  <w:w w:val="85"/>
                </w:rPr>
                <w:t>Item 9.</w:t>
              </w:r>
            </w:hyperlink>
          </w:p>
        </w:tc>
        <w:tc>
          <w:tcPr>
            <w:tcW w:w="100" w:type="dxa"/>
            <w:vAlign w:val="bottom"/>
          </w:tcPr>
          <w:p>
            <w:pPr>
              <w:spacing w:after="0"/>
              <w:rPr>
                <w:sz w:val="16"/>
                <w:szCs w:val="16"/>
                <w:color w:val="auto"/>
              </w:rPr>
            </w:pPr>
          </w:p>
        </w:tc>
        <w:tc>
          <w:tcPr>
            <w:tcW w:w="9860" w:type="dxa"/>
            <w:vAlign w:val="bottom"/>
            <w:gridSpan w:val="29"/>
          </w:tcPr>
          <w:p>
            <w:pPr>
              <w:ind w:left="820"/>
              <w:spacing w:after="0"/>
              <w:rPr>
                <w:rFonts w:ascii="Arial" w:cs="Arial" w:eastAsia="Arial" w:hAnsi="Arial"/>
                <w:sz w:val="16"/>
                <w:szCs w:val="16"/>
                <w:color w:val="0000FF"/>
              </w:rPr>
            </w:pPr>
            <w:hyperlink w:anchor="page61">
              <w:r>
                <w:rPr>
                  <w:rFonts w:ascii="Arial" w:cs="Arial" w:eastAsia="Arial" w:hAnsi="Arial"/>
                  <w:sz w:val="16"/>
                  <w:szCs w:val="16"/>
                  <w:color w:val="0000FF"/>
                </w:rPr>
                <w:t>Changes in and Disagreements With Accountants on Accounting and Financial Disclosure</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0"/>
              </w:rPr>
            </w:pPr>
            <w:hyperlink w:anchor="page62">
              <w:r>
                <w:rPr>
                  <w:rFonts w:ascii="Arial" w:cs="Arial" w:eastAsia="Arial" w:hAnsi="Arial"/>
                  <w:sz w:val="16"/>
                  <w:szCs w:val="16"/>
                  <w:color w:val="0000FF"/>
                  <w:w w:val="90"/>
                </w:rPr>
                <w:t>Item 9A.</w:t>
              </w:r>
            </w:hyperlink>
          </w:p>
        </w:tc>
        <w:tc>
          <w:tcPr>
            <w:tcW w:w="9860" w:type="dxa"/>
            <w:vAlign w:val="bottom"/>
            <w:gridSpan w:val="29"/>
          </w:tcPr>
          <w:p>
            <w:pPr>
              <w:ind w:left="820"/>
              <w:spacing w:after="0"/>
              <w:rPr>
                <w:rFonts w:ascii="Arial" w:cs="Arial" w:eastAsia="Arial" w:hAnsi="Arial"/>
                <w:sz w:val="16"/>
                <w:szCs w:val="16"/>
                <w:color w:val="0000FF"/>
              </w:rPr>
            </w:pPr>
            <w:hyperlink w:anchor="page62">
              <w:r>
                <w:rPr>
                  <w:rFonts w:ascii="Arial" w:cs="Arial" w:eastAsia="Arial" w:hAnsi="Arial"/>
                  <w:sz w:val="16"/>
                  <w:szCs w:val="16"/>
                  <w:color w:val="0000FF"/>
                </w:rPr>
                <w:t>Controls and Procedures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0"/>
              </w:rPr>
            </w:pPr>
            <w:hyperlink w:anchor="page63">
              <w:r>
                <w:rPr>
                  <w:rFonts w:ascii="Arial" w:cs="Arial" w:eastAsia="Arial" w:hAnsi="Arial"/>
                  <w:sz w:val="16"/>
                  <w:szCs w:val="16"/>
                  <w:color w:val="0000FF"/>
                  <w:w w:val="90"/>
                </w:rPr>
                <w:t>Item 9B.</w:t>
              </w:r>
            </w:hyperlink>
          </w:p>
        </w:tc>
        <w:tc>
          <w:tcPr>
            <w:tcW w:w="9860" w:type="dxa"/>
            <w:vAlign w:val="bottom"/>
            <w:gridSpan w:val="29"/>
          </w:tcPr>
          <w:p>
            <w:pPr>
              <w:ind w:left="820"/>
              <w:spacing w:after="0"/>
              <w:rPr>
                <w:rFonts w:ascii="Arial" w:cs="Arial" w:eastAsia="Arial" w:hAnsi="Arial"/>
                <w:sz w:val="16"/>
                <w:szCs w:val="16"/>
                <w:color w:val="0000FF"/>
              </w:rPr>
            </w:pPr>
            <w:hyperlink w:anchor="page63">
              <w:r>
                <w:rPr>
                  <w:rFonts w:ascii="Arial" w:cs="Arial" w:eastAsia="Arial" w:hAnsi="Arial"/>
                  <w:sz w:val="16"/>
                  <w:szCs w:val="16"/>
                  <w:color w:val="0000FF"/>
                </w:rPr>
                <w:t>Other Information</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r>
      <w:tr>
        <w:trPr>
          <w:trHeight w:val="191"/>
        </w:trPr>
        <w:tc>
          <w:tcPr>
            <w:tcW w:w="4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0000FF"/>
            </w:tcBorders>
            <w:gridSpan w:val="7"/>
          </w:tcPr>
          <w:p>
            <w:pPr>
              <w:jc w:val="center"/>
              <w:spacing w:after="0"/>
              <w:rPr>
                <w:rFonts w:ascii="Arial" w:cs="Arial" w:eastAsia="Arial" w:hAnsi="Arial"/>
                <w:sz w:val="16"/>
                <w:szCs w:val="16"/>
                <w:b w:val="1"/>
                <w:bCs w:val="1"/>
                <w:color w:val="0000FF"/>
              </w:rPr>
            </w:pPr>
            <w:hyperlink w:anchor="page63">
              <w:r>
                <w:rPr>
                  <w:rFonts w:ascii="Arial" w:cs="Arial" w:eastAsia="Arial" w:hAnsi="Arial"/>
                  <w:sz w:val="16"/>
                  <w:szCs w:val="16"/>
                  <w:b w:val="1"/>
                  <w:bCs w:val="1"/>
                  <w:color w:val="0000FF"/>
                </w:rPr>
                <w:t>Part III</w:t>
              </w:r>
            </w:hyperlink>
          </w:p>
        </w:tc>
        <w:tc>
          <w:tcPr>
            <w:tcW w:w="456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4">
              <w:r>
                <w:rPr>
                  <w:rFonts w:ascii="Arial" w:cs="Arial" w:eastAsia="Arial" w:hAnsi="Arial"/>
                  <w:sz w:val="16"/>
                  <w:szCs w:val="16"/>
                  <w:color w:val="0000FF"/>
                  <w:w w:val="93"/>
                </w:rPr>
                <w:t>Item 10.</w:t>
              </w:r>
            </w:hyperlink>
          </w:p>
        </w:tc>
        <w:tc>
          <w:tcPr>
            <w:tcW w:w="9860" w:type="dxa"/>
            <w:vAlign w:val="bottom"/>
            <w:gridSpan w:val="29"/>
          </w:tcPr>
          <w:p>
            <w:pPr>
              <w:ind w:left="820"/>
              <w:spacing w:after="0"/>
              <w:rPr>
                <w:rFonts w:ascii="Arial" w:cs="Arial" w:eastAsia="Arial" w:hAnsi="Arial"/>
                <w:sz w:val="16"/>
                <w:szCs w:val="16"/>
                <w:color w:val="0000FF"/>
              </w:rPr>
            </w:pPr>
            <w:hyperlink w:anchor="page64">
              <w:r>
                <w:rPr>
                  <w:rFonts w:ascii="Arial" w:cs="Arial" w:eastAsia="Arial" w:hAnsi="Arial"/>
                  <w:sz w:val="16"/>
                  <w:szCs w:val="16"/>
                  <w:color w:val="0000FF"/>
                </w:rPr>
                <w:t>Directors, Executive Officers and Corporate Governance</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4">
              <w:r>
                <w:rPr>
                  <w:rFonts w:ascii="Arial" w:cs="Arial" w:eastAsia="Arial" w:hAnsi="Arial"/>
                  <w:sz w:val="16"/>
                  <w:szCs w:val="16"/>
                  <w:color w:val="0000FF"/>
                  <w:w w:val="93"/>
                </w:rPr>
                <w:t>Item 11.</w:t>
              </w:r>
            </w:hyperlink>
          </w:p>
        </w:tc>
        <w:tc>
          <w:tcPr>
            <w:tcW w:w="9860" w:type="dxa"/>
            <w:vAlign w:val="bottom"/>
            <w:gridSpan w:val="29"/>
          </w:tcPr>
          <w:p>
            <w:pPr>
              <w:ind w:left="820"/>
              <w:spacing w:after="0"/>
              <w:rPr>
                <w:rFonts w:ascii="Arial" w:cs="Arial" w:eastAsia="Arial" w:hAnsi="Arial"/>
                <w:sz w:val="16"/>
                <w:szCs w:val="16"/>
                <w:color w:val="0000FF"/>
              </w:rPr>
            </w:pPr>
            <w:hyperlink w:anchor="page64">
              <w:r>
                <w:rPr>
                  <w:rFonts w:ascii="Arial" w:cs="Arial" w:eastAsia="Arial" w:hAnsi="Arial"/>
                  <w:sz w:val="16"/>
                  <w:szCs w:val="16"/>
                  <w:color w:val="0000FF"/>
                </w:rPr>
                <w:t>Executive Compensation</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4">
              <w:r>
                <w:rPr>
                  <w:rFonts w:ascii="Arial" w:cs="Arial" w:eastAsia="Arial" w:hAnsi="Arial"/>
                  <w:sz w:val="16"/>
                  <w:szCs w:val="16"/>
                  <w:color w:val="0000FF"/>
                  <w:w w:val="93"/>
                </w:rPr>
                <w:t>Item 12.</w:t>
              </w:r>
            </w:hyperlink>
          </w:p>
        </w:tc>
        <w:tc>
          <w:tcPr>
            <w:tcW w:w="9860" w:type="dxa"/>
            <w:vAlign w:val="bottom"/>
            <w:gridSpan w:val="29"/>
          </w:tcPr>
          <w:p>
            <w:pPr>
              <w:ind w:left="820"/>
              <w:spacing w:after="0"/>
              <w:rPr>
                <w:rFonts w:ascii="Arial" w:cs="Arial" w:eastAsia="Arial" w:hAnsi="Arial"/>
                <w:sz w:val="16"/>
                <w:szCs w:val="16"/>
                <w:color w:val="0000FF"/>
              </w:rPr>
            </w:pPr>
            <w:hyperlink w:anchor="page64">
              <w:r>
                <w:rPr>
                  <w:rFonts w:ascii="Arial" w:cs="Arial" w:eastAsia="Arial" w:hAnsi="Arial"/>
                  <w:sz w:val="16"/>
                  <w:szCs w:val="16"/>
                  <w:color w:val="0000FF"/>
                </w:rPr>
                <w:t>Security Ownership of Certain Beneficial Owners and Management and Related Stockholder Matters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4">
              <w:r>
                <w:rPr>
                  <w:rFonts w:ascii="Arial" w:cs="Arial" w:eastAsia="Arial" w:hAnsi="Arial"/>
                  <w:sz w:val="16"/>
                  <w:szCs w:val="16"/>
                  <w:color w:val="0000FF"/>
                  <w:w w:val="93"/>
                </w:rPr>
                <w:t>Item 13.</w:t>
              </w:r>
            </w:hyperlink>
          </w:p>
        </w:tc>
        <w:tc>
          <w:tcPr>
            <w:tcW w:w="9860" w:type="dxa"/>
            <w:vAlign w:val="bottom"/>
            <w:gridSpan w:val="29"/>
          </w:tcPr>
          <w:p>
            <w:pPr>
              <w:ind w:left="820"/>
              <w:spacing w:after="0"/>
              <w:rPr>
                <w:rFonts w:ascii="Arial" w:cs="Arial" w:eastAsia="Arial" w:hAnsi="Arial"/>
                <w:sz w:val="16"/>
                <w:szCs w:val="16"/>
                <w:color w:val="0000FF"/>
              </w:rPr>
            </w:pPr>
            <w:hyperlink w:anchor="page64">
              <w:r>
                <w:rPr>
                  <w:rFonts w:ascii="Arial" w:cs="Arial" w:eastAsia="Arial" w:hAnsi="Arial"/>
                  <w:sz w:val="16"/>
                  <w:szCs w:val="16"/>
                  <w:color w:val="0000FF"/>
                </w:rPr>
                <w:t>Certain Relationships and Related Transactions and Director Independence</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4">
              <w:r>
                <w:rPr>
                  <w:rFonts w:ascii="Arial" w:cs="Arial" w:eastAsia="Arial" w:hAnsi="Arial"/>
                  <w:sz w:val="16"/>
                  <w:szCs w:val="16"/>
                  <w:color w:val="0000FF"/>
                  <w:w w:val="93"/>
                </w:rPr>
                <w:t>Item 14.</w:t>
              </w:r>
            </w:hyperlink>
          </w:p>
        </w:tc>
        <w:tc>
          <w:tcPr>
            <w:tcW w:w="9860" w:type="dxa"/>
            <w:vAlign w:val="bottom"/>
            <w:gridSpan w:val="29"/>
          </w:tcPr>
          <w:p>
            <w:pPr>
              <w:ind w:left="820"/>
              <w:spacing w:after="0"/>
              <w:rPr>
                <w:rFonts w:ascii="Arial" w:cs="Arial" w:eastAsia="Arial" w:hAnsi="Arial"/>
                <w:sz w:val="16"/>
                <w:szCs w:val="16"/>
                <w:color w:val="0000FF"/>
              </w:rPr>
            </w:pPr>
            <w:hyperlink w:anchor="page64">
              <w:r>
                <w:rPr>
                  <w:rFonts w:ascii="Arial" w:cs="Arial" w:eastAsia="Arial" w:hAnsi="Arial"/>
                  <w:sz w:val="16"/>
                  <w:szCs w:val="16"/>
                  <w:color w:val="0000FF"/>
                </w:rPr>
                <w:t>Principal Accounting Fees and Services</w:t>
              </w:r>
            </w:hyperlink>
          </w:p>
        </w:tc>
        <w:tc>
          <w:tcPr>
            <w:tcW w:w="78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191"/>
        </w:trPr>
        <w:tc>
          <w:tcPr>
            <w:tcW w:w="4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gridSpan w:val="13"/>
          </w:tcPr>
          <w:p>
            <w:pPr>
              <w:jc w:val="center"/>
              <w:ind w:right="4560"/>
              <w:spacing w:after="0"/>
              <w:rPr>
                <w:rFonts w:ascii="Arial" w:cs="Arial" w:eastAsia="Arial" w:hAnsi="Arial"/>
                <w:sz w:val="16"/>
                <w:szCs w:val="16"/>
                <w:b w:val="1"/>
                <w:bCs w:val="1"/>
                <w:color w:val="0000FF"/>
                <w:w w:val="98"/>
              </w:rPr>
            </w:pPr>
            <w:hyperlink w:anchor="page64">
              <w:r>
                <w:rPr>
                  <w:rFonts w:ascii="Arial" w:cs="Arial" w:eastAsia="Arial" w:hAnsi="Arial"/>
                  <w:sz w:val="16"/>
                  <w:szCs w:val="16"/>
                  <w:b w:val="1"/>
                  <w:bCs w:val="1"/>
                  <w:color w:val="0000FF"/>
                  <w:w w:val="98"/>
                </w:rPr>
                <w:t>Part IV</w:t>
              </w:r>
            </w:hyperlink>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5">
              <w:r>
                <w:rPr>
                  <w:rFonts w:ascii="Arial" w:cs="Arial" w:eastAsia="Arial" w:hAnsi="Arial"/>
                  <w:sz w:val="16"/>
                  <w:szCs w:val="16"/>
                  <w:color w:val="0000FF"/>
                  <w:w w:val="93"/>
                </w:rPr>
                <w:t>Item 15.</w:t>
              </w:r>
            </w:hyperlink>
          </w:p>
        </w:tc>
        <w:tc>
          <w:tcPr>
            <w:tcW w:w="4780" w:type="dxa"/>
            <w:vAlign w:val="bottom"/>
            <w:gridSpan w:val="17"/>
          </w:tcPr>
          <w:p>
            <w:pPr>
              <w:ind w:left="820"/>
              <w:spacing w:after="0"/>
              <w:rPr>
                <w:rFonts w:ascii="Arial" w:cs="Arial" w:eastAsia="Arial" w:hAnsi="Arial"/>
                <w:sz w:val="16"/>
                <w:szCs w:val="16"/>
                <w:color w:val="0000FF"/>
              </w:rPr>
            </w:pPr>
            <w:hyperlink w:anchor="page65">
              <w:r>
                <w:rPr>
                  <w:rFonts w:ascii="Arial" w:cs="Arial" w:eastAsia="Arial" w:hAnsi="Arial"/>
                  <w:sz w:val="16"/>
                  <w:szCs w:val="16"/>
                  <w:color w:val="0000FF"/>
                </w:rPr>
                <w:t>Exhibits, Financial Statement Schedules</w:t>
              </w:r>
            </w:hyperlink>
          </w:p>
        </w:tc>
        <w:tc>
          <w:tcPr>
            <w:tcW w:w="500" w:type="dxa"/>
            <w:vAlign w:val="bottom"/>
            <w:tcBorders>
              <w:top w:val="single" w:sz="8" w:color="0000FF"/>
            </w:tcBorders>
            <w:gridSpan w:val="5"/>
          </w:tcPr>
          <w:p>
            <w:pPr>
              <w:spacing w:after="0"/>
              <w:rPr>
                <w:sz w:val="16"/>
                <w:szCs w:val="16"/>
                <w:color w:val="auto"/>
              </w:rPr>
            </w:pPr>
          </w:p>
        </w:tc>
        <w:tc>
          <w:tcPr>
            <w:tcW w:w="45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gridSpan w:val="3"/>
          </w:tcPr>
          <w:p>
            <w:pPr>
              <w:spacing w:after="0"/>
              <w:rPr>
                <w:rFonts w:ascii="Arial" w:cs="Arial" w:eastAsia="Arial" w:hAnsi="Arial"/>
                <w:sz w:val="15"/>
                <w:szCs w:val="15"/>
                <w:color w:val="0E32E1"/>
                <w:w w:val="70"/>
              </w:rPr>
            </w:pPr>
            <w:r>
              <w:rPr>
                <w:rFonts w:ascii="Arial" w:cs="Arial" w:eastAsia="Arial" w:hAnsi="Arial"/>
                <w:sz w:val="15"/>
                <w:szCs w:val="15"/>
                <w:color w:val="0E32E1"/>
                <w:w w:val="70"/>
              </w:rPr>
              <w:t>F-</w:t>
            </w:r>
            <w:hyperlink w:anchor="page65">
              <w:r>
                <w:rPr>
                  <w:rFonts w:ascii="Arial" w:cs="Arial" w:eastAsia="Arial" w:hAnsi="Arial"/>
                  <w:sz w:val="15"/>
                  <w:szCs w:val="15"/>
                  <w:color w:val="0E32E1"/>
                  <w:w w:val="70"/>
                </w:rPr>
                <w:t>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6500" w:type="dxa"/>
            <w:vAlign w:val="bottom"/>
            <w:gridSpan w:val="17"/>
          </w:tcPr>
          <w:p>
            <w:pPr>
              <w:spacing w:after="0" w:line="20" w:lineRule="exact"/>
              <w:rPr>
                <w:sz w:val="1"/>
                <w:szCs w:val="1"/>
                <w:color w:val="auto"/>
              </w:rPr>
            </w:pPr>
          </w:p>
        </w:tc>
        <w:tc>
          <w:tcPr>
            <w:tcW w:w="60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rFonts w:ascii="Arial" w:cs="Arial" w:eastAsia="Arial" w:hAnsi="Arial"/>
                <w:sz w:val="16"/>
                <w:szCs w:val="16"/>
                <w:color w:val="0000FF"/>
                <w:w w:val="93"/>
              </w:rPr>
            </w:pPr>
            <w:hyperlink w:anchor="page65">
              <w:r>
                <w:rPr>
                  <w:rFonts w:ascii="Arial" w:cs="Arial" w:eastAsia="Arial" w:hAnsi="Arial"/>
                  <w:sz w:val="16"/>
                  <w:szCs w:val="16"/>
                  <w:color w:val="0000FF"/>
                  <w:w w:val="93"/>
                </w:rPr>
                <w:t>Item 16.</w:t>
              </w:r>
            </w:hyperlink>
          </w:p>
        </w:tc>
        <w:tc>
          <w:tcPr>
            <w:tcW w:w="9860" w:type="dxa"/>
            <w:vAlign w:val="bottom"/>
            <w:gridSpan w:val="29"/>
          </w:tcPr>
          <w:p>
            <w:pPr>
              <w:ind w:left="820"/>
              <w:spacing w:after="0"/>
              <w:rPr>
                <w:rFonts w:ascii="Arial" w:cs="Arial" w:eastAsia="Arial" w:hAnsi="Arial"/>
                <w:sz w:val="16"/>
                <w:szCs w:val="16"/>
                <w:color w:val="0000FF"/>
              </w:rPr>
            </w:pPr>
            <w:hyperlink w:anchor="page65">
              <w:r>
                <w:rPr>
                  <w:rFonts w:ascii="Arial" w:cs="Arial" w:eastAsia="Arial" w:hAnsi="Arial"/>
                  <w:sz w:val="16"/>
                  <w:szCs w:val="16"/>
                  <w:color w:val="0000FF"/>
                </w:rPr>
                <w:t>Form 10-K Summary</w:t>
              </w:r>
            </w:hyperlink>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130810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7" w:right="359" w:bottom="1440" w:gutter="0" w:footer="0" w:header="0"/>
        </w:sectPr>
      </w:pPr>
    </w:p>
    <w:bookmarkStart w:id="2" w:name="page3"/>
    <w:bookmarkEnd w:id="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54" w:lineRule="exact"/>
        <w:rPr>
          <w:sz w:val="20"/>
          <w:szCs w:val="20"/>
          <w:color w:val="auto"/>
        </w:rPr>
      </w:pPr>
    </w:p>
    <w:p>
      <w:pPr>
        <w:ind w:firstLine="746"/>
        <w:spacing w:after="0" w:line="277"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competitive position and the COVID-19 pandemic. You can identify many forward-looking statements by words such as “may,” “will,” “would,” “should,” “could,” “expects,” “aim,” “anticipates,” “believes,” “estimates,” “intends,”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in the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any forward-looking statements. The forward-looking statements contained in this Annual Report on Form 10-K are made only as of the date hereof, and we do not intend, and, except as required by law, we undertake no obligation, to update any of our forward-looking statements contained herein after the date of this report to reflect actual results or future events or circumstances.</w:t>
      </w:r>
    </w:p>
    <w:p>
      <w:pPr>
        <w:spacing w:after="0" w:line="103" w:lineRule="exact"/>
        <w:rPr>
          <w:sz w:val="20"/>
          <w:szCs w:val="20"/>
          <w:color w:val="auto"/>
        </w:rPr>
      </w:pPr>
    </w:p>
    <w:p>
      <w:pPr>
        <w:ind w:right="40" w:firstLine="746"/>
        <w:spacing w:after="0" w:line="248" w:lineRule="auto"/>
        <w:rPr>
          <w:sz w:val="20"/>
          <w:szCs w:val="20"/>
          <w:color w:val="auto"/>
        </w:rPr>
      </w:pPr>
      <w:r>
        <w:rPr>
          <w:rFonts w:ascii="Arial" w:cs="Arial" w:eastAsia="Arial" w:hAnsi="Arial"/>
          <w:sz w:val="18"/>
          <w:szCs w:val="18"/>
          <w:i w:val="1"/>
          <w:iCs w:val="1"/>
          <w:color w:val="auto"/>
        </w:rPr>
        <w:t>Unless the context otherwise indicates, references in this Annual Report on Form 10-K to the terms “Shutterstock,” “the Company,” “we,” “our” and “us” refer to Shutterstock, Inc. and its subsidiaries. “Shutterstock,” “Shutterstock Editorial,” “Asset Assurance,” “Offset,” “Bigstock,” “Rex Features,” “PremiumBeat,” “TurboSquid,” “PicMonkey,” “Pattern89,” “Shotzr,” “Shutterstock Studios” and “Shutterstock Editor” and their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Shutterstock, Inc. (referred to herein as the “Company,” “we,” “our,” and “us”) is a leading global creative platform offering full-service solutions, high-quality content, and creative workflow solutions for brands, businesses and media companies. Our platform brings together content creators and contributors by providing readily-searchable content that our customers pay to license and by compensating contributors as their content is licensed.</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key offerings include:</w:t>
      </w:r>
    </w:p>
    <w:p>
      <w:pPr>
        <w:spacing w:after="0" w:line="148" w:lineRule="exact"/>
        <w:rPr>
          <w:sz w:val="20"/>
          <w:szCs w:val="20"/>
          <w:color w:val="auto"/>
        </w:rPr>
      </w:pPr>
    </w:p>
    <w:p>
      <w:pPr>
        <w:ind w:left="800" w:right="40" w:hanging="400"/>
        <w:spacing w:after="0" w:line="261"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6" w:lineRule="exact"/>
        <w:rPr>
          <w:rFonts w:ascii="Arial" w:cs="Arial" w:eastAsia="Arial" w:hAnsi="Arial"/>
          <w:sz w:val="18"/>
          <w:szCs w:val="18"/>
          <w:color w:val="auto"/>
        </w:rPr>
      </w:pPr>
    </w:p>
    <w:p>
      <w:pPr>
        <w:ind w:left="800" w:right="240" w:hanging="400"/>
        <w:spacing w:after="0" w:line="261"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6" w:lineRule="exact"/>
        <w:rPr>
          <w:rFonts w:ascii="Arial" w:cs="Arial" w:eastAsia="Arial" w:hAnsi="Arial"/>
          <w:sz w:val="18"/>
          <w:szCs w:val="18"/>
          <w:color w:val="auto"/>
        </w:rPr>
      </w:pPr>
    </w:p>
    <w:p>
      <w:pPr>
        <w:ind w:left="800" w:hanging="400"/>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08" w:lineRule="exact"/>
        <w:rPr>
          <w:rFonts w:ascii="Arial" w:cs="Arial" w:eastAsia="Arial" w:hAnsi="Arial"/>
          <w:sz w:val="18"/>
          <w:szCs w:val="18"/>
          <w:color w:val="auto"/>
        </w:rPr>
      </w:pPr>
    </w:p>
    <w:p>
      <w:pPr>
        <w:ind w:left="800" w:right="220" w:hanging="400"/>
        <w:spacing w:after="0" w:line="324" w:lineRule="auto"/>
        <w:tabs>
          <w:tab w:leader="none" w:pos="795" w:val="left"/>
        </w:tabs>
        <w:numPr>
          <w:ilvl w:val="0"/>
          <w:numId w:val="3"/>
        </w:numPr>
        <w:rPr>
          <w:rFonts w:ascii="Arial" w:cs="Arial" w:eastAsia="Arial" w:hAnsi="Arial"/>
          <w:sz w:val="16"/>
          <w:szCs w:val="16"/>
          <w:color w:val="auto"/>
        </w:rPr>
      </w:pPr>
      <w:r>
        <w:rPr>
          <w:rFonts w:ascii="Arial" w:cs="Arial" w:eastAsia="Arial" w:hAnsi="Arial"/>
          <w:sz w:val="16"/>
          <w:szCs w:val="16"/>
          <w:color w:val="auto"/>
        </w:rPr>
        <w:t>3 Dimensional (“3D”) Models - consisting of 3D models, used in a variety of industries such as advertising, media and video production, gaming, retail, education, design and architecture, following our acquisition of TurboSquid, Inc. (“TurboSquid”) on February 1, 2021.</w:t>
      </w:r>
    </w:p>
    <w:p>
      <w:pPr>
        <w:spacing w:after="0" w:line="16" w:lineRule="exact"/>
        <w:rPr>
          <w:rFonts w:ascii="Arial" w:cs="Arial" w:eastAsia="Arial" w:hAnsi="Arial"/>
          <w:sz w:val="16"/>
          <w:szCs w:val="16"/>
          <w:color w:val="auto"/>
        </w:rPr>
      </w:pPr>
    </w:p>
    <w:p>
      <w:pPr>
        <w:ind w:left="800" w:hanging="400"/>
        <w:spacing w:after="0" w:line="235"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Creative Design Software - consisting of our online graphic design and image editing platform. On September 3, 2021, we completed the acquisition of substantially all of the assets and assumption of certain liabilities from PicMonkey, LLC (“PicMonkey”).</w:t>
      </w:r>
    </w:p>
    <w:p>
      <w:pPr>
        <w:spacing w:after="0" w:line="121"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In addition, in July of 2021, through our newly formed entity Shutterstock.AI, Inc. (“Shutterstock.AI”), we acquired Pattern89, Inc., Datasine Limited, and assets from Shotzr, Inc., three artificial intelligence (“AI”) entities that provide data driven insights and predictions about creative content’s propensity to perform through their AI platforms. Shutterstock.AI will commercialize the underlying metadata of our existing content library. In addition, with AI tools obtained from these acquisitions, we plan to develop predictive performance capabilities to help customers make more data-informed content decisions.</w:t>
      </w:r>
    </w:p>
    <w:p>
      <w:pPr>
        <w:spacing w:after="0" w:line="8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believe that we benefit from scale and network effects between customers and contributors. We have managed to build a world class library of images, footage clips, music and 3D models, sourced from our vast network of contributors. Our extensive content library and contributor network enables us to attract a global and diverse customer base representing businesses of all sizes and from all major industries. Our robust content and rich database continue to attract more customers and draw more contributors, which enhances our network effects and global reach. We believe the success of this network effect is facilitated by the trust that users place in Shutterstock to maintain the quality and integrity of our branded marketplace, and our commitment to seamless integration into users’ creative workflows.</w:t>
      </w:r>
    </w:p>
    <w:p>
      <w:pPr>
        <w:spacing w:after="0" w:line="130" w:lineRule="exact"/>
        <w:rPr>
          <w:sz w:val="20"/>
          <w:szCs w:val="20"/>
          <w:color w:val="auto"/>
        </w:rPr>
      </w:pPr>
    </w:p>
    <w:p>
      <w:pPr>
        <w:ind w:right="120" w:firstLine="395"/>
        <w:spacing w:after="0" w:line="280" w:lineRule="auto"/>
        <w:rPr>
          <w:sz w:val="20"/>
          <w:szCs w:val="20"/>
          <w:color w:val="auto"/>
        </w:rPr>
      </w:pPr>
      <w:r>
        <w:rPr>
          <w:rFonts w:ascii="Arial" w:cs="Arial" w:eastAsia="Arial" w:hAnsi="Arial"/>
          <w:sz w:val="16"/>
          <w:szCs w:val="16"/>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 searching our collection and previewing our content alongside its propensity to perform and global utilization, at no cost prior to licensing. 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108" w:lineRule="exact"/>
        <w:rPr>
          <w:sz w:val="20"/>
          <w:szCs w:val="20"/>
          <w:color w:val="auto"/>
        </w:rPr>
      </w:pPr>
    </w:p>
    <w:p>
      <w:pPr>
        <w:ind w:right="180" w:firstLine="395"/>
        <w:spacing w:after="0" w:line="287" w:lineRule="auto"/>
        <w:rPr>
          <w:sz w:val="20"/>
          <w:szCs w:val="20"/>
          <w:color w:val="auto"/>
        </w:rPr>
      </w:pPr>
      <w:r>
        <w:rPr>
          <w:rFonts w:ascii="Arial" w:cs="Arial" w:eastAsia="Arial" w:hAnsi="Arial"/>
          <w:sz w:val="16"/>
          <w:szCs w:val="16"/>
          <w:color w:val="auto"/>
        </w:rPr>
        <w:t>Our high-quality content is distributed to customers under the following brands: Shutterstock — our flagship brand, Bigstock, Offset, PremiumBeat and TurboSquid. Our Shutterstock brand includes various content types and offerings such as image, footage, editorial, music and studios.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 PremiumBeat’s library of exclusive high-quality music tracks provides producers, filmmakers and marketers</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ability to search handpicked production music from the world’s leading composers. TurboSquid operates a marketplace that offers more than one million 3D models and a 2 dimensional (“2D”) marketplace derived from 3D objects.</w:t>
      </w:r>
    </w:p>
    <w:p>
      <w:pPr>
        <w:spacing w:after="0" w:line="102"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For customers seeking specialized solutions, Shutterstock Studios extends our offerings by providing custom, high-quality content matched with production tools and services at scale. Shutterstock Studios delivers end-to-end custom creative services providing data-driven content strategy and full-scale production for our customers. Shutterstock Editorial provides imagery and video content for the latest news, sports and entertainment, and Shutterstock Editorial also offers the Newsroom, for global breaking news, exclusives and archival content.</w:t>
      </w:r>
    </w:p>
    <w:p>
      <w:pPr>
        <w:spacing w:after="0" w:line="95" w:lineRule="exact"/>
        <w:rPr>
          <w:sz w:val="20"/>
          <w:szCs w:val="20"/>
          <w:color w:val="auto"/>
        </w:rPr>
      </w:pPr>
    </w:p>
    <w:p>
      <w:pPr>
        <w:ind w:right="120" w:firstLine="395"/>
        <w:spacing w:after="0" w:line="299" w:lineRule="auto"/>
        <w:rPr>
          <w:sz w:val="20"/>
          <w:szCs w:val="20"/>
          <w:color w:val="auto"/>
        </w:rPr>
      </w:pPr>
      <w:r>
        <w:rPr>
          <w:rFonts w:ascii="Arial" w:cs="Arial" w:eastAsia="Arial" w:hAnsi="Arial"/>
          <w:sz w:val="16"/>
          <w:szCs w:val="16"/>
          <w:color w:val="auto"/>
        </w:rPr>
        <w:t>In addition to our content-driven solutions, we are committed to investing in applications and technology targeted at enhancing our customers’ workflow management needs and to enable efficient search capabilities. During 2021, we launched Catalog and Plan applications, which form the beginnings of Shutterstock’s Creative Flow, a suite of applications powered by creative insights designed to enhance creativity and encourage collaboration.</w:t>
      </w:r>
    </w:p>
    <w:p>
      <w:pPr>
        <w:spacing w:after="0" w:line="89"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In addition to workflow applications, Shutterstock continues to invest in making it easier for customers to find the content they need, faster. Our efficient search capabilities include:</w:t>
      </w:r>
    </w:p>
    <w:p>
      <w:pPr>
        <w:spacing w:after="0" w:line="102" w:lineRule="exact"/>
        <w:rPr>
          <w:sz w:val="20"/>
          <w:szCs w:val="20"/>
          <w:color w:val="auto"/>
        </w:rPr>
      </w:pPr>
    </w:p>
    <w:p>
      <w:pPr>
        <w:ind w:left="960" w:right="280" w:hanging="402"/>
        <w:spacing w:after="0" w:line="252"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Music Match Tool -</w:t>
      </w:r>
      <w:r>
        <w:rPr>
          <w:rFonts w:ascii="Arial" w:cs="Arial" w:eastAsia="Arial" w:hAnsi="Arial"/>
          <w:sz w:val="18"/>
          <w:szCs w:val="18"/>
          <w:color w:val="auto"/>
        </w:rPr>
        <w:t xml:space="preserve"> an AI-powered search feature that allows customers to find the perfect song based on a song they already know. Enterprise customers searching for music for film and media projects can now access our Music Match Tool, enabling them to streamline their process for finding the right music for every project.</w:t>
      </w:r>
    </w:p>
    <w:p>
      <w:pPr>
        <w:spacing w:after="0" w:line="124" w:lineRule="exact"/>
        <w:rPr>
          <w:rFonts w:ascii="Arial" w:cs="Arial" w:eastAsia="Arial" w:hAnsi="Arial"/>
          <w:sz w:val="18"/>
          <w:szCs w:val="18"/>
          <w:color w:val="auto"/>
        </w:rPr>
      </w:pPr>
    </w:p>
    <w:p>
      <w:pPr>
        <w:ind w:left="960" w:right="240" w:hanging="402"/>
        <w:spacing w:after="0" w:line="248"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robust search engine</w:t>
      </w:r>
      <w:r>
        <w:rPr>
          <w:rFonts w:ascii="Arial" w:cs="Arial" w:eastAsia="Arial" w:hAnsi="Arial"/>
          <w:sz w:val="18"/>
          <w:szCs w:val="18"/>
          <w:color w:val="auto"/>
        </w:rPr>
        <w:t>, with highly sophisticated search capabilities, leverages our AI based search algorithms to enhance the speed and curation of images, footage and audio files. We obtain a high volume of data generated from these user searches and content downloads, which enables us to continuously improve our search algorithms. Our behavioral and keyword data, along with our investments in technology and our experience in developing AI-based search algorithms, enable us to deliver a rich user experience by increasing the chances that our users can efficiently find the content they require.</w:t>
      </w:r>
    </w:p>
    <w:p>
      <w:pPr>
        <w:spacing w:after="0" w:line="128"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Subsequent to our acquisition of PicMonkey in September 2021, we also offer our customers access to a leading online graphic design and image editing platform. This application enables creators of any skill level to design high-quality visual assets – from presentations, advertisements and logos, to business cards and banners – for an array of use cases, including digital marketing, advertising and social media posts. While some professional design applications require formal training, the integration of PicMonkey into Shutterstock will further empower our customers, regardless of their skill level or expertise, to create beautiful, best-in-class content with efficiency and ease in just a few clicks.</w:t>
      </w:r>
    </w:p>
    <w:p>
      <w:pPr>
        <w:spacing w:after="0" w:line="84" w:lineRule="exact"/>
        <w:rPr>
          <w:sz w:val="20"/>
          <w:szCs w:val="20"/>
          <w:color w:val="auto"/>
        </w:rPr>
      </w:pPr>
    </w:p>
    <w:p>
      <w:pPr>
        <w:ind w:right="120" w:firstLine="395"/>
        <w:spacing w:after="0" w:line="272" w:lineRule="auto"/>
        <w:rPr>
          <w:sz w:val="20"/>
          <w:szCs w:val="20"/>
          <w:color w:val="auto"/>
        </w:rPr>
      </w:pPr>
      <w:r>
        <w:rPr>
          <w:rFonts w:ascii="Arial" w:cs="Arial" w:eastAsia="Arial" w:hAnsi="Arial"/>
          <w:sz w:val="17"/>
          <w:szCs w:val="17"/>
          <w:color w:val="auto"/>
        </w:rPr>
        <w:t>Also, our Application Programming Interface (API) driven infrastructure further enhances and streamlines our customers’ workflow and project management needs by allowing businesses to gain access to our content without leaving their platform. Through our API, content can be integrated into the platforms of our Enterprise sales channel customers and can also be distributed to end users through our partnerships with several social media, software and marketing technology platforms including Microsoft Audience Network, Facebook Ads, Hubspot, Google Ads and Wix. In addition, we have developed plug-ins that our customers can use to seamlessly access our content directly from Apple’s Final Cut Pro® X video editing application, several Microsoft applications, Adobe Creative Cloud® desktop applications and Google Slides</w:t>
      </w:r>
      <w:r>
        <w:rPr>
          <w:rFonts w:ascii="Arial" w:cs="Arial" w:eastAsia="Arial" w:hAnsi="Arial"/>
          <w:sz w:val="21"/>
          <w:szCs w:val="21"/>
          <w:color w:val="auto"/>
          <w:vertAlign w:val="superscript"/>
        </w:rPr>
        <w:t>TM</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 Channels</w:t>
      </w:r>
    </w:p>
    <w:p>
      <w:pPr>
        <w:spacing w:after="0" w:line="115"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Our online platform provides a freely searchable collection of content that our users can license, download and incorporate into their work. We encourage all our customers to take advantage of our creative platform’s comprehensive search capabilities, our credit card-based payment options and the immediate digital delivery of licensed content. We strive to offer simple, transparent purchase options designed to cater to customers’ specific needs. We believe the ability to search for, select, license, download and customize content on our creative platform offers our users a streamlined workflow, convenience and speed, and enables us to achieve greater economies of scale. We also have contractual arrangements with third-party resellers and affiliates to license content to customers in markets where we may not have a significant sales and marketing presence. Certain third-party resellers and affiliates sell our products directly to end-users and remit amounts to us based on the type of product sold.</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Customer sales are diversified across the following channels:</w:t>
      </w:r>
    </w:p>
    <w:p>
      <w:pPr>
        <w:spacing w:after="0" w:line="109" w:lineRule="exact"/>
        <w:rPr>
          <w:sz w:val="20"/>
          <w:szCs w:val="20"/>
          <w:color w:val="auto"/>
        </w:rPr>
      </w:pPr>
    </w:p>
    <w:p>
      <w:pPr>
        <w:ind w:left="960" w:right="40" w:hanging="402"/>
        <w:spacing w:after="0" w:line="250"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majority of our customers license content directly through our self-service web properties. Customers in our e-commerce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 have the flexibility to purchase a subscription-based plan that is paid on either a monthly or annual basis or to license content on a transactional basis. These customers generally license content under our standard or enhanced licenses, with additional licensing options available to meet customers’ individual needs.</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960" w:right="60" w:hanging="402"/>
        <w:spacing w:after="0" w:line="281" w:lineRule="auto"/>
        <w:tabs>
          <w:tab w:leader="none" w:pos="95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Enterprise: </w:t>
      </w:r>
      <w:r>
        <w:rPr>
          <w:rFonts w:ascii="Arial" w:cs="Arial" w:eastAsia="Arial" w:hAnsi="Arial"/>
          <w:sz w:val="16"/>
          <w:szCs w:val="16"/>
          <w:color w:val="auto"/>
        </w:rPr>
        <w:t>We also have a base of customers with unique content, licensing and workflow needs. These customers benefit from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our 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our offering which provides custom, high-quality content matched with production tools and services at scale. Our range of solutions, including the depth of our API integration, appeals to a broad and diverse customer base and enables us to adapt and evolve with the needs of our more high touch clients to deliver capabilities that embed deep within their workflows.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generated from each of the sales channels are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54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r>
      <w:tr>
        <w:trPr>
          <w:trHeight w:val="204"/>
        </w:trPr>
        <w:tc>
          <w:tcPr>
            <w:tcW w:w="54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E-commerce</w:t>
            </w:r>
          </w:p>
        </w:tc>
        <w:tc>
          <w:tcPr>
            <w:tcW w:w="12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490,212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412,521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392,241</w:t>
            </w:r>
          </w:p>
        </w:tc>
      </w:tr>
      <w:tr>
        <w:trPr>
          <w:trHeight w:val="207"/>
        </w:trPr>
        <w:tc>
          <w:tcPr>
            <w:tcW w:w="54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Enterprise</w:t>
            </w: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283,203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254,165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258,282</w:t>
            </w:r>
          </w:p>
        </w:tc>
      </w:tr>
      <w:tr>
        <w:trPr>
          <w:trHeight w:val="232"/>
        </w:trPr>
        <w:tc>
          <w:tcPr>
            <w:tcW w:w="5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Revenue</w:t>
            </w:r>
          </w:p>
        </w:tc>
        <w:tc>
          <w:tcPr>
            <w:tcW w:w="12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773,415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666,686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650,523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An important driver of our growth is customer acquisition, which we achieve primarily through online marketing efforts and directly through our sales force. Online marketing includes paid search, online display advertising, print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28"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15"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We serve a diverse array of customers across a variety of industries, organizational sizes and geographies. For the year ended December 31, 2021, over 2.0 million customers in more than 150 countries licensed revenue-generating content, with approximately 37%, 33% and 30% of revenue coming from customers in North America, Europe and the rest of the world, respectively. Our top 25 customers in the aggregate accounted for less than 7% of our revenue in 2021. Our customers are typically classified among three categories, as follows:</w:t>
      </w:r>
    </w:p>
    <w:p>
      <w:pPr>
        <w:spacing w:after="0" w:line="85" w:lineRule="exact"/>
        <w:rPr>
          <w:sz w:val="20"/>
          <w:szCs w:val="20"/>
          <w:color w:val="auto"/>
        </w:rPr>
      </w:pPr>
    </w:p>
    <w:p>
      <w:pPr>
        <w:ind w:left="960" w:right="260" w:hanging="402"/>
        <w:spacing w:after="0" w:line="291" w:lineRule="auto"/>
        <w:tabs>
          <w:tab w:leader="none" w:pos="95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Corporate Professionals and Organizations. </w:t>
      </w:r>
      <w:r>
        <w:rPr>
          <w:rFonts w:ascii="Arial" w:cs="Arial" w:eastAsia="Arial" w:hAnsi="Arial"/>
          <w:sz w:val="16"/>
          <w:szCs w:val="16"/>
          <w:color w:val="auto"/>
        </w:rPr>
        <w:t>Marketing and communications professionals incorporate licensed content in the work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produce for their organizational or clients’ business communications. Whether providing graphic design, web design, interactive design, advertising, public relations, communications or marketing materials, these professional users and teams support organizations of various sizes including the largest global agencies, large not-for-profit organizations and </w:t>
      </w:r>
      <w:r>
        <w:rPr>
          <w:rFonts w:ascii="Arial" w:cs="Arial" w:eastAsia="Arial" w:hAnsi="Arial"/>
          <w:sz w:val="16"/>
          <w:szCs w:val="16"/>
          <w:i w:val="1"/>
          <w:iCs w:val="1"/>
          <w:color w:val="auto"/>
        </w:rPr>
        <w:t>Fortune 500</w:t>
      </w:r>
      <w:r>
        <w:rPr>
          <w:rFonts w:ascii="Arial" w:cs="Arial" w:eastAsia="Arial" w:hAnsi="Arial"/>
          <w:sz w:val="16"/>
          <w:szCs w:val="16"/>
          <w:color w:val="auto"/>
        </w:rPr>
        <w:t xml:space="preserve"> companies.</w:t>
      </w:r>
    </w:p>
    <w:p>
      <w:pPr>
        <w:spacing w:after="0" w:line="55" w:lineRule="exact"/>
        <w:rPr>
          <w:rFonts w:ascii="Arial" w:cs="Arial" w:eastAsia="Arial" w:hAnsi="Arial"/>
          <w:sz w:val="16"/>
          <w:szCs w:val="16"/>
          <w:color w:val="auto"/>
        </w:rPr>
      </w:pPr>
    </w:p>
    <w:p>
      <w:pPr>
        <w:jc w:val="both"/>
        <w:ind w:left="960" w:right="220" w:hanging="402"/>
        <w:spacing w:after="0" w:line="299" w:lineRule="auto"/>
        <w:tabs>
          <w:tab w:leader="none" w:pos="95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Media and Broadcast Companies. </w:t>
      </w:r>
      <w:r>
        <w:rPr>
          <w:rFonts w:ascii="Arial" w:cs="Arial" w:eastAsia="Arial" w:hAnsi="Arial"/>
          <w:sz w:val="16"/>
          <w:szCs w:val="16"/>
          <w:color w:val="auto"/>
        </w:rPr>
        <w:t>Media organizations and professionals incorporate licensed content into their work, which includes digital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publications, newspapers, books, magazines, television and film, as well as to market their products effectively. Our media and broadcast users range from independent bloggers to multi-national publishing, broadcast and production organizations.</w:t>
      </w:r>
    </w:p>
    <w:p>
      <w:pPr>
        <w:spacing w:after="0" w:line="49" w:lineRule="exact"/>
        <w:rPr>
          <w:rFonts w:ascii="Arial" w:cs="Arial" w:eastAsia="Arial" w:hAnsi="Arial"/>
          <w:sz w:val="16"/>
          <w:szCs w:val="16"/>
          <w:color w:val="auto"/>
        </w:rPr>
      </w:pPr>
    </w:p>
    <w:p>
      <w:pPr>
        <w:ind w:left="960" w:right="40" w:hanging="402"/>
        <w:spacing w:after="0" w:line="291" w:lineRule="auto"/>
        <w:tabs>
          <w:tab w:leader="none" w:pos="95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Small and Medium-Sized Businesses and Individual Creators. </w:t>
      </w:r>
      <w:r>
        <w:rPr>
          <w:rFonts w:ascii="Arial" w:cs="Arial" w:eastAsia="Arial" w:hAnsi="Arial"/>
          <w:sz w:val="16"/>
          <w:szCs w:val="16"/>
          <w:color w:val="auto"/>
        </w:rPr>
        <w:t>Organizations of all sizes utilize creative content for a wide range of internal-and external-use communications such as websites, print and digital advertisements, merchandise, brochures, employee communications, newsletters, social media, email marketing campaigns and other presentations. These organizations and users vary in size and type of organization and include casual creatives ranging from sole proprietors to social media influencers.</w:t>
      </w: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As the use cases for our creative solutions expand, we believe our customers are seeking alternative means to consume our offerings. As a result, we have seen strong growth in customers purchasing monthly subscription products, including our suite of multi-asset subscriptions, launched in 2021. These multi-asset products are credit-based and enable customers to license images, footage and music in a single subscription. Our subscriptions provide for either a fixed number of content licenses or credits that may be used to download content during the month.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93"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Customers that purchase one of our monthly recurring products for a continuous period of at least three months are considered subscribers. Our number of subscribers and our subscriber revenue have grown by 22% and 14%, respectively, as of and for the three months ended December 31, 2021 compared to December 31, 2020 (excluding PicMonkey and TurboSquid). Subscriber growth has outpaced subscriber revenue growth due to the popularity and expansion of our smaller subscription plans, but we expect this relationship to evolve as changes in product mix occur. Our quarterly number of subscribers and subscriber revenue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88900</wp:posOffset>
            </wp:positionV>
            <wp:extent cx="5013325" cy="2089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332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Contributors and Content Review Process</w:t>
      </w:r>
    </w:p>
    <w:p>
      <w:pPr>
        <w:spacing w:after="0" w:line="154"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Our collection of content is provided by a community of contributors from around the world and is vetted through our proprietary technology and by a specialized team of reviewers to ensure that it meets our standards of quality and licensability. Whether photographers, videographers, illustrators, designers or musicians, our community of more than 2.0 million approved contributors as of December 31, 2021 ranges from part-time enthusiasts to full-time professionals. The content contributed by our five highest-earning contributors was together responsible for less than 6% of downloads in 2021, demonstrating the depth and diversity of our contributor population.</w:t>
      </w:r>
    </w:p>
    <w:p>
      <w:pPr>
        <w:spacing w:after="0" w:line="128"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 breadth and quality of our content offerings are critical to our success, and we have created an easy-to-use online and mobile account creation process, where we enable contributors to create an account, become verified, submit content, and once approved for submission, upload content onto our platform for licensing. Our contributor website and mobile application operate in 21 languages and contributors can register and upload content directly within the mobile application.</w:t>
      </w:r>
    </w:p>
    <w:p>
      <w:pPr>
        <w:spacing w:after="0" w:line="111"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We use proprietary computer vision technology along with a trained team of reviewers to complete a comprehensive evaluation of all content submissions. Our content review process is highly efficient, and our content review team generally evaluates and processes images and footage within 24 hours of submission to make them available for license on our sites, while working to continually improve our process to reduce review time.</w:t>
      </w:r>
    </w:p>
    <w:p>
      <w:pPr>
        <w:spacing w:after="0" w:line="89"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Contributors are required to add a descriptive title and up to 50 keywords to each image and footage submission.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computer vision technology to automatically suggest keywords based on visually similar images. We have compiled a vast amount of data relating to the content in our collection,</w:t>
      </w: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including keywords and aggregated customer behavioral data, which combined with our proprietary computer vision and artificial intelligence technology, drives discovery of content through our search algorithms and search engine optimization (SEO), therefore empowering customers to discover the content best suited for their needs.</w:t>
      </w:r>
    </w:p>
    <w:p>
      <w:pPr>
        <w:spacing w:after="0" w:line="111"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evaluate submissions based on certain technical and legal criteria to ensure we maintain the quality and integrity of our content library, including whether applicable releases have been obtained, whether third-party intellectual property is excluded, and seeking to minimize other technical concerns such as excess noise or focus issues. As of December 31, 2021, over 625 million images and footage clips have been submitted from verified contributor accounts. For each content submission that is not approved during the review process, we notify the contributor by email with an explanation why the image was not published, including guidance on our standards and insight into customers’ expectations. We believe that this feedback is valuable to contributors and enhances the quality of future content submissions as well as our customers’ experience.</w:t>
      </w:r>
    </w:p>
    <w:p>
      <w:pPr>
        <w:spacing w:after="0" w:line="102"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Content accepted into our collection is added to our web properties where it is available for search, selection, license and download. 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Contributors may choose to remove their content from our collection, subject to the terms of service that govern our contributor relationships.</w:t>
      </w:r>
    </w:p>
    <w:p>
      <w:pPr>
        <w:spacing w:after="0" w:line="95"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We provide valuable tools and insights to our contributors. Our contributors can monitor download activity by content type and geography, as well as by self-defined imagery themes. We also provide data on search trends, allowing content creators to see which images and subjects are popular on our site, and to plan new content themes accordingly.</w:t>
      </w:r>
    </w:p>
    <w:p>
      <w:pPr>
        <w:spacing w:after="0" w:line="111" w:lineRule="exact"/>
        <w:rPr>
          <w:sz w:val="20"/>
          <w:szCs w:val="20"/>
          <w:color w:val="auto"/>
        </w:rPr>
      </w:pPr>
    </w:p>
    <w:p>
      <w:pPr>
        <w:ind w:right="100" w:firstLine="395"/>
        <w:spacing w:after="0" w:line="247" w:lineRule="auto"/>
        <w:rPr>
          <w:sz w:val="20"/>
          <w:szCs w:val="20"/>
          <w:color w:val="auto"/>
        </w:rPr>
      </w:pPr>
      <w:r>
        <w:rPr>
          <w:rFonts w:ascii="Arial" w:cs="Arial" w:eastAsia="Arial" w:hAnsi="Arial"/>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When we license content that has been obtained through direct acquisition, we pay no royalties. We continuously enhance our collection through the direct acquisition of content and by entering into other strategic agreements and partnerships and we continue to seek opportunities for direct acquisition and strategic partnerships to enhance our collection and provide customers with relevant and high-quality content.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154"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improving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115" w:lineRule="exact"/>
        <w:rPr>
          <w:sz w:val="20"/>
          <w:szCs w:val="20"/>
          <w:color w:val="auto"/>
        </w:rPr>
      </w:pPr>
    </w:p>
    <w:p>
      <w:pPr>
        <w:ind w:right="60" w:firstLine="395"/>
        <w:spacing w:after="0" w:line="302" w:lineRule="auto"/>
        <w:rPr>
          <w:sz w:val="20"/>
          <w:szCs w:val="20"/>
          <w:color w:val="auto"/>
        </w:rPr>
      </w:pPr>
      <w:r>
        <w:rPr>
          <w:rFonts w:ascii="Arial" w:cs="Arial" w:eastAsia="Arial" w:hAnsi="Arial"/>
          <w:sz w:val="15"/>
          <w:szCs w:val="15"/>
          <w:color w:val="auto"/>
        </w:rPr>
        <w:t>Our customer-facing software enables users to search the millions of images, vectors, illustrations, footage, music tracks and 3D models available in our collection or request custom branded content and then select, organize, pay for, license and download the content that suits their individual needs. Our search platform evolves automatically based on our own 1st party behavioral data, with each search and download that a user performs on our platform providing our search engine with additional information to improve search results in subsequent queries. We consider the data that we have collected and the search technology that it powers to be an important proprietary asset and competitive advantage that allows us to provide exceptional service to our customers and enable our business. We continuously invest in the localization of our creative platform across many countries and regions, allowing customers to search and make purchases in a variety of languages and currencies. We also maintain an API driven infrastructure, enabling integration of our content platform with various other software tools and services, which enables businesses, and their customers, to gain access to our content without leaving their platform.</w:t>
      </w:r>
    </w:p>
    <w:p>
      <w:pPr>
        <w:spacing w:after="0" w:line="9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Further, we have continued to build and launch innovations to the customer experience. Through Shutterstock.AI, we acquired Pattern89, Inc., Datasine Limited, and assets from Shotzr, Inc., three artificial intelligence entities that provide data driven insights through their artificial intelligence platforms. With these three acquisitions, Shutterstock.AI plans to develop its own predictive performance capabilities to help creatives and customers accomplish their goals by making more data-informed content decisions. Shutterstock is helping solve our customers' problems by expertly navigating the availability of content. By developing predictive creative AI models and leveraging cutting edge technology, Shuttertstock.AI plans to help customers make more informed content choices and provide more confidence about the performance of what they produce.</w:t>
      </w:r>
    </w:p>
    <w:p>
      <w:pPr>
        <w:spacing w:after="0" w:line="10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addition to our predictive performance capabilities, Shutterstock continues to invest in making it easier for customers to find the right music they need, faster. Our Music Match Tool, also launched in 2021, is an AI-powered search feature that</w:t>
      </w: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 w:name="page9"/>
    <w:bookmarkEnd w:id="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allows customers to find the perfect song based on a song they already know. Enterprise customers searching for music for film and media projects can now access our Music Match Tool, enabling them to streamline their process for finding the right music for every project.</w:t>
      </w:r>
    </w:p>
    <w:p>
      <w:pPr>
        <w:spacing w:after="0" w:line="5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are also committed to investing in applications and technology targeted at enhancing our customers’ project management needs and to enable efficient search capabilities. During 2021, we launched Catalog and Plan applications, which form the beginnings of Shutterstock’s Creative Flow, a suite of applications powered by creative insights designed to enhance creativity and encourage collaboration. These workflow solutions include:</w:t>
      </w:r>
    </w:p>
    <w:p>
      <w:pPr>
        <w:spacing w:after="0" w:line="89" w:lineRule="exact"/>
        <w:rPr>
          <w:sz w:val="20"/>
          <w:szCs w:val="20"/>
          <w:color w:val="auto"/>
        </w:rPr>
      </w:pPr>
    </w:p>
    <w:p>
      <w:pPr>
        <w:ind w:left="960" w:right="320" w:hanging="402"/>
        <w:spacing w:after="0" w:line="324" w:lineRule="auto"/>
        <w:tabs>
          <w:tab w:leader="none" w:pos="95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Catalog</w:t>
      </w:r>
      <w:r>
        <w:rPr>
          <w:rFonts w:ascii="Arial" w:cs="Arial" w:eastAsia="Arial" w:hAnsi="Arial"/>
          <w:sz w:val="16"/>
          <w:szCs w:val="16"/>
          <w:color w:val="auto"/>
        </w:rPr>
        <w:t xml:space="preserve"> application allows Enterprise customers to centralize access to content anytime, and anywhere. With </w:t>
      </w:r>
      <w:r>
        <w:rPr>
          <w:rFonts w:ascii="Arial" w:cs="Arial" w:eastAsia="Arial" w:hAnsi="Arial"/>
          <w:sz w:val="16"/>
          <w:szCs w:val="16"/>
          <w:i w:val="1"/>
          <w:iCs w:val="1"/>
          <w:color w:val="auto"/>
        </w:rPr>
        <w:t>Catalog</w:t>
      </w:r>
      <w:r>
        <w:rPr>
          <w:rFonts w:ascii="Arial" w:cs="Arial" w:eastAsia="Arial" w:hAnsi="Arial"/>
          <w:sz w:val="16"/>
          <w:szCs w:val="16"/>
          <w:color w:val="auto"/>
        </w:rPr>
        <w:t>, customers can tag, organize, comment on and approve content together, as well as share content across departments, companies, and time zones.</w:t>
      </w:r>
    </w:p>
    <w:p>
      <w:pPr>
        <w:spacing w:after="0" w:line="69" w:lineRule="exact"/>
        <w:rPr>
          <w:rFonts w:ascii="Arial" w:cs="Arial" w:eastAsia="Arial" w:hAnsi="Arial"/>
          <w:sz w:val="16"/>
          <w:szCs w:val="16"/>
          <w:color w:val="auto"/>
        </w:rPr>
      </w:pPr>
    </w:p>
    <w:p>
      <w:pPr>
        <w:ind w:left="960" w:right="280" w:hanging="402"/>
        <w:spacing w:after="0" w:line="324" w:lineRule="auto"/>
        <w:tabs>
          <w:tab w:leader="none" w:pos="95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Plan</w:t>
      </w:r>
      <w:r>
        <w:rPr>
          <w:rFonts w:ascii="Arial" w:cs="Arial" w:eastAsia="Arial" w:hAnsi="Arial"/>
          <w:sz w:val="16"/>
          <w:szCs w:val="16"/>
          <w:color w:val="auto"/>
        </w:rPr>
        <w:t xml:space="preserve"> application is a single content plan and calendar for teams and clients to access, fostering real-time collaboration. </w:t>
      </w:r>
      <w:r>
        <w:rPr>
          <w:rFonts w:ascii="Arial" w:cs="Arial" w:eastAsia="Arial" w:hAnsi="Arial"/>
          <w:sz w:val="16"/>
          <w:szCs w:val="16"/>
          <w:i w:val="1"/>
          <w:iCs w:val="1"/>
          <w:color w:val="auto"/>
        </w:rPr>
        <w:t>Plan</w:t>
      </w:r>
      <w:r>
        <w:rPr>
          <w:rFonts w:ascii="Arial" w:cs="Arial" w:eastAsia="Arial" w:hAnsi="Arial"/>
          <w:sz w:val="16"/>
          <w:szCs w:val="16"/>
          <w:color w:val="auto"/>
        </w:rPr>
        <w:t xml:space="preserve"> enables quick access to collections of content, and keeps teams organized, on the same page, and confident in what they are creating.</w:t>
      </w:r>
    </w:p>
    <w:p>
      <w:pPr>
        <w:spacing w:after="0" w:line="56"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We also develop and continuously invest in contributor-facing web properties, which operate in 21 languages and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growth on our marketplace.</w:t>
      </w:r>
    </w:p>
    <w:p>
      <w:pPr>
        <w:spacing w:after="0" w:line="106" w:lineRule="exact"/>
        <w:rPr>
          <w:sz w:val="20"/>
          <w:szCs w:val="20"/>
          <w:color w:val="auto"/>
        </w:rPr>
      </w:pPr>
    </w:p>
    <w:p>
      <w:pPr>
        <w:ind w:right="280" w:firstLine="395"/>
        <w:spacing w:after="0" w:line="250" w:lineRule="auto"/>
        <w:rPr>
          <w:sz w:val="20"/>
          <w:szCs w:val="20"/>
          <w:color w:val="auto"/>
        </w:rPr>
      </w:pPr>
      <w:r>
        <w:rPr>
          <w:rFonts w:ascii="Arial" w:cs="Arial" w:eastAsia="Arial" w:hAnsi="Arial"/>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 We continually improve upon these internal tools to enable business growth and drive efficiency.</w:t>
      </w:r>
    </w:p>
    <w:p>
      <w:pPr>
        <w:spacing w:after="0" w:line="124" w:lineRule="exact"/>
        <w:rPr>
          <w:sz w:val="20"/>
          <w:szCs w:val="20"/>
          <w:color w:val="auto"/>
        </w:rPr>
      </w:pPr>
    </w:p>
    <w:p>
      <w:pPr>
        <w:ind w:right="920" w:firstLine="395"/>
        <w:spacing w:after="0" w:line="324" w:lineRule="auto"/>
        <w:rPr>
          <w:sz w:val="20"/>
          <w:szCs w:val="20"/>
          <w:color w:val="auto"/>
        </w:rPr>
      </w:pPr>
      <w:r>
        <w:rPr>
          <w:rFonts w:ascii="Arial" w:cs="Arial" w:eastAsia="Arial" w:hAnsi="Arial"/>
          <w:sz w:val="16"/>
          <w:szCs w:val="16"/>
          <w:color w:val="auto"/>
        </w:rPr>
        <w:t>Our systems infrastructure is hosted primarily by third-party cloud hosting providers that we believe offer scalable, reliable and secure global infrastructure. We also continue to invest in our infrastructure to improve the resiliency of our sites and systems.</w:t>
      </w:r>
    </w:p>
    <w:p>
      <w:pPr>
        <w:spacing w:after="0" w:line="56"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By using cloud services providers, we believe we are able to dedicate an increasing proportion of our technology resources to scaling our business, better serving our rapidly growing collection of content and meeting global customer demand. We believe continued use of third-party cloud hosting, along with improvements to our platform, allow us to further diversify our product offerings, reach new customers and contributors around the world and enable our developers to rapidly deploy new products, features and functionality.</w:t>
      </w:r>
    </w:p>
    <w:p>
      <w:pPr>
        <w:spacing w:after="0" w:line="124"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We have expanded our use of content delivery network solutions to help enable our customers around the world to have sustained and reliable high-speed access to our platform. As we continue to grow our business, our technological needs continue to expand and therefore, we continually invest in our technology to enhance existing products and services and develop new products and services. We view our investments in technology as integral to our long-term success and we intend to continue to investigate, develop and make capital investments in technology and operational systems that support our current business and new areas of potential business expansion.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15"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An important driver of our growth is customer acquisition, which we achieve primarily through online marketing efforts, TV campaigns and directly through our sales force. Online marketing includes paid search, online display advertising, print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40" w:firstLine="395"/>
        <w:spacing w:after="0" w:line="299" w:lineRule="auto"/>
        <w:rPr>
          <w:sz w:val="20"/>
          <w:szCs w:val="20"/>
          <w:color w:val="auto"/>
        </w:rPr>
      </w:pPr>
      <w:r>
        <w:rPr>
          <w:rFonts w:ascii="Arial" w:cs="Arial" w:eastAsia="Arial" w:hAnsi="Arial"/>
          <w:sz w:val="16"/>
          <w:szCs w:val="16"/>
          <w:color w:val="auto"/>
        </w:rPr>
        <w:t>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76"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more diverse audience than we reach directly. Therefore, we believe our marketing efforts have a self-reinforcing network effect, which powers the growth and success of our marketplace.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54"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Rights and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Rights and Indemnification</w:t>
      </w:r>
    </w:p>
    <w:p>
      <w:pPr>
        <w:spacing w:after="0" w:line="109"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footage clip or music track under the applicable Shutterstock license agreement. Custom content is one-of-a-kind branded content and is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68"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09" w:lineRule="exact"/>
        <w:rPr>
          <w:sz w:val="20"/>
          <w:szCs w:val="20"/>
          <w:color w:val="auto"/>
        </w:rPr>
      </w:pPr>
    </w:p>
    <w:p>
      <w:pPr>
        <w:ind w:right="680" w:firstLine="395"/>
        <w:spacing w:after="0" w:line="261" w:lineRule="auto"/>
        <w:rPr>
          <w:sz w:val="20"/>
          <w:szCs w:val="20"/>
          <w:color w:val="auto"/>
        </w:rPr>
      </w:pPr>
      <w:r>
        <w:rPr>
          <w:rFonts w:ascii="Arial" w:cs="Arial" w:eastAsia="Arial" w:hAnsi="Arial"/>
          <w:sz w:val="18"/>
          <w:szCs w:val="18"/>
          <w:color w:val="auto"/>
        </w:rPr>
        <w:t>We protect our intellectual property through a combination of patent, trademark, copyright and domain name registrations, as well as trade secret protections.</w:t>
      </w:r>
    </w:p>
    <w:p>
      <w:pPr>
        <w:spacing w:after="0" w:line="116"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We own a portfolio of trademarks, including “Shutterstock,” “Shutterstock Editorial,” “Asset Assurance,” “Offset,” “Bigstock,” “Rex Features,” “PremiumBeat,” “TurboSquid,” “PicMonkey,” “Pattern89,” “Shotzr,” “Shutterstock Studios,” “Shutterstock Editor” and associated logos. We will pursue additional trademark registrations to the extent that we create any additional material and registrable trademarks or logos. We are the registered owner of a variety of the shutterstock.com, bigstock.com, offset.com, premiumbeat.com, rexfeatures.com, turbosquid.com and picmonkey.com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w:t>
      </w: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89" w:lineRule="exact"/>
        <w:rPr>
          <w:sz w:val="20"/>
          <w:szCs w:val="20"/>
          <w:color w:val="auto"/>
        </w:rPr>
      </w:pPr>
    </w:p>
    <w:p>
      <w:pPr>
        <w:ind w:right="100" w:firstLine="395"/>
        <w:spacing w:after="0" w:line="247" w:lineRule="auto"/>
        <w:rPr>
          <w:sz w:val="20"/>
          <w:szCs w:val="20"/>
          <w:color w:val="auto"/>
        </w:rPr>
      </w:pPr>
      <w:r>
        <w:rPr>
          <w:rFonts w:ascii="Arial" w:cs="Arial" w:eastAsia="Arial" w:hAnsi="Arial"/>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54"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We are subject to a number of U.S. federal and state and foreign laws and regulations that affect companies conducting business on the internet as well as companies that provide access to content. Many of these laws and regulations are still evolving and are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protection (including with respect to personal information), cybersecurity, content regulation, intellectual property ownership and infringement, defamation, publicity rights, advertising, marketing, employment, taxation, e-commerce, subscription-based billing, quality of products and services, internet neutrality, antitrust, outsourcing, securities law compliance, and online payment services. Additionally, because we operate internationally, we need to comply with various laws associated with doing business outside of the United States, including data privacy and security, anti-money laundering, sanctions, anti-corruption and export control laws. A number of U.S. federal and state and foreign laws that could have an impact on our business practices and e-commerce generally have already been adopted, including, for example:</w:t>
      </w:r>
    </w:p>
    <w:p>
      <w:pPr>
        <w:spacing w:after="0" w:line="95" w:lineRule="exact"/>
        <w:rPr>
          <w:sz w:val="20"/>
          <w:szCs w:val="20"/>
          <w:color w:val="auto"/>
        </w:rPr>
      </w:pPr>
    </w:p>
    <w:p>
      <w:pPr>
        <w:ind w:left="960" w:right="80" w:hanging="323"/>
        <w:spacing w:after="0" w:line="261"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Digital Millennium Copyright Act (the “DMCA”), which regulates digital material and created updated copyright laws to address the unique challenges of regulating the use of digital content.</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Directive on Copyright in the Digital Single Market, which governs a marketplace for copyright in the European Union.</w:t>
      </w:r>
    </w:p>
    <w:p>
      <w:pPr>
        <w:spacing w:after="0" w:line="108" w:lineRule="exact"/>
        <w:rPr>
          <w:rFonts w:ascii="Arial" w:cs="Arial" w:eastAsia="Arial" w:hAnsi="Arial"/>
          <w:sz w:val="18"/>
          <w:szCs w:val="18"/>
          <w:color w:val="auto"/>
        </w:rPr>
      </w:pPr>
    </w:p>
    <w:p>
      <w:pPr>
        <w:jc w:val="both"/>
        <w:ind w:left="960" w:right="300" w:hanging="323"/>
        <w:spacing w:after="0" w:line="252"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84" w:lineRule="exact"/>
        <w:rPr>
          <w:rFonts w:ascii="Arial" w:cs="Arial" w:eastAsia="Arial" w:hAnsi="Arial"/>
          <w:sz w:val="18"/>
          <w:szCs w:val="18"/>
          <w:color w:val="auto"/>
        </w:rPr>
      </w:pPr>
    </w:p>
    <w:p>
      <w:pPr>
        <w:ind w:left="960" w:right="140" w:hanging="323"/>
        <w:spacing w:after="0" w:line="250"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84" w:lineRule="exact"/>
        <w:rPr>
          <w:rFonts w:ascii="Arial" w:cs="Arial" w:eastAsia="Arial" w:hAnsi="Arial"/>
          <w:sz w:val="18"/>
          <w:szCs w:val="18"/>
          <w:color w:val="auto"/>
        </w:rPr>
      </w:pPr>
    </w:p>
    <w:p>
      <w:pPr>
        <w:ind w:left="960" w:right="320" w:hanging="323"/>
        <w:spacing w:after="0" w:line="261"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76" w:lineRule="exact"/>
        <w:rPr>
          <w:rFonts w:ascii="Arial" w:cs="Arial" w:eastAsia="Arial" w:hAnsi="Arial"/>
          <w:sz w:val="18"/>
          <w:szCs w:val="18"/>
          <w:color w:val="auto"/>
        </w:rPr>
      </w:pPr>
    </w:p>
    <w:p>
      <w:pPr>
        <w:ind w:left="960" w:right="620" w:hanging="323"/>
        <w:spacing w:after="0" w:line="261"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European Union General Data Protection Regulation (“GDPR”), which governs how we can collect and process the personal data of, primarily, European Union residents.</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California Consumer Privacy Act of 2018 (“CCPA”), which governs how we can collect and process the personal data of California residents.</w:t>
      </w: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395"/>
        <w:spacing w:after="0" w:line="278" w:lineRule="auto"/>
        <w:rPr>
          <w:sz w:val="20"/>
          <w:szCs w:val="20"/>
          <w:color w:val="auto"/>
        </w:rPr>
      </w:pPr>
      <w:r>
        <w:rPr>
          <w:rFonts w:ascii="Arial" w:cs="Arial" w:eastAsia="Arial" w:hAnsi="Arial"/>
          <w:sz w:val="16"/>
          <w:szCs w:val="16"/>
          <w:color w:val="auto"/>
        </w:rPr>
        <w:t>In particular, we are subject to U.S. federal and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continuously evolving, still uncertain and remain in flux. For example, the GDPR, which took effect on May 25, 2018, includes more stringent operational requirements for entities using, processing, and transferring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and various state legislative bodies concerning privacy, security, content regulation, data protection and other consumer issues that could affect us. For example, the State of California has enacted the CCPA, which became effective in January 2020. The CCPA, among other things, requires companies that collect personal information about California residents to make disclosures to those residents about data collection, use and sharing practices, allows residents to opt out of certain data sharing with third parties and provides a new cause of action for data breaches. Moreover, a new privacy law passed in California, the California Privacy Rights Act (“CPRA”), which is scheduled to take effect on January 1, 2023 (with a lookback to January 1, 2022), will significantly modify the CCPA, and will impose additional data protection obligations on companies such as ours doing business in California.</w:t>
      </w:r>
    </w:p>
    <w:p>
      <w:pPr>
        <w:spacing w:after="0" w:line="98" w:lineRule="exact"/>
        <w:rPr>
          <w:sz w:val="20"/>
          <w:szCs w:val="20"/>
          <w:color w:val="auto"/>
        </w:rPr>
      </w:pPr>
    </w:p>
    <w:p>
      <w:pPr>
        <w:ind w:right="100" w:firstLine="395"/>
        <w:spacing w:after="0" w:line="282" w:lineRule="auto"/>
        <w:rPr>
          <w:sz w:val="20"/>
          <w:szCs w:val="20"/>
          <w:color w:val="auto"/>
        </w:rPr>
      </w:pPr>
      <w:r>
        <w:rPr>
          <w:rFonts w:ascii="Arial" w:cs="Arial" w:eastAsia="Arial" w:hAnsi="Arial"/>
          <w:sz w:val="16"/>
          <w:szCs w:val="16"/>
          <w:color w:val="auto"/>
        </w:rPr>
        <w:t>In addition, from a taxation perspective, there are applicable and potential government regulatory matters that may impact us. In particular, certain provisions of the Tax Cuts and Jobs Act of 2017 (the “TCJA”) have had and will continue to have a significant impact on our financial position and results of operations. The TCJA continues to be subject to further regulatory interpretation and technical corrections by the U.S. Treasury Department and the I.R.S. and therefore, the full impact of the TCJA on our tax provision may continue to evolve. Further, we continue to remain subject to uncertainty related to foreign jurisdictions’ potential reactions to the TCJA, as well as evolving regulatory views and legislation regarding taxation of e-commerce businesses such as the Organization for Economic Cooperation and Development (“OECD”) Base Erosion and Profit Shifting (“BEPS”) proposals and other country specific digital tax initiatives. As these and other tax laws and related regulations continue to evolve, our financial results could prospectively be materially impacted.</w:t>
      </w:r>
    </w:p>
    <w:p>
      <w:pPr>
        <w:spacing w:after="0" w:line="105" w:lineRule="exact"/>
        <w:rPr>
          <w:sz w:val="20"/>
          <w:szCs w:val="20"/>
          <w:color w:val="auto"/>
        </w:rPr>
      </w:pPr>
    </w:p>
    <w:p>
      <w:pPr>
        <w:ind w:right="260" w:firstLine="395"/>
        <w:spacing w:after="0" w:line="284" w:lineRule="auto"/>
        <w:rPr>
          <w:sz w:val="20"/>
          <w:szCs w:val="20"/>
          <w:color w:val="auto"/>
        </w:rPr>
      </w:pPr>
      <w:r>
        <w:rPr>
          <w:rFonts w:ascii="Arial" w:cs="Arial" w:eastAsia="Arial" w:hAnsi="Arial"/>
          <w:sz w:val="16"/>
          <w:szCs w:val="16"/>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1"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seek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105" w:lineRule="exact"/>
        <w:rPr>
          <w:sz w:val="20"/>
          <w:szCs w:val="20"/>
          <w:color w:val="auto"/>
        </w:rPr>
      </w:pPr>
    </w:p>
    <w:p>
      <w:pPr>
        <w:ind w:right="620" w:firstLine="395"/>
        <w:spacing w:after="0" w:line="261" w:lineRule="auto"/>
        <w:rPr>
          <w:sz w:val="20"/>
          <w:szCs w:val="20"/>
          <w:color w:val="auto"/>
        </w:rPr>
      </w:pPr>
      <w:r>
        <w:rPr>
          <w:rFonts w:ascii="Arial" w:cs="Arial" w:eastAsia="Arial" w:hAnsi="Arial"/>
          <w:sz w:val="18"/>
          <w:szCs w:val="18"/>
          <w:color w:val="auto"/>
        </w:rPr>
        <w:t>The industry in which we operate is extremely competitive and rapidly evolving, with low barriers to entry. Some of our currently and potentially significant competitors include:</w:t>
      </w:r>
    </w:p>
    <w:p>
      <w:pPr>
        <w:spacing w:after="0" w:line="116" w:lineRule="exact"/>
        <w:rPr>
          <w:sz w:val="20"/>
          <w:szCs w:val="20"/>
          <w:color w:val="auto"/>
        </w:rPr>
      </w:pPr>
    </w:p>
    <w:p>
      <w:pPr>
        <w:ind w:left="960" w:right="200" w:hanging="323"/>
        <w:spacing w:after="0" w:line="261" w:lineRule="auto"/>
        <w:tabs>
          <w:tab w:leader="none" w:pos="9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online platforms that feature marketplaces for stock content or creative workflow tools such as Getty Images and its iStockphoto offering, AdobeStock, VimeoStock, Canva and Pond5;</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specialized visual content companies that are established in local, content or product-specific market segments, such as Visual China Group;</w:t>
      </w:r>
    </w:p>
    <w:p>
      <w:pPr>
        <w:spacing w:after="0" w:line="131" w:lineRule="exact"/>
        <w:rPr>
          <w:rFonts w:ascii="Arial" w:cs="Arial" w:eastAsia="Arial" w:hAnsi="Arial"/>
          <w:sz w:val="16"/>
          <w:szCs w:val="16"/>
          <w:color w:val="auto"/>
        </w:rPr>
      </w:pPr>
    </w:p>
    <w:p>
      <w:pPr>
        <w:ind w:left="960" w:right="500" w:hanging="323"/>
        <w:spacing w:after="0" w:line="261" w:lineRule="auto"/>
        <w:tabs>
          <w:tab w:leader="none" w:pos="9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providers of commercially licensable music such as Universal Music Publishing Group, Sony/ATV Music Publishing and Warner/Chappell Music;</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108" w:lineRule="exact"/>
        <w:rPr>
          <w:rFonts w:ascii="Arial" w:cs="Arial" w:eastAsia="Arial" w:hAnsi="Arial"/>
          <w:sz w:val="18"/>
          <w:szCs w:val="18"/>
          <w:color w:val="auto"/>
        </w:rPr>
      </w:pP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providers of free images, photography, music, footage and related tools;</w:t>
      </w:r>
    </w:p>
    <w:p>
      <w:pPr>
        <w:spacing w:after="0" w:line="108"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networking and social media services; and</w:t>
      </w:r>
    </w:p>
    <w:p>
      <w:pPr>
        <w:spacing w:after="0" w:line="108"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148" w:lineRule="exact"/>
        <w:rPr>
          <w:sz w:val="20"/>
          <w:szCs w:val="20"/>
          <w:color w:val="auto"/>
        </w:rPr>
      </w:pPr>
    </w:p>
    <w:p>
      <w:pPr>
        <w:ind w:right="340" w:firstLine="395"/>
        <w:spacing w:after="0" w:line="261" w:lineRule="auto"/>
        <w:rPr>
          <w:sz w:val="20"/>
          <w:szCs w:val="20"/>
          <w:color w:val="auto"/>
        </w:rPr>
      </w:pPr>
      <w:r>
        <w:rPr>
          <w:rFonts w:ascii="Arial" w:cs="Arial" w:eastAsia="Arial" w:hAnsi="Arial"/>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4"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The Company and its consolidated subsidiaries have 1,148 full-time employees as of December 31, 2021, as compared to 967 as of December 31, 2020. Approximately 68% of our global workforce is located in North America and 27% are located in Europe with the remainder located in the rest of the world. None of our employees in the United States are covered by collective bargaining arrangements. In several foreign jurisdictions, including Italy, Canada, France and Brazil, our employees may be subject to national collective bargaining agreements that set minimum salaries, benefits, working conditions and / or termination requirements. We consider our employee relations to be satisfactory. Competition for qualified personnel in our industry is intense, particularly for software engineers, computer scientists and other technical staff.</w:t>
      </w:r>
    </w:p>
    <w:p>
      <w:pPr>
        <w:spacing w:after="0" w:line="102" w:lineRule="exact"/>
        <w:rPr>
          <w:sz w:val="20"/>
          <w:szCs w:val="20"/>
          <w:color w:val="auto"/>
        </w:rPr>
      </w:pPr>
    </w:p>
    <w:p>
      <w:pPr>
        <w:ind w:right="100" w:firstLine="395"/>
        <w:spacing w:after="0" w:line="274" w:lineRule="auto"/>
        <w:rPr>
          <w:sz w:val="20"/>
          <w:szCs w:val="20"/>
          <w:color w:val="auto"/>
        </w:rPr>
      </w:pPr>
      <w:r>
        <w:rPr>
          <w:rFonts w:ascii="Arial" w:cs="Arial" w:eastAsia="Arial" w:hAnsi="Arial"/>
          <w:sz w:val="16"/>
          <w:szCs w:val="16"/>
          <w:color w:val="auto"/>
        </w:rPr>
        <w:t>Our people are critical to our success. We have implemented certain strategies with respect to our employees, to provide a safe, rewarding and respectful workplace. We adhere to our Code of Business Conduct and Ethics, which sets forth a commitment to our stakeholders, including our employees, to operate with integrity and mutual respect. We also incorporate safety principles into every aspect of our business. We have well-developed health and safety programs, which are reinforced through policies, education and engagement of our employees.</w:t>
      </w:r>
    </w:p>
    <w:p>
      <w:pPr>
        <w:spacing w:after="0" w:line="81"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We strive to create an outstanding employee experience by creating a culture aligned with our principles by providing our employees access to the programs and initiatives that promote their career growth and development, recognize and reward their performance and support their overall well-being. Our Total Rewards program focuses on developing and implementing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Through our Total Rewards program, we provide our employees with competitive fixed and/or variable pay, and for eligible employees we currently provide access to medical, dental and life insurance benefits, disability coverage, a 401(k) plan, equity-based compensation and employee assistance programs, among other benefits. We encourage employee engagement through regular employee events, productive communication, our global recognition program and by creating a culture of belonging.</w:t>
      </w:r>
    </w:p>
    <w:p>
      <w:pPr>
        <w:spacing w:after="0" w:line="10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Our Diversity, Equity, and Inclusion (“DEI”) goal is to build a workforce, contributor network and content library that is representative of the diverse global community we serve. We have a long-term commitment to creating an inclusive culture, embedding DEI throughout our recruiting and retention efforts and promoting representation and inclusion throughout our platform. In 2021, we focused on building leaders' and managers' cultural competency and inclusive leadership skills, as well as increasing our access to a diverse pipeline of talent. In addition, we focused on increasing the number of historically excluded contributors in our network through our Create Fund program. In addition, we have eight employee resource groups that partner with our DEI team to help raise awareness about inclusion and advocate for various historically excluded groups.</w:t>
      </w:r>
    </w:p>
    <w:p>
      <w:pPr>
        <w:spacing w:after="0" w:line="102"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During the COVID-19 pandemic, our commitment to our employees has been put into action. One of the principles that has guided and continues to guide our decision-making during the COVID-19 pandemic is to safeguard the health of our employees. We are following all local and national government guidance in implementing mandatory work-from-home policies and in March 2020, our global workforce effectively transitioned to working remotely. While we re-opened certain office spaces by the end of 2020, in order to ensure the safety of our employees, our voluntary work-from-home program has been extended through March 2022. For those employees who voluntarily elect to work from the office (where local law and public health authorities permit offices to operate), we have taken steps to ensure their safety, including providing training, deep cleaning our facilities on a regular basis, installing hand sanitizer stations, providing face masks, installing plexi-glass where appropriate, encouraging hygiene practices advised by health authorities, implementing social distancing policies and restricting business travel and site visitors. We continue to enhance our practices to remain aligned with federal, state, local and international regulations and guidelines.</w:t>
      </w: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8" w:lineRule="exact"/>
        <w:rPr>
          <w:sz w:val="20"/>
          <w:szCs w:val="20"/>
          <w:color w:val="auto"/>
        </w:rPr>
      </w:pPr>
    </w:p>
    <w:p>
      <w:pPr>
        <w:ind w:right="100" w:firstLine="395"/>
        <w:spacing w:after="0" w:line="306" w:lineRule="auto"/>
        <w:rPr>
          <w:sz w:val="20"/>
          <w:szCs w:val="20"/>
          <w:color w:val="auto"/>
        </w:rPr>
      </w:pPr>
      <w:r>
        <w:rPr>
          <w:rFonts w:ascii="Arial" w:cs="Arial" w:eastAsia="Arial" w:hAnsi="Arial"/>
          <w:sz w:val="15"/>
          <w:szCs w:val="15"/>
          <w:color w:val="auto"/>
        </w:rPr>
        <w:t>Our operating results may fluctuate from quarter to quarter as a result of a variety of factors. Our quarterly and annual results may reflect the effects of intra-period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88" w:lineRule="exact"/>
        <w:rPr>
          <w:sz w:val="20"/>
          <w:szCs w:val="20"/>
          <w:color w:val="auto"/>
        </w:rPr>
      </w:pPr>
    </w:p>
    <w:p>
      <w:pPr>
        <w:ind w:right="240" w:firstLine="395"/>
        <w:spacing w:after="0" w:line="250" w:lineRule="auto"/>
        <w:rPr>
          <w:sz w:val="20"/>
          <w:szCs w:val="20"/>
          <w:color w:val="auto"/>
        </w:rPr>
      </w:pPr>
      <w:r>
        <w:rPr>
          <w:rFonts w:ascii="Arial" w:cs="Arial" w:eastAsia="Arial" w:hAnsi="Arial"/>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54"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and completed a follow-on offering in September 2013. Our common stock is listed on the New York Stock Exchange under the symbol “SSTK”.</w:t>
      </w:r>
    </w:p>
    <w:p>
      <w:pPr>
        <w:spacing w:after="0" w:line="11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Our corporate headquarters and principal executive offices are located at 350 Fifth Avenue, 21st Floor, New York, NY 10118, and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electronically filed with or furnished to the SEC. The information on or accessible through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Coronavirus (COVID-19) Pandemic</w:t>
      </w:r>
    </w:p>
    <w:p>
      <w:pPr>
        <w:spacing w:after="0" w:line="30" w:lineRule="exact"/>
        <w:rPr>
          <w:sz w:val="20"/>
          <w:szCs w:val="20"/>
          <w:color w:val="auto"/>
        </w:rPr>
      </w:pPr>
    </w:p>
    <w:p>
      <w:pPr>
        <w:ind w:left="400" w:right="100" w:hanging="316"/>
        <w:spacing w:after="0" w:line="249" w:lineRule="auto"/>
        <w:tabs>
          <w:tab w:leader="none" w:pos="39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effect of the COVID-19 pandemic on our operations, and the operations of our customers, partners and suppliers, has had and could have a material adverse effect on our business, financial condition, cash flows and results of operations, and the extent to which the pandemic will have a continued impact remains uncertain.</w:t>
      </w: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Related to Industry Dynamics and Competition</w:t>
      </w:r>
    </w:p>
    <w:p>
      <w:pPr>
        <w:spacing w:after="0" w:line="16" w:lineRule="exact"/>
        <w:rPr>
          <w:rFonts w:ascii="Arial" w:cs="Arial" w:eastAsia="Arial" w:hAnsi="Arial"/>
          <w:sz w:val="18"/>
          <w:szCs w:val="18"/>
          <w:b w:val="1"/>
          <w:bCs w:val="1"/>
          <w:color w:val="auto"/>
        </w:rPr>
      </w:pPr>
    </w:p>
    <w:p>
      <w:pPr>
        <w:ind w:left="400" w:right="120" w:hanging="316"/>
        <w:spacing w:after="0" w:line="311" w:lineRule="auto"/>
        <w:tabs>
          <w:tab w:leader="none" w:pos="396"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ind w:left="400" w:hanging="316"/>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industry in which we operate is highly competitive with low barriers to entry and if we do not compete effectively, our operating results could suffer.</w:t>
      </w:r>
    </w:p>
    <w:p>
      <w:pPr>
        <w:spacing w:after="0" w:line="39" w:lineRule="exact"/>
        <w:rPr>
          <w:rFonts w:ascii="Arial" w:cs="Arial" w:eastAsia="Arial" w:hAnsi="Arial"/>
          <w:sz w:val="16"/>
          <w:szCs w:val="16"/>
          <w:color w:val="auto"/>
        </w:rPr>
      </w:pPr>
    </w:p>
    <w:p>
      <w:pPr>
        <w:ind w:left="400" w:right="2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marketing efforts to acquire new, and retain existing customers may not be effective or cost-efficient, and may be affected by external factors beyond our control.</w:t>
      </w:r>
    </w:p>
    <w:p>
      <w:pPr>
        <w:spacing w:after="0" w:line="1" w:lineRule="exact"/>
        <w:rPr>
          <w:rFonts w:ascii="Arial" w:cs="Arial" w:eastAsia="Arial" w:hAnsi="Arial"/>
          <w:sz w:val="18"/>
          <w:szCs w:val="18"/>
          <w:color w:val="auto"/>
        </w:rPr>
      </w:pPr>
    </w:p>
    <w:p>
      <w:pPr>
        <w:ind w:left="400" w:right="160" w:hanging="316"/>
        <w:spacing w:after="0" w:line="259"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ind w:left="400" w:hanging="316"/>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Unless we increase market awareness of our brand and our existing and new products and services, our revenue may not continue to grow.</w:t>
      </w:r>
    </w:p>
    <w:p>
      <w:pPr>
        <w:spacing w:after="0" w:line="39" w:lineRule="exact"/>
        <w:rPr>
          <w:rFonts w:ascii="Arial" w:cs="Arial" w:eastAsia="Arial" w:hAnsi="Arial"/>
          <w:sz w:val="16"/>
          <w:szCs w:val="16"/>
          <w:color w:val="auto"/>
        </w:rPr>
      </w:pPr>
    </w:p>
    <w:p>
      <w:pPr>
        <w:ind w:left="400" w:right="100" w:hanging="316"/>
        <w:spacing w:after="0" w:line="283" w:lineRule="auto"/>
        <w:tabs>
          <w:tab w:leader="none" w:pos="3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ind w:left="400" w:right="640" w:hanging="316"/>
        <w:spacing w:after="0" w:line="259"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our operations into new products, services and technologies, including content categories, is inherently risky and may subject us to additional business, legal, financial and competitive risks.</w:t>
      </w:r>
    </w:p>
    <w:p>
      <w:pPr>
        <w:ind w:left="400" w:right="32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worldwide economic, political and social conditions, including effects on advertising and marketing budgets, may adversely affect our business and operating results.</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Operating our Business</w:t>
      </w:r>
    </w:p>
    <w:p>
      <w:pPr>
        <w:spacing w:after="0" w:line="16"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continue to grow our revenues at historical rates.</w:t>
      </w:r>
    </w:p>
    <w:p>
      <w:pPr>
        <w:spacing w:after="0" w:line="29" w:lineRule="exact"/>
        <w:rPr>
          <w:rFonts w:ascii="Arial" w:cs="Arial" w:eastAsia="Arial" w:hAnsi="Arial"/>
          <w:sz w:val="18"/>
          <w:szCs w:val="18"/>
          <w:color w:val="auto"/>
        </w:rPr>
      </w:pPr>
    </w:p>
    <w:p>
      <w:pPr>
        <w:ind w:left="400" w:right="34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1"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continued to grow in recent periods and if we fail to effectively manage our growth, our business and operating results may suffer.</w:t>
      </w:r>
    </w:p>
    <w:p>
      <w:pPr>
        <w:spacing w:after="0" w:line="39" w:lineRule="exact"/>
        <w:rPr>
          <w:rFonts w:ascii="Arial" w:cs="Arial" w:eastAsia="Arial" w:hAnsi="Arial"/>
          <w:sz w:val="16"/>
          <w:szCs w:val="16"/>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successfully make, integrate and maintain acquisitions and investments, our business could be adversely impacted.</w:t>
      </w:r>
    </w:p>
    <w:p>
      <w:pPr>
        <w:spacing w:after="0" w:line="29" w:lineRule="exact"/>
        <w:rPr>
          <w:rFonts w:ascii="Arial" w:cs="Arial" w:eastAsia="Arial" w:hAnsi="Arial"/>
          <w:sz w:val="18"/>
          <w:szCs w:val="18"/>
          <w:color w:val="auto"/>
        </w:rPr>
      </w:pPr>
    </w:p>
    <w:p>
      <w:pPr>
        <w:ind w:left="400" w:right="12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1"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exposed to risks related to our use of independent contractors.</w:t>
      </w:r>
    </w:p>
    <w:p>
      <w:pPr>
        <w:spacing w:after="0" w:line="16"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non-payment or late payments of amounts due to us from certain customers may negatively impact our financial condition.</w:t>
      </w:r>
    </w:p>
    <w:p>
      <w:pPr>
        <w:spacing w:after="0" w:line="29" w:lineRule="exact"/>
        <w:rPr>
          <w:rFonts w:ascii="Arial" w:cs="Arial" w:eastAsia="Arial" w:hAnsi="Arial"/>
          <w:sz w:val="18"/>
          <w:szCs w:val="18"/>
          <w:color w:val="auto"/>
        </w:rPr>
      </w:pPr>
    </w:p>
    <w:p>
      <w:pPr>
        <w:ind w:left="400" w:right="36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payment-related risks that may result in higher operating costs or the inability to process payments, either of which could harm our financial condition and results of operations.</w:t>
      </w:r>
    </w:p>
    <w:p>
      <w:pPr>
        <w:spacing w:after="0" w:line="1"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goodwill or intangible assets become impaired, we may be required to record a significant charge to earnings.</w:t>
      </w:r>
    </w:p>
    <w:p>
      <w:pPr>
        <w:spacing w:after="0" w:line="16" w:lineRule="exact"/>
        <w:rPr>
          <w:rFonts w:ascii="Arial" w:cs="Arial" w:eastAsia="Arial" w:hAnsi="Arial"/>
          <w:sz w:val="18"/>
          <w:szCs w:val="18"/>
          <w:color w:val="auto"/>
        </w:rPr>
      </w:pPr>
    </w:p>
    <w:p>
      <w:pPr>
        <w:ind w:left="400" w:hanging="31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additional capital in the future and may be unable to do so on acceptable terms or at all.</w:t>
      </w:r>
    </w:p>
    <w:p>
      <w:pPr>
        <w:spacing w:after="0" w:line="2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Intellectual Property and Security Vulnerabilities</w:t>
      </w:r>
    </w:p>
    <w:p>
      <w:pPr>
        <w:spacing w:after="0" w:line="16" w:lineRule="exact"/>
        <w:rPr>
          <w:rFonts w:ascii="Arial" w:cs="Arial" w:eastAsia="Arial" w:hAnsi="Arial"/>
          <w:sz w:val="18"/>
          <w:szCs w:val="18"/>
          <w:color w:val="auto"/>
        </w:rPr>
      </w:pPr>
    </w:p>
    <w:p>
      <w:pPr>
        <w:ind w:left="400" w:right="780" w:hanging="316"/>
        <w:spacing w:after="0" w:line="25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1" w:lineRule="exact"/>
        <w:rPr>
          <w:rFonts w:ascii="Arial" w:cs="Arial" w:eastAsia="Arial" w:hAnsi="Arial"/>
          <w:sz w:val="18"/>
          <w:szCs w:val="18"/>
          <w:color w:val="auto"/>
        </w:rPr>
      </w:pPr>
    </w:p>
    <w:p>
      <w:pPr>
        <w:ind w:left="400" w:right="540" w:hanging="316"/>
        <w:spacing w:after="0" w:line="261"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interruptions that impair access to our web properties or the efficiency of our marketplace could harm our reputation and brand and adversely affect our business and results of operations.</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5" w:name="page16"/>
    <w:bookmarkEnd w:id="15"/>
    <w:p>
      <w:pPr>
        <w:ind w:left="316"/>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316" w:right="720" w:hanging="316"/>
        <w:spacing w:after="0" w:line="283" w:lineRule="auto"/>
        <w:tabs>
          <w:tab w:leader="none" w:pos="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left="316" w:right="80" w:hanging="316"/>
        <w:spacing w:after="0" w:line="259"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Assertions by third parties of infringement of intellectual property rights related to our technology could result in significant costs and substantially harm our business and operating results.</w:t>
      </w:r>
    </w:p>
    <w:p>
      <w:pPr>
        <w:ind w:left="316" w:right="80" w:hanging="316"/>
        <w:spacing w:after="0" w:line="280" w:lineRule="auto"/>
        <w:tabs>
          <w:tab w:leader="none" w:pos="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ind w:left="316" w:right="50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1"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protect our intellectual property could substantially harm our business and operating results.</w:t>
      </w:r>
    </w:p>
    <w:p>
      <w:pPr>
        <w:spacing w:after="0" w:line="29" w:lineRule="exact"/>
        <w:rPr>
          <w:rFonts w:ascii="Arial" w:cs="Arial" w:eastAsia="Arial" w:hAnsi="Arial"/>
          <w:sz w:val="18"/>
          <w:szCs w:val="18"/>
          <w:color w:val="auto"/>
        </w:rPr>
      </w:pPr>
    </w:p>
    <w:p>
      <w:pPr>
        <w:ind w:left="316"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 w:lineRule="exact"/>
        <w:rPr>
          <w:rFonts w:ascii="Arial" w:cs="Arial" w:eastAsia="Arial" w:hAnsi="Arial"/>
          <w:sz w:val="18"/>
          <w:szCs w:val="18"/>
          <w:color w:val="auto"/>
        </w:rPr>
      </w:pPr>
    </w:p>
    <w:p>
      <w:pPr>
        <w:ind w:left="316" w:right="8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1"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International Operations</w:t>
      </w:r>
    </w:p>
    <w:p>
      <w:pPr>
        <w:spacing w:after="0" w:line="29"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international operations and our continued expansion internationally expose us to many risks.</w:t>
      </w:r>
    </w:p>
    <w:p>
      <w:pPr>
        <w:spacing w:after="0" w:line="16"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caused by the U.K.’s exit from the European Union (Brexit) on January 31, 2020 may negatively impact our operations.</w:t>
      </w:r>
    </w:p>
    <w:p>
      <w:pPr>
        <w:spacing w:after="0" w:line="16"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foreign exchange risk.</w:t>
      </w:r>
    </w:p>
    <w:p>
      <w:pPr>
        <w:spacing w:after="0" w:line="29"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Regulatory and Tax Challenges</w:t>
      </w:r>
    </w:p>
    <w:p>
      <w:pPr>
        <w:spacing w:after="0" w:line="16" w:lineRule="exact"/>
        <w:rPr>
          <w:rFonts w:ascii="Arial" w:cs="Arial" w:eastAsia="Arial" w:hAnsi="Arial"/>
          <w:sz w:val="18"/>
          <w:szCs w:val="18"/>
          <w:color w:val="auto"/>
        </w:rPr>
      </w:pPr>
    </w:p>
    <w:p>
      <w:pPr>
        <w:ind w:left="316" w:right="30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 of the internet, both in the United States and abroad, is evolving and unfavorable changes could have a negative impact on our business.</w:t>
      </w:r>
    </w:p>
    <w:p>
      <w:pPr>
        <w:spacing w:after="0" w:line="1" w:lineRule="exact"/>
        <w:rPr>
          <w:rFonts w:ascii="Arial" w:cs="Arial" w:eastAsia="Arial" w:hAnsi="Arial"/>
          <w:sz w:val="18"/>
          <w:szCs w:val="18"/>
          <w:color w:val="auto"/>
        </w:rPr>
      </w:pPr>
    </w:p>
    <w:p>
      <w:pPr>
        <w:ind w:left="316" w:right="500" w:hanging="316"/>
        <w:spacing w:after="0" w:line="259"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 by governments to restrict access to, or operation of, our services or the content we distribute in their countries could substantially harm our reputation, business and financial results.</w:t>
      </w:r>
    </w:p>
    <w:p>
      <w:pPr>
        <w:ind w:left="316" w:right="340" w:hanging="316"/>
        <w:spacing w:after="0" w:line="283" w:lineRule="auto"/>
        <w:tabs>
          <w:tab w:leader="none" w:pos="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ind w:left="316" w:right="6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may expose us to greater than anticipated withholding, sales and transaction tax liabilities, including VAT, which could harm our financial condition and results of operations.</w:t>
      </w:r>
    </w:p>
    <w:p>
      <w:pPr>
        <w:spacing w:after="0" w:line="1"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Ownership of Our Common Stock</w:t>
      </w:r>
    </w:p>
    <w:p>
      <w:pPr>
        <w:spacing w:after="0" w:line="29"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results may fluctuate, which could cause our results to fall short of expectations and our stock price to decline.</w:t>
      </w:r>
    </w:p>
    <w:p>
      <w:pPr>
        <w:spacing w:after="0" w:line="16"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 price has been and will likely continue to be volatile.</w:t>
      </w:r>
    </w:p>
    <w:p>
      <w:pPr>
        <w:spacing w:after="0" w:line="16" w:lineRule="exact"/>
        <w:rPr>
          <w:rFonts w:ascii="Arial" w:cs="Arial" w:eastAsia="Arial" w:hAnsi="Arial"/>
          <w:sz w:val="18"/>
          <w:szCs w:val="18"/>
          <w:color w:val="auto"/>
        </w:rPr>
      </w:pPr>
    </w:p>
    <w:p>
      <w:pPr>
        <w:ind w:left="316" w:right="280" w:hanging="316"/>
        <w:spacing w:after="0" w:line="250"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Jonathan Oringer, our founder and Executive Chairman of the Board, owns and controls approximately 33.1%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6" w:lineRule="exact"/>
        <w:rPr>
          <w:rFonts w:ascii="Arial" w:cs="Arial" w:eastAsia="Arial" w:hAnsi="Arial"/>
          <w:sz w:val="18"/>
          <w:szCs w:val="18"/>
          <w:color w:val="auto"/>
        </w:rPr>
      </w:pPr>
    </w:p>
    <w:p>
      <w:pPr>
        <w:ind w:left="316" w:right="50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shares of our common stock pursuant to our share repurchase program may affect the value of our common stock, and there can be no assurance that our share repurchase program will enhance stockholder value.</w:t>
      </w:r>
    </w:p>
    <w:p>
      <w:pPr>
        <w:spacing w:after="0" w:line="1" w:lineRule="exact"/>
        <w:rPr>
          <w:rFonts w:ascii="Arial" w:cs="Arial" w:eastAsia="Arial" w:hAnsi="Arial"/>
          <w:sz w:val="18"/>
          <w:szCs w:val="18"/>
          <w:color w:val="auto"/>
        </w:rPr>
      </w:pPr>
    </w:p>
    <w:p>
      <w:pPr>
        <w:ind w:left="316" w:right="56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sales of our common stock in the public market could cause our share price to decline.</w:t>
      </w:r>
    </w:p>
    <w:p>
      <w:pPr>
        <w:spacing w:after="0" w:line="29" w:lineRule="exact"/>
        <w:rPr>
          <w:rFonts w:ascii="Arial" w:cs="Arial" w:eastAsia="Arial" w:hAnsi="Arial"/>
          <w:sz w:val="18"/>
          <w:szCs w:val="18"/>
          <w:color w:val="auto"/>
        </w:rPr>
      </w:pPr>
    </w:p>
    <w:p>
      <w:pPr>
        <w:ind w:left="316" w:right="300" w:hanging="316"/>
        <w:spacing w:after="0" w:line="25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Delaware law could discourage, delay or prevent a change in control of our Company and may affect the trading price of our common stock.</w:t>
      </w:r>
    </w:p>
    <w:p>
      <w:pPr>
        <w:spacing w:after="0" w:line="1" w:lineRule="exact"/>
        <w:rPr>
          <w:rFonts w:ascii="Arial" w:cs="Arial" w:eastAsia="Arial" w:hAnsi="Arial"/>
          <w:sz w:val="18"/>
          <w:szCs w:val="18"/>
          <w:color w:val="auto"/>
        </w:rPr>
      </w:pPr>
    </w:p>
    <w:p>
      <w:pPr>
        <w:ind w:left="316" w:hanging="316"/>
        <w:spacing w:after="0"/>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can be no assurance that we will declare dividends in the future.</w:t>
      </w:r>
    </w:p>
    <w:p>
      <w:pPr>
        <w:spacing w:after="0" w:line="16" w:lineRule="exact"/>
        <w:rPr>
          <w:rFonts w:ascii="Arial" w:cs="Arial" w:eastAsia="Arial" w:hAnsi="Arial"/>
          <w:sz w:val="18"/>
          <w:szCs w:val="18"/>
          <w:color w:val="auto"/>
        </w:rPr>
      </w:pPr>
    </w:p>
    <w:p>
      <w:pPr>
        <w:ind w:left="316" w:right="20" w:hanging="316"/>
        <w:spacing w:after="0" w:line="259"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and expect to continue to incur increased costs and our management will continue to face increased demands as a result of continuously improving our operations as a public company.</w:t>
      </w:r>
    </w:p>
    <w:p>
      <w:pPr>
        <w:ind w:left="316" w:right="160" w:hanging="316"/>
        <w:spacing w:after="0" w:line="261"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over financial reporting, we may not be able to report our financial results accurately or in a timely fashion, and we may not be able to prevent fraud; in such case, our stockholders</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130810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36"/>
          </w:cols>
          <w:pgMar w:left="404" w:top="127" w:right="359" w:bottom="1440" w:gutter="0" w:footer="0" w:header="0"/>
        </w:sectPr>
      </w:pPr>
    </w:p>
    <w:bookmarkStart w:id="16" w:name="page17"/>
    <w:bookmarkEnd w:id="1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could lose confidence in our financial reporting, which would harm our business and could negatively impact the price of our stock.</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Coronavirus (COVID-19) Pandemic</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The effect of the COVID-19 pandemic on our operations, and the operations of our customers, partners and suppliers, has had and could have a material adverse effect on our business, financial condition, cash flows and results of operations, and the extent to which the pandemic will have a continued impact remains uncertain.</w:t>
      </w:r>
    </w:p>
    <w:p>
      <w:pPr>
        <w:spacing w:after="0" w:line="85" w:lineRule="exact"/>
        <w:rPr>
          <w:sz w:val="20"/>
          <w:szCs w:val="20"/>
          <w:color w:val="auto"/>
        </w:rPr>
      </w:pPr>
    </w:p>
    <w:p>
      <w:pPr>
        <w:ind w:right="20" w:firstLine="395"/>
        <w:spacing w:after="0" w:line="260" w:lineRule="auto"/>
        <w:rPr>
          <w:sz w:val="20"/>
          <w:szCs w:val="20"/>
          <w:color w:val="auto"/>
        </w:rPr>
      </w:pPr>
      <w:r>
        <w:rPr>
          <w:rFonts w:ascii="Arial" w:cs="Arial" w:eastAsia="Arial" w:hAnsi="Arial"/>
          <w:sz w:val="16"/>
          <w:szCs w:val="16"/>
          <w:color w:val="auto"/>
        </w:rPr>
        <w:t>In December 2019, a novel coronavirus disease (“COVID-19”) was initially reported and on March 11, 2020, the World Health Organization characterized COVID-19 as a pandemic. COVID-19 has had a widespread and detrimental effect on the global economy as a result of the continued fluctuation in the number of cases and affected countries and actions by public health and governmental authorities, businesses, other organizations and individuals to address the outbreak, including travel bans and restrictions, quarantines, shelter in place, stay at home or total lock-down orders and business limitations and shutdowns. Despite recent developments of vaccines, the duration and severity of COVID-19 and possible mutations and the degree of its impact on our business is uncertain and difficult to predict. 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lower renewal rates by our customers; increased customer losses/churn and turnover of talent; increased challenges in or cost of acquiring new customers and talent; reduction in the amount of content uploaded by our contributors and/or reduction in the number of contributors on our site because of reduced royalties earned by our contributors; inability of our Custom contributors and editorial photographers to complete assignments because of travel and in-person event restrictions; increased competition; increased risk in collectability of accounts receivable; reduced productivity due to remote work arrangements; lost productivity due to illness and/or illness of family members; inability to hire key roles; adverse effects on our strategic partners’ businesses; impairment charges; extreme currency exchange-rate fluctuations; inability to recover costs from insurance carriers; business continuity concerns for us and our third-party vendors; inability of counterparties to perform under their agreements with us; increased risk of vulnerability to cybersecurity attacks or breaches resulting from a greater number of our employees working remotely for extended periods of time; and challenges with Internet infrastructure due to high loads. If we are not able to respond to and manage the potential impact of such events effectively, our business could be harmed.</w:t>
      </w:r>
    </w:p>
    <w:p>
      <w:pPr>
        <w:spacing w:after="0" w:line="127" w:lineRule="exact"/>
        <w:rPr>
          <w:sz w:val="20"/>
          <w:szCs w:val="20"/>
          <w:color w:val="auto"/>
        </w:rPr>
      </w:pPr>
    </w:p>
    <w:p>
      <w:pPr>
        <w:ind w:right="80" w:firstLine="395"/>
        <w:spacing w:after="0" w:line="280" w:lineRule="auto"/>
        <w:rPr>
          <w:sz w:val="20"/>
          <w:szCs w:val="20"/>
          <w:color w:val="auto"/>
        </w:rPr>
      </w:pPr>
      <w:r>
        <w:rPr>
          <w:rFonts w:ascii="Arial" w:cs="Arial" w:eastAsia="Arial" w:hAnsi="Arial"/>
          <w:sz w:val="16"/>
          <w:szCs w:val="16"/>
          <w:color w:val="auto"/>
        </w:rPr>
        <w:t>As we generally recognize revenue from our customers as content is downloaded, the impact to our reported revenue resulting from recent and near-term changes in our sales activity due to COVID-19 may not be fully apparent until future periods. Our efforts to help mitigate the negative impact of the outbreak on our business may not be effective, and we may be affected by a protracted economic downturn.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21"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In addition, the overall uncertainty regarding the economic impact of the COVID-19 pandemic and the impact on our revenue growth, could impact our cash flows from operations and liquidity. To the extent the COVID-19 pandemic adversely affects our business and financial results, it may also have the effect of heightening many of the other risks described in this “Risk Factors” section. Material changes to our cash flows, liquidity and the volatility of the stock market and our stock price could impact our capital allocation strategy, including our quarterly dividend program and our outstanding authorization under our stock repurchase program.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 Dynamics and Competition</w:t>
      </w:r>
    </w:p>
    <w:p>
      <w:pPr>
        <w:spacing w:after="0" w:line="167"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6"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If we lose existing customers, or new customers are not as active as our existing customers, our financial performance and growth could be harmed.</w:t>
      </w:r>
    </w:p>
    <w:p>
      <w:pPr>
        <w:spacing w:after="0" w:line="132"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76" w:lineRule="exact"/>
        <w:rPr>
          <w:sz w:val="20"/>
          <w:szCs w:val="20"/>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of content available for licensing;</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marketing efforts;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features and functionality of our platform;</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pricing of our products;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products and services and ability to expand our offerings;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and contributors’ experience in using our platform; and</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and accuracy of our search algorithms.</w:t>
      </w:r>
    </w:p>
    <w:p>
      <w:pPr>
        <w:spacing w:after="0" w:line="109"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58" w:lineRule="exact"/>
        <w:rPr>
          <w:sz w:val="20"/>
          <w:szCs w:val="20"/>
          <w:color w:val="auto"/>
        </w:rPr>
      </w:pPr>
    </w:p>
    <w:p>
      <w:pPr>
        <w:ind w:right="480" w:firstLine="395"/>
        <w:spacing w:after="0" w:line="324" w:lineRule="auto"/>
        <w:rPr>
          <w:sz w:val="20"/>
          <w:szCs w:val="20"/>
          <w:color w:val="auto"/>
        </w:rPr>
      </w:pPr>
      <w:r>
        <w:rPr>
          <w:rFonts w:ascii="Arial" w:cs="Arial" w:eastAsia="Arial" w:hAnsi="Arial"/>
          <w:sz w:val="16"/>
          <w:szCs w:val="16"/>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industry in which we operate is highly competitive with low barriers to entry and if we do not compete effectively, our operating results could suffer.</w:t>
      </w:r>
    </w:p>
    <w:p>
      <w:pPr>
        <w:spacing w:after="0" w:line="143"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The industry in which we operate is intensely competitive and rapidly evolving, with low barriers to entry. We compete with a wide and diverse array of companies, from significant media companies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66"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 workplace tools and ability to engage with additional platform features; and the global nature of a company’s interfaces and marketing efforts, including local content, languages, currencies, and payment methods.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66"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Additionally, there has been a recent trend toward industry consolidation and competitors have acquired, invested in or partnered with other competitors or leveraged their own content-related competencies to enter our market. We expect this trend toward industry consolidation to continue as companies attempt to hold or strengthen their market positions in an evolving industry. We believe that industry consolidation may result in stronger competitors that are better able to compete for customers. This could lead to more variability in operating results as we compete with larger competitors and could have a material adverse effect on our business, operating results, and financial condition.</w:t>
      </w:r>
    </w:p>
    <w:p>
      <w:pPr>
        <w:spacing w:after="0" w:line="6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58"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1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76"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Maintaining and promoting awareness of our platform and services is important to our ability to attract and retain customers. We spend a significant amount on marketing activities to acquire new customers and retain and engage existing customers. For example, in 2021, 2020 and 2019 our marketing expenses were approximately $112.9 million, $81.2 million and $102.3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66"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66"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1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76" w:lineRule="exact"/>
        <w:rPr>
          <w:sz w:val="20"/>
          <w:szCs w:val="20"/>
          <w:color w:val="auto"/>
        </w:rPr>
      </w:pPr>
    </w:p>
    <w:p>
      <w:pPr>
        <w:ind w:right="40" w:firstLine="395"/>
        <w:spacing w:after="0" w:line="278" w:lineRule="auto"/>
        <w:rPr>
          <w:sz w:val="20"/>
          <w:szCs w:val="20"/>
          <w:color w:val="auto"/>
        </w:rPr>
      </w:pPr>
      <w:r>
        <w:rPr>
          <w:rFonts w:ascii="Arial" w:cs="Arial" w:eastAsia="Arial" w:hAnsi="Arial"/>
          <w:sz w:val="16"/>
          <w:szCs w:val="16"/>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2021, 2020 and 2019 our product and development costs (which exclude costs that are capitalized related to internal-use software development projects), were approximately $52.0 million, $46.0 million and $57.2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280" w:firstLine="395"/>
        <w:spacing w:after="0" w:line="291" w:lineRule="auto"/>
        <w:rPr>
          <w:sz w:val="20"/>
          <w:szCs w:val="20"/>
          <w:color w:val="auto"/>
        </w:rPr>
      </w:pPr>
      <w:r>
        <w:rPr>
          <w:rFonts w:ascii="Arial" w:cs="Arial" w:eastAsia="Arial" w:hAnsi="Arial"/>
          <w:sz w:val="16"/>
          <w:szCs w:val="16"/>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55" w:lineRule="exact"/>
        <w:rPr>
          <w:sz w:val="20"/>
          <w:szCs w:val="20"/>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 customers’ and contributors’ changing needs or emerging technological trends;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develop, complete and introduce innovative new products and enhancements;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differentiate our products from those of our competitors;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market our products and gain market acceptance;</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products competitively; and</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timely, effective and accurate support to our customers and contributors.</w:t>
      </w:r>
    </w:p>
    <w:p>
      <w:pPr>
        <w:spacing w:after="0" w:line="109"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Unless we increase market awareness of our brand and our existing and new products and services, our revenue may not continue to grow.</w:t>
      </w:r>
    </w:p>
    <w:p>
      <w:pPr>
        <w:spacing w:after="0" w:line="132"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62"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118"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30" w:lineRule="exact"/>
        <w:rPr>
          <w:sz w:val="20"/>
          <w:szCs w:val="20"/>
          <w:color w:val="auto"/>
        </w:rPr>
      </w:pPr>
    </w:p>
    <w:p>
      <w:pPr>
        <w:ind w:right="440" w:firstLine="395"/>
        <w:spacing w:after="0" w:line="284" w:lineRule="auto"/>
        <w:rPr>
          <w:sz w:val="20"/>
          <w:szCs w:val="20"/>
          <w:color w:val="auto"/>
        </w:rPr>
      </w:pPr>
      <w:r>
        <w:rPr>
          <w:rFonts w:ascii="Arial" w:cs="Arial" w:eastAsia="Arial" w:hAnsi="Arial"/>
          <w:sz w:val="16"/>
          <w:szCs w:val="16"/>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89" w:lineRule="exact"/>
        <w:rPr>
          <w:sz w:val="20"/>
          <w:szCs w:val="20"/>
          <w:color w:val="auto"/>
        </w:rPr>
      </w:pPr>
    </w:p>
    <w:p>
      <w:pPr>
        <w:ind w:right="220" w:firstLine="395"/>
        <w:spacing w:after="0" w:line="316" w:lineRule="auto"/>
        <w:rPr>
          <w:sz w:val="20"/>
          <w:szCs w:val="20"/>
          <w:color w:val="auto"/>
        </w:rPr>
      </w:pPr>
      <w:r>
        <w:rPr>
          <w:rFonts w:ascii="Arial" w:cs="Arial" w:eastAsia="Arial" w:hAnsi="Arial"/>
          <w:sz w:val="15"/>
          <w:szCs w:val="15"/>
          <w:color w:val="auto"/>
        </w:rPr>
        <w:t>Historically, our operations have been focused on our marketplace for content. Further expansion of our operations and our marketplace into additional content categories, such as Shutterstock Editorial, or into new products and services, such as Shutterstock Studios, an end-to-end custom creative shop, our creative flow applications, such as Catalog and Plan, creative editing software and our predictive performance functionality, involves numerous risks and challenges, including increased capital requirements, increased marketing spend to gain brand awareness of these new operations, potential new competitors,</w:t>
      </w:r>
    </w:p>
    <w:p>
      <w:pPr>
        <w:spacing w:after="0" w:line="3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14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7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64"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our revenues at historical rates.</w:t>
      </w:r>
    </w:p>
    <w:p>
      <w:pPr>
        <w:spacing w:after="0" w:line="109"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Our future profitability will depend in part on our continued ability to grow our revenues.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11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76"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Customers in our Enterprise sales channel provided approximately 37%, 38% and 40% of our revenues in 2021, 2020 and 2019, respectively. These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 We have been optimizing our sales team and refining the manner in which our products and services are sold through this channel. However, we are continuing to build our sales leadership team and sales strategy. We also periodically adjust our sales organization as part of our efforts to optimize our sales operation to grow revenue.</w:t>
      </w:r>
    </w:p>
    <w:p>
      <w:pPr>
        <w:spacing w:after="0" w:line="6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We continue to be substantially dependent on our sales force to effectively obtain new customers and to drive additional use cases and adoption among our existing customers. We believe that there is significant competition for sales personnel with the skills and knowledge that we require. Our ability to achieve significant revenue growth will depend, in large part, on our success in recruiting, training and retaining sufficient numbers of qualified sales personnel to support our growth. Our growth creates additional challenges and risks with respect to attracting, integrating and retaining qualified employees, particularly enterprise sales leadership and sales personnel. In addition, we expect that, if we continue to grow, a large percentage of our</w:t>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sales force at any time will be new to the company and our offerings.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hire or retain sufficient numbers of qualified individuals in the markets where we do business or plan to do business.</w:t>
      </w:r>
    </w:p>
    <w:p>
      <w:pPr>
        <w:spacing w:after="0" w:line="55"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continued to grow in recent periods and if we fail to effectively manage our growth, our business and operating results may suffer.</w:t>
      </w:r>
    </w:p>
    <w:p>
      <w:pPr>
        <w:spacing w:after="0" w:line="132"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In the last several years, we have continued to experience revenue growth and may continue to experience such growth in the future. For example, our revenues increased from $650.5 million in 2019 to $666.7 million in 2020 and to $773.4 million in 2021.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68"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 encounter risks and uncertainties frequently experienced by growing companies in rapidly changing markets. If our assumptions 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make, integrate and maintain acquisitions and investments, our business could be adversely impacted.</w:t>
      </w:r>
    </w:p>
    <w:p>
      <w:pPr>
        <w:spacing w:after="0" w:line="109"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85" w:lineRule="exact"/>
        <w:rPr>
          <w:sz w:val="20"/>
          <w:szCs w:val="20"/>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our ongoing business, including diverting management’s attention from existing businesses and operations;</w:t>
      </w:r>
    </w:p>
    <w:p>
      <w:pPr>
        <w:spacing w:after="0" w:line="108" w:lineRule="exact"/>
        <w:rPr>
          <w:rFonts w:ascii="Arial" w:cs="Arial" w:eastAsia="Arial" w:hAnsi="Arial"/>
          <w:sz w:val="18"/>
          <w:szCs w:val="18"/>
          <w:color w:val="auto"/>
        </w:rPr>
      </w:pPr>
    </w:p>
    <w:p>
      <w:pPr>
        <w:ind w:left="1260" w:right="380" w:hanging="307"/>
        <w:spacing w:after="0" w:line="261" w:lineRule="auto"/>
        <w:tabs>
          <w:tab w:leader="none" w:pos="1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inherent in launching or acquiring new products or extending our existing platform, particularly in market segments or geographies where we have limited or no experience;</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acquired technology and assets, including content collections, into our systems and offerings;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any acquired liabilities;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personnel;</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security vulnerabilities;</w:t>
      </w:r>
    </w:p>
    <w:p>
      <w:pPr>
        <w:spacing w:after="0" w:line="108" w:lineRule="exact"/>
        <w:rPr>
          <w:rFonts w:ascii="Arial" w:cs="Arial" w:eastAsia="Arial" w:hAnsi="Arial"/>
          <w:sz w:val="18"/>
          <w:szCs w:val="18"/>
          <w:color w:val="auto"/>
        </w:rPr>
      </w:pPr>
    </w:p>
    <w:p>
      <w:pPr>
        <w:ind w:left="1260" w:right="440" w:hanging="307"/>
        <w:spacing w:after="0" w:line="261" w:lineRule="auto"/>
        <w:tabs>
          <w:tab w:leader="none" w:pos="1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accounting, financial reporting, management, infrastructure and information security, human resources and other administrative and operational systems;</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impairment resulting from the recording of goodwill and intangible assets that are subject to impairment testing;</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damage to employee, customer, contributor and other supplier relationships;</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1260" w:hanging="307"/>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additional exposure to economic, political and social risks related to geographies where we have limited or no experience; and</w:t>
      </w:r>
    </w:p>
    <w:p>
      <w:pPr>
        <w:spacing w:after="0" w:line="131" w:lineRule="exact"/>
        <w:rPr>
          <w:rFonts w:ascii="Arial" w:cs="Arial" w:eastAsia="Arial" w:hAnsi="Arial"/>
          <w:sz w:val="16"/>
          <w:szCs w:val="16"/>
          <w:color w:val="auto"/>
        </w:rPr>
      </w:pPr>
    </w:p>
    <w:p>
      <w:pPr>
        <w:ind w:left="1260" w:hanging="307"/>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unknown liabilities.</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58"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55" w:lineRule="exact"/>
        <w:rPr>
          <w:sz w:val="20"/>
          <w:szCs w:val="20"/>
          <w:color w:val="auto"/>
        </w:rPr>
      </w:pPr>
    </w:p>
    <w:p>
      <w:pPr>
        <w:ind w:right="300" w:firstLine="395"/>
        <w:spacing w:after="0" w:line="324" w:lineRule="auto"/>
        <w:rPr>
          <w:sz w:val="20"/>
          <w:szCs w:val="20"/>
          <w:color w:val="auto"/>
        </w:rPr>
      </w:pPr>
      <w:r>
        <w:rPr>
          <w:rFonts w:ascii="Arial" w:cs="Arial" w:eastAsia="Arial" w:hAnsi="Arial"/>
          <w:sz w:val="16"/>
          <w:szCs w:val="16"/>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76" w:lineRule="exact"/>
        <w:rPr>
          <w:sz w:val="20"/>
          <w:szCs w:val="20"/>
          <w:color w:val="auto"/>
        </w:rPr>
      </w:pPr>
    </w:p>
    <w:p>
      <w:pPr>
        <w:ind w:right="140" w:firstLine="395"/>
        <w:spacing w:after="0" w:line="248" w:lineRule="auto"/>
        <w:rPr>
          <w:sz w:val="20"/>
          <w:szCs w:val="20"/>
          <w:color w:val="auto"/>
        </w:rPr>
      </w:pPr>
      <w:r>
        <w:rPr>
          <w:rFonts w:ascii="Arial" w:cs="Arial" w:eastAsia="Arial" w:hAnsi="Arial"/>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89" w:lineRule="exact"/>
        <w:rPr>
          <w:sz w:val="20"/>
          <w:szCs w:val="20"/>
          <w:color w:val="auto"/>
        </w:rPr>
      </w:pPr>
    </w:p>
    <w:p>
      <w:pPr>
        <w:ind w:right="160" w:firstLine="395"/>
        <w:spacing w:after="0" w:line="280" w:lineRule="auto"/>
        <w:rPr>
          <w:sz w:val="20"/>
          <w:szCs w:val="20"/>
          <w:color w:val="auto"/>
        </w:rPr>
      </w:pPr>
      <w:r>
        <w:rPr>
          <w:rFonts w:ascii="Arial" w:cs="Arial" w:eastAsia="Arial" w:hAnsi="Arial"/>
          <w:sz w:val="16"/>
          <w:szCs w:val="16"/>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related to our use of independent contractors.</w:t>
      </w:r>
    </w:p>
    <w:p>
      <w:pPr>
        <w:spacing w:after="0" w:line="109"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Arial" w:cs="Arial" w:eastAsia="Arial" w:hAnsi="Arial"/>
          <w:sz w:val="16"/>
          <w:szCs w:val="16"/>
          <w:i w:val="1"/>
          <w:iCs w:val="1"/>
          <w:color w:val="auto"/>
        </w:rPr>
        <w:t xml:space="preserve">Dynamex Operations West, Inc. v. Superior Court </w:t>
      </w:r>
      <w:r>
        <w:rPr>
          <w:rFonts w:ascii="Arial" w:cs="Arial" w:eastAsia="Arial" w:hAnsi="Arial"/>
          <w:sz w:val="16"/>
          <w:szCs w:val="16"/>
          <w:color w:val="auto"/>
        </w:rPr>
        <w:t>case. This standard was expanded and codified in California via Assembly Bill 5, which was signed into law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September 2019 and became effective as of January 1, 2020. The </w:t>
      </w:r>
      <w:r>
        <w:rPr>
          <w:rFonts w:ascii="Arial" w:cs="Arial" w:eastAsia="Arial" w:hAnsi="Arial"/>
          <w:sz w:val="16"/>
          <w:szCs w:val="16"/>
          <w:i w:val="1"/>
          <w:iCs w:val="1"/>
          <w:color w:val="auto"/>
        </w:rPr>
        <w:t>Dynamex</w:t>
      </w:r>
      <w:r>
        <w:rPr>
          <w:rFonts w:ascii="Arial" w:cs="Arial" w:eastAsia="Arial" w:hAnsi="Arial"/>
          <w:sz w:val="16"/>
          <w:szCs w:val="16"/>
          <w:color w:val="auto"/>
        </w:rPr>
        <w:t xml:space="preserve"> decision and Assembly Bill 5 altered the analysis of whether an individual, who is classified by a hiring entity as an independent contractor in California, has been properly classified as an independent contractor. Under the new test, an individual is considered an employee under the California Wage Orders unless the hiring entity establishes three criteria: (i) the worker is free from the control and direction of the hiring entity in connection with the performance of the work, both under the contract for the performance of such work and in fact; (ii) the worker performs work that is outside the usual course of the hiring entity’s business; and (iii) the worker is customarily engaged in an independently established trade, occupation, or business of the same nature as the work performed for the hiring entity. Assembly Bill 5 is subject to ongoing scrutiny and amendments.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80" w:firstLine="395"/>
        <w:spacing w:after="0" w:line="247" w:lineRule="auto"/>
        <w:rPr>
          <w:sz w:val="20"/>
          <w:szCs w:val="20"/>
          <w:color w:val="auto"/>
        </w:rPr>
      </w:pPr>
      <w:r>
        <w:rPr>
          <w:rFonts w:ascii="Arial" w:cs="Arial" w:eastAsia="Arial" w:hAnsi="Arial"/>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non-payment or late payments of amounts due to us from certain customers may negatively impact our financial condition.</w:t>
      </w:r>
    </w:p>
    <w:p>
      <w:pPr>
        <w:spacing w:after="0" w:line="109" w:lineRule="exact"/>
        <w:rPr>
          <w:sz w:val="20"/>
          <w:szCs w:val="20"/>
          <w:color w:val="auto"/>
        </w:rPr>
      </w:pPr>
    </w:p>
    <w:p>
      <w:pPr>
        <w:ind w:right="140" w:firstLine="395"/>
        <w:spacing w:after="0" w:line="302" w:lineRule="auto"/>
        <w:rPr>
          <w:sz w:val="20"/>
          <w:szCs w:val="20"/>
          <w:color w:val="auto"/>
        </w:rPr>
      </w:pPr>
      <w:r>
        <w:rPr>
          <w:rFonts w:ascii="Arial" w:cs="Arial" w:eastAsia="Arial" w:hAnsi="Arial"/>
          <w:sz w:val="15"/>
          <w:szCs w:val="15"/>
          <w:color w:val="auto"/>
        </w:rPr>
        <w:t>Our revenue generated through sales to enterprise customers represented approximately 37% of our total revenue for the year ended December 31, 2021 and approximately 38% of our total revenue for the year ended December 31, 2020. A portion of these customers typically purchase our products on payment terms, and therefore we assume a credit risk for non-payment in the ordinary course of business. Further, in certain 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December 31, 2021, our allowance for doubtful accounts was $1.9 million. If the volume of sales to enterprise customers grows, we expect to increase our allowance for doubtful accounts primarily as the result of changes in the volume of sales to customers who pay on payment terms or through resellers.</w:t>
      </w:r>
    </w:p>
    <w:p>
      <w:pPr>
        <w:spacing w:after="0" w:line="10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76" w:lineRule="exact"/>
        <w:rPr>
          <w:sz w:val="20"/>
          <w:szCs w:val="20"/>
          <w:color w:val="auto"/>
        </w:rPr>
      </w:pPr>
    </w:p>
    <w:p>
      <w:pPr>
        <w:ind w:right="80" w:firstLine="395"/>
        <w:spacing w:after="0" w:line="300" w:lineRule="auto"/>
        <w:rPr>
          <w:sz w:val="20"/>
          <w:szCs w:val="20"/>
          <w:color w:val="auto"/>
        </w:rPr>
      </w:pPr>
      <w:r>
        <w:rPr>
          <w:rFonts w:ascii="Arial" w:cs="Arial" w:eastAsia="Arial" w:hAnsi="Arial"/>
          <w:sz w:val="15"/>
          <w:szCs w:val="15"/>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55"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09" w:lineRule="exact"/>
        <w:rPr>
          <w:sz w:val="20"/>
          <w:szCs w:val="20"/>
          <w:color w:val="auto"/>
        </w:rPr>
      </w:pPr>
    </w:p>
    <w:p>
      <w:pPr>
        <w:ind w:right="240" w:firstLine="395"/>
        <w:spacing w:after="0" w:line="248" w:lineRule="auto"/>
        <w:rPr>
          <w:sz w:val="20"/>
          <w:szCs w:val="20"/>
          <w:color w:val="auto"/>
        </w:rPr>
      </w:pPr>
      <w:r>
        <w:rPr>
          <w:rFonts w:ascii="Arial" w:cs="Arial" w:eastAsia="Arial" w:hAnsi="Arial"/>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in the future and may be unable to do so on acceptable terms or at all.</w:t>
      </w:r>
    </w:p>
    <w:p>
      <w:pPr>
        <w:spacing w:after="0" w:line="109"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Security Vulnerabilities</w:t>
      </w:r>
    </w:p>
    <w:p>
      <w:pPr>
        <w:spacing w:after="0" w:line="167"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76"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55"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55" w:lineRule="exact"/>
        <w:rPr>
          <w:sz w:val="20"/>
          <w:szCs w:val="20"/>
          <w:color w:val="auto"/>
        </w:rPr>
      </w:pPr>
    </w:p>
    <w:p>
      <w:pPr>
        <w:ind w:firstLine="395"/>
        <w:spacing w:after="0" w:line="304" w:lineRule="auto"/>
        <w:rPr>
          <w:sz w:val="20"/>
          <w:szCs w:val="20"/>
          <w:color w:val="auto"/>
        </w:rPr>
      </w:pPr>
      <w:r>
        <w:rPr>
          <w:rFonts w:ascii="Arial" w:cs="Arial" w:eastAsia="Arial" w:hAnsi="Arial"/>
          <w:sz w:val="15"/>
          <w:szCs w:val="15"/>
          <w:color w:val="auto"/>
        </w:rPr>
        <w:t>We rely upon third-party service providers, such as cloud service providers, for our application hosting, and we are dependent on these third parties to provide continuous power, cooling, internet connectivity and physical security for computing storage resources,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distributed systems enables us to provide rapid content delivery to our customers and is intended to mitigate the risks associated with supporting business continuity in the event of an emergency, a system disruption at a third-party hosting service provider could result in a noticeable disruption and performance degradation to our websites.</w:t>
      </w:r>
    </w:p>
    <w:p>
      <w:pPr>
        <w:spacing w:after="0" w:line="50"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Further, our technology infrastructure may be vulnerable to damage or interruption from natural disasters, power loss, telecommunication failures, terrorist attacks, computer intrusions, vulnerabilities and malware (including viruses and malicious software), software errors, computer denial-of-service attacks and other events. A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6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Technological interruptions that impair access to our web properties or the efficiency of our marketplace could harm our reputation and brand and adversely affect our business and results of operations.</w:t>
      </w:r>
    </w:p>
    <w:p>
      <w:pPr>
        <w:spacing w:after="0" w:line="24"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8"/>
          <w:szCs w:val="18"/>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negative publicity, damage our reputation and brand or adversely affect our results of operations. We have in the past experienced, and may in the future experience temporary system interruptions for a variety of reasons, including security breaches and other security incidents, malware (including viruses and malicious software),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w:t>
      </w:r>
    </w:p>
    <w:p>
      <w:pPr>
        <w:spacing w:after="0" w:line="58"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 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85" w:lineRule="exact"/>
        <w:rPr>
          <w:sz w:val="20"/>
          <w:szCs w:val="20"/>
          <w:color w:val="auto"/>
        </w:rPr>
      </w:pPr>
    </w:p>
    <w:p>
      <w:pPr>
        <w:ind w:right="820"/>
        <w:spacing w:after="0" w:line="329" w:lineRule="auto"/>
        <w:rPr>
          <w:sz w:val="20"/>
          <w:szCs w:val="20"/>
          <w:color w:val="auto"/>
        </w:rPr>
      </w:pPr>
      <w:r>
        <w:rPr>
          <w:rFonts w:ascii="Arial" w:cs="Arial" w:eastAsia="Arial" w:hAnsi="Arial"/>
          <w:sz w:val="15"/>
          <w:szCs w:val="15"/>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spacing w:after="0" w:line="1"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Our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Under our license agreements with our contributors, our contributors represent and warrant that they have the right to license content to us. Under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license agreements with our customers, we expressly represent and warrant that unaltered content downloaded and used in compliance with our license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agreements and applicable law will not infringe any copyright, trademark or other intellectual property right, violate any third-party’s rights of privacy 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publicity, violate any U.S. law, be defamatory or libelous, or be pornographic or obscene. We offer our customers indemnification at amounts ranging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$10,000 to $250,000, with exceptions for certain products for which our indemnification obligations are uncapped, for direct damages attributable to our breach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 the express representations and warranties contained in our license agreements. However, our contractual maximum liability may not be enforceable in 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jurisdictions. The aggregate amount of capped indemnification liability, or the amount of uncapped indemnification liability in individual instances, may be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significant. Any customers who seek indemnification claims from us may also discontinue use of our products and services or encourage other customers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discontinue using our products and services, which could harm our business and reputation.</w:t>
      </w:r>
    </w:p>
    <w:p>
      <w:pPr>
        <w:spacing w:after="0" w:line="97"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 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62"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89"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580" w:firstLine="395"/>
        <w:spacing w:after="0" w:line="324" w:lineRule="auto"/>
        <w:rPr>
          <w:sz w:val="20"/>
          <w:szCs w:val="20"/>
          <w:color w:val="auto"/>
        </w:rPr>
      </w:pPr>
      <w:r>
        <w:rPr>
          <w:rFonts w:ascii="Arial" w:cs="Arial" w:eastAsia="Arial" w:hAnsi="Arial"/>
          <w:sz w:val="16"/>
          <w:szCs w:val="16"/>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7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64"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85"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45" w:lineRule="exact"/>
        <w:rPr>
          <w:sz w:val="20"/>
          <w:szCs w:val="20"/>
          <w:color w:val="auto"/>
        </w:rPr>
      </w:pPr>
    </w:p>
    <w:p>
      <w:pPr>
        <w:ind w:right="20" w:firstLine="395"/>
        <w:spacing w:after="0" w:line="277" w:lineRule="auto"/>
        <w:rPr>
          <w:sz w:val="20"/>
          <w:szCs w:val="20"/>
          <w:color w:val="auto"/>
        </w:rPr>
      </w:pPr>
      <w:r>
        <w:rPr>
          <w:rFonts w:ascii="Arial" w:cs="Arial" w:eastAsia="Arial" w:hAnsi="Arial"/>
          <w:sz w:val="16"/>
          <w:szCs w:val="16"/>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transmit and use our employees’ personally identifiable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or misuse this information. There have been a number of reported incidents where third-party service providers or partners have used software to access the personal data of their customers’ or partners’ customers for marketing and other purposes. Our privacy policies and practices prohibit such activities, but our third-party service providers or partners may nevertheless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remedy and compensation for the individuals affected.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86" w:lineRule="exact"/>
        <w:rPr>
          <w:sz w:val="20"/>
          <w:szCs w:val="20"/>
          <w:color w:val="auto"/>
        </w:rPr>
      </w:pPr>
    </w:p>
    <w:p>
      <w:pPr>
        <w:ind w:firstLine="395"/>
        <w:spacing w:after="0" w:line="276" w:lineRule="auto"/>
        <w:rPr>
          <w:sz w:val="20"/>
          <w:szCs w:val="20"/>
          <w:color w:val="auto"/>
        </w:rPr>
      </w:pPr>
      <w:r>
        <w:rPr>
          <w:rFonts w:ascii="Arial" w:cs="Arial" w:eastAsia="Arial" w:hAnsi="Arial"/>
          <w:sz w:val="16"/>
          <w:szCs w:val="16"/>
          <w:color w:val="auto"/>
        </w:rPr>
        <w:t>Regulatory scrutiny of privacy, data collection, use of data and data protection continues to intensify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GDPR imposes stringent operational requirements for controllers and processors of personal data of individuals in the European Economic Area (the “EEA”), and noncompliance can trigger fines of up to the greater of €20 million or 4% of global annual revenues. Further, following the U.K.’s formal exit from the E.U. in January 2020, we became subject to the GDPR as incorporated into U.K. law. In December 2020, the Brexit Trade and Cooperation Agreement (“TCA”) established a four- to six-month grace period during which transfers of personal data from the E.U. to the U.K. can continue without additional safeguards, provided that the U.K. maintains its pre-TCA data protection laws. The exit creates uncertainty with regard to the regulation of data protection in the U.K. In particular, it is unclear how data transfers to and from the U.K. will be regulated after the grace period expires and whether or not the U.K. will receive an adequacy decision from the European Commission permitting cross-border data transfer prior to leaving the E.U. Additionally, although we are making use of the E.U. Standard Contractual Clauses with regard to the transfer of certain personal data to countries outside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mechanism for cross-border transfers of personal data,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our E.U. business to the U.S. (having previously relied on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 information between and among countries and</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regions in which we operate, it could affect the manner in which we provide our services and could adversely affect our financial results.</w:t>
      </w:r>
    </w:p>
    <w:p>
      <w:pPr>
        <w:spacing w:after="0" w:line="122"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Several other foreign jurisdictions, such as Brazil, where a General Data Privacy Law that imposes detailed rules for the collection, use, processing and storage of personal data in Brazil was signed into law in August 2018 and took effect in 2020, with enforcement beginning in August 2021; and India, where in July 2018 a committee formed by the Indian government issued a report and draft data protection bill that was updated in December 2019 by the Ministry of Electronics and Information Technology and remains subject to continuing joint parliamentary review, have adopted or are considering adopting new or updated comprehensive privacy legislation to offer additional data privacy protections for individuals. Similarly, data privacy laws have been enacted in a number of jurisdictions, including, but not limited to, the European Union, Illinois and California, which regulate the collection of certain biometric data regarding individuals, including their facial images, and the use of such data, including in facial recognition systems. Private and class plaintiffs have successfully asserted claims in settled litigation relating to the processing and storage of photographs under biometric privacy laws.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85" w:lineRule="exact"/>
        <w:rPr>
          <w:sz w:val="20"/>
          <w:szCs w:val="20"/>
          <w:color w:val="auto"/>
        </w:rPr>
      </w:pPr>
    </w:p>
    <w:p>
      <w:pPr>
        <w:ind w:right="40" w:firstLine="395"/>
        <w:spacing w:after="0" w:line="277"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in June 2018, the State of California enacted the CCPA, which came into effect on January 1, 2020. The CCPA requires, among other things, companies that collect personal information about California residents to make new disclosures to those residents about their data collection, use and sharing practices, allows residents to opt out of certain data sharing with third parties, and provides a new cause of action for data breaches. However, the California Privacy Rights Act (“CPRA”), certified by the California Secretary of State to appear as a ballot initiative, was passed by Californians during the November 3, 2020 election. The CPRA, which will come into effect on January 1, 2023 (with a look back to January 2022), amends and expands the CCPA to add additional disclosure obligations (including an obligation to disclose retention periods or criteria for categories of personal information), grant consumers additional rights (including rights to correct their data, limit the use and disclosure of sensitive personal information, and opt out of the sharing of personal information for certain targeted behavioral advertising purposes), and establishes a privacy enforcement agency known as the California Privacy Protection Agency (“CPPA”). The CPPA will serve as California’s chief privacy regulator, which will likely result in greater regulatory activity and enforcement in the privacy area. Other states have also considered or are considering privacy laws similar to the CCPA.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the CPRA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8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89"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malware (including viruses and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81"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or personal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81" w:lineRule="exact"/>
        <w:rPr>
          <w:sz w:val="20"/>
          <w:szCs w:val="20"/>
          <w:color w:val="auto"/>
        </w:rPr>
      </w:pPr>
    </w:p>
    <w:p>
      <w:pPr>
        <w:ind w:firstLine="395"/>
        <w:spacing w:after="0" w:line="298" w:lineRule="auto"/>
        <w:rPr>
          <w:sz w:val="20"/>
          <w:szCs w:val="20"/>
          <w:color w:val="auto"/>
        </w:rPr>
      </w:pPr>
      <w:r>
        <w:rPr>
          <w:rFonts w:ascii="Arial" w:cs="Arial" w:eastAsia="Arial" w:hAnsi="Arial"/>
          <w:sz w:val="15"/>
          <w:szCs w:val="15"/>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or personal information of our employees, customers and contributors and / or our networks. If an actual or perceived breach of our security occurs, the market perception 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results of operations and stock price.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operating results.</w:t>
      </w:r>
    </w:p>
    <w:p>
      <w:pPr>
        <w:spacing w:after="0" w:line="109" w:lineRule="exact"/>
        <w:rPr>
          <w:sz w:val="20"/>
          <w:szCs w:val="20"/>
          <w:color w:val="auto"/>
        </w:rPr>
      </w:pPr>
    </w:p>
    <w:p>
      <w:pPr>
        <w:ind w:right="200" w:firstLine="395"/>
        <w:spacing w:after="0" w:line="282" w:lineRule="auto"/>
        <w:rPr>
          <w:sz w:val="20"/>
          <w:szCs w:val="20"/>
          <w:color w:val="auto"/>
        </w:rPr>
      </w:pPr>
      <w:r>
        <w:rPr>
          <w:rFonts w:ascii="Arial" w:cs="Arial" w:eastAsia="Arial" w:hAnsi="Arial"/>
          <w:sz w:val="16"/>
          <w:szCs w:val="16"/>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“Shutterstock Editorial,” “Asset Assurance,” “Offset,” “Bigstock,” “Rex Features,” “PremiumBeat,” “TurboSquid,” “PicMonkey,” “Pattern89,” “Shotzr,” “Shutterstock Studios” and “Shutterstock Editor” and associated logos and other marks as trademarks in the United States and other jurisdictions and we are the registered owner of the shutterstock.com, bigstock.com, offset.com, premiumbeat.com rexfeatures.com, turbosquid.com and picmonkey.com internet domain names and various other related domain names. Effective intellectual property protection for our trademarks and domain names may not be available or practical in every country in which we operate or intend to operate.</w:t>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60" w:firstLine="395"/>
        <w:spacing w:after="0" w:line="310" w:lineRule="auto"/>
        <w:rPr>
          <w:sz w:val="20"/>
          <w:szCs w:val="20"/>
          <w:color w:val="auto"/>
        </w:rPr>
      </w:pPr>
      <w:r>
        <w:rPr>
          <w:rFonts w:ascii="Arial" w:cs="Arial" w:eastAsia="Arial" w:hAnsi="Arial"/>
          <w:sz w:val="15"/>
          <w:szCs w:val="15"/>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44"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118"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30" w:lineRule="exact"/>
        <w:rPr>
          <w:sz w:val="20"/>
          <w:szCs w:val="20"/>
          <w:color w:val="auto"/>
        </w:rPr>
      </w:pPr>
    </w:p>
    <w:p>
      <w:pPr>
        <w:ind w:right="60" w:firstLine="395"/>
        <w:spacing w:after="0" w:line="278"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 The use of open source software can also carry security risks arising from unknown vulnerabilities that can be exploited by malware in unanticipated ways, which can lead to disruption and / or harm to operations and protected data.</w:t>
      </w:r>
    </w:p>
    <w:p>
      <w:pPr>
        <w:spacing w:after="0" w:line="124"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30"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Our third-party service providers, including cloud service providers could be disrupted by fire, flood, power loss, telecommunications failure, earthquakes, acts of war or terrorism, acts of God, malware (including viruses and malicious software),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our continued expansion internationally expose us to many risks.</w:t>
      </w:r>
    </w:p>
    <w:p>
      <w:pPr>
        <w:spacing w:after="0" w:line="109" w:lineRule="exact"/>
        <w:rPr>
          <w:sz w:val="20"/>
          <w:szCs w:val="20"/>
          <w:color w:val="auto"/>
        </w:rPr>
      </w:pPr>
    </w:p>
    <w:p>
      <w:pPr>
        <w:ind w:right="180" w:firstLine="395"/>
        <w:spacing w:after="0" w:line="282" w:lineRule="auto"/>
        <w:rPr>
          <w:sz w:val="20"/>
          <w:szCs w:val="20"/>
          <w:color w:val="auto"/>
        </w:rPr>
      </w:pPr>
      <w:r>
        <w:rPr>
          <w:rFonts w:ascii="Arial" w:cs="Arial" w:eastAsia="Arial" w:hAnsi="Arial"/>
          <w:sz w:val="16"/>
          <w:szCs w:val="16"/>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2021, 2020 and 2019, approximately two-thirds of our revenue, respectively, was derived from customers located outside of the United States.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international presence exposes us to additional risks, including risks associated with:</w:t>
      </w:r>
    </w:p>
    <w:p>
      <w:pPr>
        <w:spacing w:after="0" w:line="109" w:lineRule="exact"/>
        <w:rPr>
          <w:sz w:val="20"/>
          <w:szCs w:val="20"/>
          <w:color w:val="auto"/>
        </w:rPr>
      </w:pPr>
    </w:p>
    <w:p>
      <w:pPr>
        <w:ind w:left="1260" w:hanging="307"/>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modifying our technology and marketing and localizing our offerings for customers’ and contributors’ preferences, customs and language;</w:t>
      </w:r>
    </w:p>
    <w:p>
      <w:pPr>
        <w:spacing w:after="0" w:line="131" w:lineRule="exact"/>
        <w:rPr>
          <w:rFonts w:ascii="Arial" w:cs="Arial" w:eastAsia="Arial" w:hAnsi="Arial"/>
          <w:sz w:val="16"/>
          <w:szCs w:val="16"/>
          <w:color w:val="auto"/>
        </w:rPr>
      </w:pPr>
    </w:p>
    <w:p>
      <w:pPr>
        <w:ind w:left="1260" w:right="480" w:hanging="307"/>
        <w:spacing w:after="0" w:line="252"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84"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similar laws in other jurisdictions;</w:t>
      </w:r>
    </w:p>
    <w:p>
      <w:pPr>
        <w:spacing w:after="0" w:line="108" w:lineRule="exact"/>
        <w:rPr>
          <w:rFonts w:ascii="Arial" w:cs="Arial" w:eastAsia="Arial" w:hAnsi="Arial"/>
          <w:sz w:val="18"/>
          <w:szCs w:val="18"/>
          <w:color w:val="auto"/>
        </w:rPr>
      </w:pPr>
    </w:p>
    <w:p>
      <w:pPr>
        <w:ind w:left="1260" w:right="360" w:hanging="307"/>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76" w:lineRule="exact"/>
        <w:rPr>
          <w:rFonts w:ascii="Arial" w:cs="Arial" w:eastAsia="Arial" w:hAnsi="Arial"/>
          <w:sz w:val="18"/>
          <w:szCs w:val="18"/>
          <w:color w:val="auto"/>
        </w:rPr>
      </w:pPr>
    </w:p>
    <w:p>
      <w:pPr>
        <w:ind w:left="1260" w:right="20" w:hanging="307"/>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regulation of e-commerce and other services and restrictive governmental actions on the distribution of content, such as filtering or removal of content;</w:t>
      </w:r>
    </w:p>
    <w:p>
      <w:pPr>
        <w:spacing w:after="0" w:line="76" w:lineRule="exact"/>
        <w:rPr>
          <w:rFonts w:ascii="Arial" w:cs="Arial" w:eastAsia="Arial" w:hAnsi="Arial"/>
          <w:sz w:val="18"/>
          <w:szCs w:val="18"/>
          <w:color w:val="auto"/>
        </w:rPr>
      </w:pPr>
    </w:p>
    <w:p>
      <w:pPr>
        <w:ind w:left="1260" w:right="160" w:hanging="307"/>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levels of consumer spending in foreign countries or lack of adoption of the internet as a medium of commerce;</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in some countries, increased credit risk, and higher levels of payment fraud;</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our or our contributors’ intellectual property rights in certain countries;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that grant rights that may conflict with our business operations;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08" w:lineRule="exact"/>
        <w:rPr>
          <w:rFonts w:ascii="Arial" w:cs="Arial" w:eastAsia="Arial" w:hAnsi="Arial"/>
          <w:sz w:val="18"/>
          <w:szCs w:val="18"/>
          <w:color w:val="auto"/>
        </w:rPr>
      </w:pPr>
    </w:p>
    <w:p>
      <w:pPr>
        <w:ind w:left="1260" w:hanging="307"/>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enforcing contractual rights in our license agreements;</w:t>
      </w:r>
    </w:p>
    <w:p>
      <w:pPr>
        <w:spacing w:after="0" w:line="108" w:lineRule="exact"/>
        <w:rPr>
          <w:rFonts w:ascii="Arial" w:cs="Arial" w:eastAsia="Arial" w:hAnsi="Arial"/>
          <w:sz w:val="18"/>
          <w:szCs w:val="18"/>
          <w:color w:val="auto"/>
        </w:rPr>
      </w:pPr>
    </w:p>
    <w:p>
      <w:pPr>
        <w:ind w:left="1260" w:hanging="307"/>
        <w:spacing w:after="0" w:line="324" w:lineRule="auto"/>
        <w:tabs>
          <w:tab w:leader="none" w:pos="1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29" w:lineRule="exact"/>
        <w:rPr>
          <w:rFonts w:ascii="Arial" w:cs="Arial" w:eastAsia="Arial" w:hAnsi="Arial"/>
          <w:sz w:val="16"/>
          <w:szCs w:val="16"/>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fluctuations, hyperinflation, or devaluation;</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strains on our financial and other systems to properly comply with, and administer, VAT, withholdings, sales and other taxes; and</w:t>
      </w:r>
    </w:p>
    <w:p>
      <w:pPr>
        <w:spacing w:after="0" w:line="131" w:lineRule="exact"/>
        <w:rPr>
          <w:rFonts w:ascii="Arial" w:cs="Arial" w:eastAsia="Arial" w:hAnsi="Arial"/>
          <w:sz w:val="16"/>
          <w:szCs w:val="16"/>
          <w:color w:val="auto"/>
        </w:rPr>
      </w:pPr>
    </w:p>
    <w:p>
      <w:pPr>
        <w:ind w:left="1260" w:hanging="307"/>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109"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delay entry into such markets, or require us to enter into commercial arrangements with local partners, all of which may affect our ability to</w:t>
      </w: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2" w:name="page33"/>
    <w:bookmarkEnd w:id="3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uncertainty caused by the U.K.’s exit from the European Union (Brexit) on January 31, 2020 may negatively impact our operations.</w:t>
      </w:r>
    </w:p>
    <w:p>
      <w:pPr>
        <w:spacing w:after="0" w:line="132"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On January 31, 2020, the United Kingdom (the “U.K.”) withdrew from the European Union (the “E.U.”), commonly referred to as “Brexit,” following a July 2016 referendum in which Brexit was approved by U.K. voters. Following a transition period during which existing trade rules continued to apply through December 31, 2020, the U.K. and the E.U. entered into a EU-UK trade and cooperation agreement that details the future economic relationship between the U.K. and the E.U. The EU-UK trade and cooperation agreement went into effect on January 1, 2021, however, there is still uncertainty on the application and interpretation of many of the provisions, including with respect to the relationship between the Republic of Ireland, where the Company recently established and maintains significant technology operations, and Northern Ireland that could have adverse effects on our operations.</w:t>
      </w:r>
    </w:p>
    <w:p>
      <w:pPr>
        <w:spacing w:after="0" w:line="62"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In 2021, sales to customers in the U.K. accounted for approximately 8% of our total revenue and sales to customers in Europe, including the U.K., accounted for approximately 33% of our total revenue. The impact of Brexit on our business will depend, in part, on the outcome of tariff, trade, regulatory and other negotiations. It is possible that economic activity in the U.K. and the E.U. will be adversely impacted and that there will be increased regulatory and legal complexities, including those relating to tax, trade, security and employees. Such changes could be costly and potentially disruptive to our operations and business relationships in these markets. In addition, Brexit could lead to economic uncertainty and instability, including significant volatility in global stock markets and currency exchange rates, that may adversely impact our business or that of our customers. Currency volatility could weaken the British pound, decreasing income from our U.K. operations translated to dollars as well as decreasing the profitability of our U.K. operations. Any of these effects of Brexit, among others, could adversely affect our business, financial condition, operating results and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As of December 31, 2021,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58" w:lineRule="exact"/>
        <w:rPr>
          <w:sz w:val="20"/>
          <w:szCs w:val="20"/>
          <w:color w:val="auto"/>
        </w:rPr>
      </w:pPr>
    </w:p>
    <w:p>
      <w:pPr>
        <w:jc w:val="both"/>
        <w:ind w:right="240" w:firstLine="395"/>
        <w:spacing w:after="0" w:line="291" w:lineRule="auto"/>
        <w:rPr>
          <w:sz w:val="20"/>
          <w:szCs w:val="20"/>
          <w:color w:val="auto"/>
        </w:rPr>
      </w:pPr>
      <w:r>
        <w:rPr>
          <w:rFonts w:ascii="Arial" w:cs="Arial" w:eastAsia="Arial" w:hAnsi="Arial"/>
          <w:sz w:val="16"/>
          <w:szCs w:val="16"/>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55"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Tax Challenges</w:t>
      </w:r>
    </w:p>
    <w:p>
      <w:pPr>
        <w:spacing w:after="0" w:line="16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76" w:lineRule="exact"/>
        <w:rPr>
          <w:sz w:val="20"/>
          <w:szCs w:val="20"/>
          <w:color w:val="auto"/>
        </w:rPr>
      </w:pPr>
    </w:p>
    <w:p>
      <w:pPr>
        <w:ind w:right="60" w:firstLine="395"/>
        <w:spacing w:after="0" w:line="280" w:lineRule="auto"/>
        <w:rPr>
          <w:sz w:val="20"/>
          <w:szCs w:val="20"/>
          <w:color w:val="auto"/>
        </w:rPr>
      </w:pPr>
      <w:r>
        <w:rPr>
          <w:rFonts w:ascii="Arial" w:cs="Arial" w:eastAsia="Arial" w:hAnsi="Arial"/>
          <w:sz w:val="16"/>
          <w:szCs w:val="16"/>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200" w:lineRule="exact"/>
        <w:rPr>
          <w:sz w:val="20"/>
          <w:szCs w:val="20"/>
          <w:color w:val="auto"/>
        </w:rPr>
      </w:pPr>
    </w:p>
    <w:p>
      <w:pPr>
        <w:spacing w:after="0" w:line="3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140" w:firstLine="395"/>
        <w:spacing w:after="0" w:line="282" w:lineRule="auto"/>
        <w:rPr>
          <w:sz w:val="20"/>
          <w:szCs w:val="20"/>
          <w:color w:val="auto"/>
        </w:rPr>
      </w:pPr>
      <w:r>
        <w:rPr>
          <w:rFonts w:ascii="Arial" w:cs="Arial" w:eastAsia="Arial" w:hAnsi="Arial"/>
          <w:sz w:val="16"/>
          <w:szCs w:val="16"/>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66" w:lineRule="exact"/>
        <w:rPr>
          <w:sz w:val="20"/>
          <w:szCs w:val="20"/>
          <w:color w:val="auto"/>
        </w:rPr>
      </w:pPr>
    </w:p>
    <w:p>
      <w:pPr>
        <w:ind w:right="120" w:firstLine="395"/>
        <w:spacing w:after="0" w:line="281" w:lineRule="auto"/>
        <w:rPr>
          <w:sz w:val="20"/>
          <w:szCs w:val="20"/>
          <w:color w:val="auto"/>
        </w:rPr>
      </w:pPr>
      <w:r>
        <w:rPr>
          <w:rFonts w:ascii="Arial" w:cs="Arial" w:eastAsia="Arial" w:hAnsi="Arial"/>
          <w:sz w:val="16"/>
          <w:szCs w:val="16"/>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11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89"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 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121"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b w:val="1"/>
          <w:bCs w:val="1"/>
          <w:i w:val="1"/>
          <w:iCs w:val="1"/>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30" w:lineRule="exact"/>
        <w:rPr>
          <w:sz w:val="20"/>
          <w:szCs w:val="20"/>
          <w:color w:val="auto"/>
        </w:rPr>
      </w:pPr>
    </w:p>
    <w:p>
      <w:pPr>
        <w:ind w:right="360" w:firstLine="395"/>
        <w:spacing w:after="0" w:line="250" w:lineRule="auto"/>
        <w:rPr>
          <w:sz w:val="20"/>
          <w:szCs w:val="20"/>
          <w:color w:val="auto"/>
        </w:rPr>
      </w:pPr>
      <w:r>
        <w:rPr>
          <w:rFonts w:ascii="Arial" w:cs="Arial" w:eastAsia="Arial" w:hAnsi="Arial"/>
          <w:sz w:val="18"/>
          <w:szCs w:val="18"/>
          <w:color w:val="auto"/>
        </w:rPr>
        <w:t>We believe that our worldwide provision for income taxes is reasonable, but our ultimate tax liability may differ from the amounts recorded in our financial statements. Any additional income tax liability may have a material adverse effect on our financial results in the period or periods for which such determination is made. We have established reserves for such additional income tax liabilities as we believe are appropriate. However, there can be no assurance that our ultimate income tax liability will not exceed those reserves.</w:t>
      </w:r>
    </w:p>
    <w:p>
      <w:pPr>
        <w:spacing w:after="0" w:line="85" w:lineRule="exact"/>
        <w:rPr>
          <w:sz w:val="20"/>
          <w:szCs w:val="20"/>
          <w:color w:val="auto"/>
        </w:rPr>
      </w:pPr>
    </w:p>
    <w:p>
      <w:pPr>
        <w:ind w:right="240" w:firstLine="395"/>
        <w:spacing w:after="0" w:line="299" w:lineRule="auto"/>
        <w:rPr>
          <w:sz w:val="20"/>
          <w:szCs w:val="20"/>
          <w:color w:val="auto"/>
        </w:rPr>
      </w:pPr>
      <w:r>
        <w:rPr>
          <w:rFonts w:ascii="Arial" w:cs="Arial" w:eastAsia="Arial" w:hAnsi="Arial"/>
          <w:sz w:val="16"/>
          <w:szCs w:val="16"/>
          <w:color w:val="auto"/>
        </w:rPr>
        <w:t>Tax law and regulatory changes in the U.S., the E.U. and other jurisdictions, including tax law and regulatory changes that may be enacted by the U.S. federal and state governments or as a result of tax policy recommendations from organizations such as the Organization for Economic Co-operation and Development (the “OECD”), have and may continue to have an impact on our financial condition and results of operations.</w:t>
      </w:r>
    </w:p>
    <w:p>
      <w:pPr>
        <w:spacing w:after="0" w:line="49"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Specifically, the enactment of the TCJA has had and may continue to have a significant effect on our financial statements. Certain provisions of the TCJA are likely to be amended by future legislation or, by their terms, are scheduled to change or expire on specified dates. In addition, questions remain regarding the interpretation and implementation of the TCJA. Potential regulatory or legislative action to address questions under the TCJA and changes in accounting standards for income taxes or related interpretations in response to the TCJA could cause uncertainty regarding the effect of the TCJA on our provision for income taxes. Moreover, foreign jurisdictions and administrative bodies that have raised concerns about certain provisions of the TCJA might formally challenge those provisions or adopt legislation contrary to those provisions. Such a response could eliminate or reduce the benefits that we have derived or may derive from the TCJA.</w:t>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4" w:name="page35"/>
    <w:bookmarkEnd w:id="3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20" w:firstLine="395"/>
        <w:spacing w:after="0" w:line="300" w:lineRule="auto"/>
        <w:rPr>
          <w:sz w:val="20"/>
          <w:szCs w:val="20"/>
          <w:color w:val="auto"/>
        </w:rPr>
      </w:pPr>
      <w:r>
        <w:rPr>
          <w:rFonts w:ascii="Arial" w:cs="Arial" w:eastAsia="Arial" w:hAnsi="Arial"/>
          <w:sz w:val="15"/>
          <w:szCs w:val="15"/>
          <w:color w:val="auto"/>
        </w:rPr>
        <w:t>Fiscal authorities in many foreign jurisdictions have increased their scrutiny of the potential taxation of e-commerce businesses. On October 8, 2021, the OECD announced that over 130 countries had reached a two-pillar agreement to address tax challenges presented by the digitalization of the global economy. Pillar One would require the largest and most profitable multinational enterprises to allocate a portion of their profits to markets where they derive revenue, regardless of whether they maintain a physical presence in those markets. Initially, the profit allocation rule would apply only to multinational enterprises with more than €20 billion in global annual revenues and a profit margin above 10%. The revenue threshold would be reduced to €10 billion beginning seven years after the effective date of Pillar One. Pillar Two would subject multinational enterprises with annual revenue of more than €750 million to a global minimum tax at a rate of 15%. Based on current US tax law, there exists disparity between the US minimum tax under GILTI and the proposed Pillar Two framework. On December 20th the OECD published detailed model legislation for the Pillar Two project, to assist in the implementation of a landmark reform to the international tax system. The participating countries are expected to implement the agreement by entering into a multilateral convention and enacting domestic legislation by 2023. Such legislation could increase our global effective tax rate and have a material effect on our financial position and results of operations.</w:t>
      </w:r>
    </w:p>
    <w:p>
      <w:pPr>
        <w:spacing w:after="0" w:line="55" w:lineRule="exact"/>
        <w:rPr>
          <w:sz w:val="20"/>
          <w:szCs w:val="20"/>
          <w:color w:val="auto"/>
        </w:rPr>
      </w:pPr>
    </w:p>
    <w:p>
      <w:pPr>
        <w:ind w:right="280" w:firstLine="395"/>
        <w:spacing w:after="0" w:line="250" w:lineRule="auto"/>
        <w:rPr>
          <w:sz w:val="20"/>
          <w:szCs w:val="20"/>
          <w:color w:val="auto"/>
        </w:rPr>
      </w:pPr>
      <w:r>
        <w:rPr>
          <w:rFonts w:ascii="Arial" w:cs="Arial" w:eastAsia="Arial" w:hAnsi="Arial"/>
          <w:sz w:val="18"/>
          <w:szCs w:val="18"/>
          <w:color w:val="auto"/>
        </w:rPr>
        <w:t>To prevent double taxation as a result of the profit allocation rule, the multilateral convention would require the removal of all existing digital services taxes and prohibit the introduction of new digital services taxes. Until the convention is adopted, however, countries that had previously enacted a digital services tax, may continue to impose their tax. The imposition of digital services taxes may have a material effect on our financial condition and results of operations.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operations may expose us to greater than anticipated withholding, sales and transaction tax liabilities, including VAT, which could harm our financial condition and results of operations.</w:t>
      </w:r>
    </w:p>
    <w:p>
      <w:pPr>
        <w:spacing w:after="0" w:line="76"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are subject to non-income taxes, including withholding, sales, use and value added taxes, in various jurisdictions in which we conduct business. Fiscal authorities in one or more of those jurisdictions may contend that our tax liabilities or our obligations to remit transactional taxes are greater than in prior taxable periods and more than anticipated relative to future taxable periods. Significant judgment is required in determining our exposure for non-income taxes. These determinations are highly complex and require detailed analysis of the available information and applicable statutes and regulatory materials. In the ordinary course of our business, there are many transactions and calculations where the ultimate tax determination is uncertain. Certain jurisdictions in which we do not collect withholding, sales, use, value added or other taxes on our sales or assess use tax on our purchases may assert that such taxes are applicable, which could result in tax assessments, penalties and interest, and we may be required to collect or remit such taxes in the future.</w:t>
      </w:r>
    </w:p>
    <w:p>
      <w:pPr>
        <w:spacing w:after="0" w:line="6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We continue to evaluate the impact, if any, of the imposition of sales tax on customer demand for our products and results of operations. Recent legislation, including the decision in the matter of South Dakota v. Wayfair, Inc., has, and will continue to, significantly increase the effort, resources and costs associated with the collection and compliance burden for sales tax.</w:t>
      </w:r>
    </w:p>
    <w:p>
      <w:pPr>
        <w:spacing w:after="0" w:line="85"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The prospective taxation by multiple jurisdictions of e-commerce businesses could also subject us to exposure to withholding tax, sales tax, VAT and other transaction taxes on our past and future transactions in jurisdictions in which we currently are, or in the future may be, required to report taxable transactions. A successful assertion by a jurisdiction that we failed to pay such taxes, or the adoption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those taxes. Where appropriate, we have made accruals for those taxes, which are reflected in our consolidated financial statements. Changes in the estimates or assumptions underlying those accruals could have an adverse effect on our financial condition.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which could cause our results to fall short of expectations and our stock price to decline.</w:t>
      </w:r>
    </w:p>
    <w:p>
      <w:pPr>
        <w:spacing w:after="0" w:line="109" w:lineRule="exact"/>
        <w:rPr>
          <w:sz w:val="20"/>
          <w:szCs w:val="20"/>
          <w:color w:val="auto"/>
        </w:rPr>
      </w:pPr>
    </w:p>
    <w:p>
      <w:pPr>
        <w:ind w:right="140" w:firstLine="395"/>
        <w:spacing w:after="0" w:line="299" w:lineRule="auto"/>
        <w:rPr>
          <w:sz w:val="20"/>
          <w:szCs w:val="20"/>
          <w:color w:val="auto"/>
        </w:rPr>
      </w:pPr>
      <w:r>
        <w:rPr>
          <w:rFonts w:ascii="Arial" w:cs="Arial" w:eastAsia="Arial" w:hAnsi="Arial"/>
          <w:sz w:val="16"/>
          <w:szCs w:val="16"/>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49" w:lineRule="exact"/>
        <w:rPr>
          <w:sz w:val="20"/>
          <w:szCs w:val="20"/>
          <w:color w:val="auto"/>
        </w:rPr>
      </w:pPr>
    </w:p>
    <w:p>
      <w:pPr>
        <w:ind w:left="1260" w:hanging="307"/>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current customers and to attract new customers and contributors;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new and relevant content to our customers;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or our competitors;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interruptions in service, whether or not we are responsible for such interruptions, and any related impact on our reputation and brand;</w:t>
      </w:r>
    </w:p>
    <w:p>
      <w:pPr>
        <w:spacing w:after="0" w:line="131" w:lineRule="exact"/>
        <w:rPr>
          <w:rFonts w:ascii="Arial" w:cs="Arial" w:eastAsia="Arial" w:hAnsi="Arial"/>
          <w:sz w:val="16"/>
          <w:szCs w:val="16"/>
          <w:color w:val="auto"/>
        </w:rPr>
      </w:pPr>
    </w:p>
    <w:p>
      <w:pPr>
        <w:ind w:left="1260" w:right="180" w:hanging="307"/>
        <w:spacing w:after="0" w:line="324" w:lineRule="auto"/>
        <w:tabs>
          <w:tab w:leader="none" w:pos="12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litigation or other claims, suits, investigations, audits or proceedings, including those related to our indemnification of our customers, intellectual property, tax matters, privacy matters, labor and employment matters, and/or commercial claims;</w:t>
      </w:r>
    </w:p>
    <w:p>
      <w:pPr>
        <w:spacing w:after="0" w:line="29" w:lineRule="exact"/>
        <w:rPr>
          <w:rFonts w:ascii="Arial" w:cs="Arial" w:eastAsia="Arial" w:hAnsi="Arial"/>
          <w:sz w:val="16"/>
          <w:szCs w:val="16"/>
          <w:color w:val="auto"/>
        </w:rPr>
      </w:pPr>
    </w:p>
    <w:p>
      <w:pPr>
        <w:ind w:left="1260" w:hanging="307"/>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pursue, and the timing of, entry into new geographies or markets and, if pursued, our management of such expansion;</w:t>
      </w:r>
    </w:p>
    <w:p>
      <w:pPr>
        <w:spacing w:after="0" w:line="131" w:lineRule="exact"/>
        <w:rPr>
          <w:rFonts w:ascii="Arial" w:cs="Arial" w:eastAsia="Arial" w:hAnsi="Arial"/>
          <w:sz w:val="16"/>
          <w:szCs w:val="16"/>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general economic conditions on our revenue and expenses;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affecting our business; and</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potential acquisitions of technology or businesses.</w:t>
      </w:r>
    </w:p>
    <w:p>
      <w:pPr>
        <w:spacing w:after="0" w:line="109"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volatile.</w:t>
      </w:r>
    </w:p>
    <w:p>
      <w:pPr>
        <w:spacing w:after="0" w:line="109"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The trading price of our common stock has fluctuated and may continue to fluctuate substantially. Since 2015, the reported high and low sales prices per share of our common stock have ranged from $25.44 to $128.36 through February 4, 2022. These fluctuations could cause our stockholders to lose all or part of their investment in our common stock since they may be unable to sell their shares at or above the price at which they purchased such shares.</w:t>
      </w:r>
    </w:p>
    <w:p>
      <w:pPr>
        <w:spacing w:after="0" w:line="4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85" w:lineRule="exact"/>
        <w:rPr>
          <w:sz w:val="20"/>
          <w:szCs w:val="20"/>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about our share repurchase program, including purchases or the suspension of purchases under the program;</w:t>
      </w:r>
    </w:p>
    <w:p>
      <w:pPr>
        <w:spacing w:after="0" w:line="131" w:lineRule="exact"/>
        <w:rPr>
          <w:rFonts w:ascii="Arial" w:cs="Arial" w:eastAsia="Arial" w:hAnsi="Arial"/>
          <w:sz w:val="16"/>
          <w:szCs w:val="16"/>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actual performance;</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or analysts to be comparable to us;</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08" w:lineRule="exact"/>
        <w:rPr>
          <w:rFonts w:ascii="Arial" w:cs="Arial" w:eastAsia="Arial" w:hAnsi="Arial"/>
          <w:sz w:val="18"/>
          <w:szCs w:val="18"/>
          <w:color w:val="auto"/>
        </w:rPr>
      </w:pPr>
    </w:p>
    <w:p>
      <w:pPr>
        <w:ind w:left="1260" w:right="60" w:hanging="307"/>
        <w:spacing w:after="0" w:line="261" w:lineRule="auto"/>
        <w:tabs>
          <w:tab w:leader="none" w:pos="12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reduction in the amount of cash dividends on our common stock, the suspension of those dividends or a failure to meet market expectations regarding dividends;</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senior management;</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allocation strategy;</w:t>
      </w:r>
    </w:p>
    <w:p>
      <w:pPr>
        <w:spacing w:after="0" w:line="108"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trading volume of our common stock;</w:t>
      </w:r>
    </w:p>
    <w:p>
      <w:pPr>
        <w:spacing w:after="0" w:line="108" w:lineRule="exact"/>
        <w:rPr>
          <w:rFonts w:ascii="Arial" w:cs="Arial" w:eastAsia="Arial" w:hAnsi="Arial"/>
          <w:sz w:val="18"/>
          <w:szCs w:val="18"/>
          <w:color w:val="auto"/>
        </w:rPr>
      </w:pPr>
    </w:p>
    <w:p>
      <w:pPr>
        <w:ind w:left="1260" w:right="300" w:hanging="307"/>
        <w:spacing w:after="0" w:line="261" w:lineRule="auto"/>
        <w:tabs>
          <w:tab w:leader="none" w:pos="12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investors whose sales (or lack of sales) could result in positive or negative pricing pressure on the market price for our common stock; and</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09"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w:t>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this type of litigation in the future. Securities litigation against us could result in substantial costs and divert our management’s attention from other business concerns, which could seriously harm our business.</w:t>
      </w:r>
    </w:p>
    <w:p>
      <w:pPr>
        <w:spacing w:after="0" w:line="12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Jonathan Oringer, our founder and Executive Chairman of the Board, owns and controls approximately 33.1%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55"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As of February 4, 2022, Jonathan Oringer, our founder, Executive Chairman of the Board, and our largest stockholder, beneficially owned approximately 33.1%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significant influence over management and major strategic investments as a result of his position as Executive Chairman of the Board.</w:t>
      </w:r>
    </w:p>
    <w:p>
      <w:pPr>
        <w:spacing w:after="0" w:line="8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11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stockholder value.</w:t>
      </w:r>
    </w:p>
    <w:p>
      <w:pPr>
        <w:spacing w:after="0" w:line="76" w:lineRule="exact"/>
        <w:rPr>
          <w:sz w:val="20"/>
          <w:szCs w:val="20"/>
          <w:color w:val="auto"/>
        </w:rPr>
      </w:pPr>
    </w:p>
    <w:p>
      <w:pPr>
        <w:ind w:right="80" w:firstLine="395"/>
        <w:spacing w:after="0" w:line="280" w:lineRule="auto"/>
        <w:rPr>
          <w:sz w:val="20"/>
          <w:szCs w:val="20"/>
          <w:color w:val="auto"/>
        </w:rPr>
      </w:pPr>
      <w:r>
        <w:rPr>
          <w:rFonts w:ascii="Arial" w:cs="Arial" w:eastAsia="Arial" w:hAnsi="Arial"/>
          <w:sz w:val="16"/>
          <w:szCs w:val="16"/>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We had approximately $73 million and $66 million of remaining authorization for purchases under the share repurchase program as of December 31, 2021 and February 4, 2022, respectively. The timing and amount of any share repurchases will be determined based on market conditions, share price and other factors and we may not repurchase any shares under this authorization. This activity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 program have diminished and would continue to diminish our cash reserves, which could impact our ability to pursue possible strategic opportunities and acquisitions and could result in lower overall returns on our cash balances. There can be no assurance that any share repurchases will enhance stockholder value, as the market price of our common stock may nevertheless decline.</w:t>
      </w:r>
    </w:p>
    <w:p>
      <w:pPr>
        <w:spacing w:after="0" w:line="117"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30"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w:t>
      </w:r>
    </w:p>
    <w:p>
      <w:pPr>
        <w:spacing w:after="0" w:line="109"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85"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As of February 4, 2022, we had 36,357,198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filed a registration statement on Form S-8 under the Securities Act covering shares of common stock issuable pursuant to options and shares reserved for future issuance under our 2012 Omnibus Equity Incentive Plan and our Amended and Restated 2012 Employee Stock Purchase Plan. Shares issued pursuant to such options and plans can be freely sold in the</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public market upon issuance and vesting, subject to the terms of the award agreements delivered under such plans, unless they are held by “affiliates,” as that term is defined in Rule 144 of the Securities Act.</w:t>
      </w:r>
    </w:p>
    <w:p>
      <w:pPr>
        <w:spacing w:after="0" w:line="76" w:lineRule="exact"/>
        <w:rPr>
          <w:sz w:val="20"/>
          <w:szCs w:val="20"/>
          <w:color w:val="auto"/>
        </w:rPr>
      </w:pPr>
    </w:p>
    <w:p>
      <w:pPr>
        <w:ind w:right="480" w:firstLine="395"/>
        <w:spacing w:after="0" w:line="252" w:lineRule="auto"/>
        <w:rPr>
          <w:sz w:val="20"/>
          <w:szCs w:val="20"/>
          <w:color w:val="auto"/>
        </w:rPr>
      </w:pPr>
      <w:r>
        <w:rPr>
          <w:rFonts w:ascii="Arial" w:cs="Arial" w:eastAsia="Arial" w:hAnsi="Arial"/>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76" w:lineRule="exact"/>
        <w:rPr>
          <w:sz w:val="20"/>
          <w:szCs w:val="20"/>
          <w:color w:val="auto"/>
        </w:rPr>
      </w:pPr>
    </w:p>
    <w:p>
      <w:pPr>
        <w:ind w:right="40" w:firstLine="395"/>
        <w:spacing w:after="0" w:line="324" w:lineRule="auto"/>
        <w:rPr>
          <w:sz w:val="20"/>
          <w:szCs w:val="20"/>
          <w:color w:val="auto"/>
        </w:rPr>
      </w:pPr>
      <w:r>
        <w:rPr>
          <w:rFonts w:ascii="Arial" w:cs="Arial" w:eastAsia="Arial" w:hAnsi="Arial"/>
          <w:sz w:val="16"/>
          <w:szCs w:val="16"/>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30" w:lineRule="exact"/>
        <w:rPr>
          <w:sz w:val="20"/>
          <w:szCs w:val="20"/>
          <w:color w:val="auto"/>
        </w:rPr>
      </w:pPr>
    </w:p>
    <w:p>
      <w:pPr>
        <w:ind w:left="1260" w:right="420" w:hanging="307"/>
        <w:spacing w:after="0" w:line="261" w:lineRule="auto"/>
        <w:tabs>
          <w:tab w:leader="none" w:pos="1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with voting, liquidation, dividend and other rights superior to our common stock;</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108" w:lineRule="exact"/>
        <w:rPr>
          <w:rFonts w:ascii="Arial" w:cs="Arial" w:eastAsia="Arial" w:hAnsi="Arial"/>
          <w:sz w:val="18"/>
          <w:szCs w:val="18"/>
          <w:color w:val="auto"/>
        </w:rPr>
      </w:pPr>
    </w:p>
    <w:p>
      <w:pPr>
        <w:ind w:left="1260" w:right="540" w:hanging="307"/>
        <w:spacing w:after="0" w:line="261" w:lineRule="auto"/>
        <w:tabs>
          <w:tab w:leader="none" w:pos="1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ability of our stockholders to call and bring business before special meetings and to take action by written consent in lieu of a meeting;</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notice of stockholder proposals and the nomination of candidates for election to our board of directors;</w:t>
      </w:r>
    </w:p>
    <w:p>
      <w:pPr>
        <w:spacing w:after="0" w:line="108" w:lineRule="exact"/>
        <w:rPr>
          <w:rFonts w:ascii="Arial" w:cs="Arial" w:eastAsia="Arial" w:hAnsi="Arial"/>
          <w:sz w:val="18"/>
          <w:szCs w:val="18"/>
          <w:color w:val="auto"/>
        </w:rPr>
      </w:pPr>
    </w:p>
    <w:p>
      <w:pPr>
        <w:ind w:left="1260" w:right="120" w:hanging="307"/>
        <w:spacing w:after="0" w:line="261" w:lineRule="auto"/>
        <w:tabs>
          <w:tab w:leader="none" w:pos="1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76" w:lineRule="exact"/>
        <w:rPr>
          <w:rFonts w:ascii="Arial" w:cs="Arial" w:eastAsia="Arial" w:hAnsi="Arial"/>
          <w:sz w:val="18"/>
          <w:szCs w:val="18"/>
          <w:color w:val="auto"/>
        </w:rPr>
      </w:pPr>
    </w:p>
    <w:p>
      <w:pPr>
        <w:ind w:left="1260" w:hanging="307"/>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w:t>
      </w:r>
    </w:p>
    <w:p>
      <w:pPr>
        <w:spacing w:after="0" w:line="108" w:lineRule="exact"/>
        <w:rPr>
          <w:rFonts w:ascii="Arial" w:cs="Arial" w:eastAsia="Arial" w:hAnsi="Arial"/>
          <w:sz w:val="18"/>
          <w:szCs w:val="18"/>
          <w:color w:val="auto"/>
        </w:rPr>
      </w:pPr>
    </w:p>
    <w:p>
      <w:pPr>
        <w:ind w:left="1260" w:hanging="307"/>
        <w:spacing w:after="0" w:line="261" w:lineRule="auto"/>
        <w:tabs>
          <w:tab w:leader="none" w:pos="1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determination of the number of directors on our board and the filling of vacancies or newly created seats on the board to our board of directors then in office.</w:t>
      </w:r>
    </w:p>
    <w:p>
      <w:pPr>
        <w:spacing w:after="0" w:line="76" w:lineRule="exact"/>
        <w:rPr>
          <w:sz w:val="20"/>
          <w:szCs w:val="20"/>
          <w:color w:val="auto"/>
        </w:rPr>
      </w:pPr>
    </w:p>
    <w:p>
      <w:pPr>
        <w:ind w:right="260" w:firstLine="395"/>
        <w:spacing w:after="0" w:line="299"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49" w:lineRule="exact"/>
        <w:rPr>
          <w:sz w:val="20"/>
          <w:szCs w:val="20"/>
          <w:color w:val="auto"/>
        </w:rPr>
      </w:pPr>
    </w:p>
    <w:p>
      <w:pPr>
        <w:ind w:right="140" w:firstLine="395"/>
        <w:spacing w:after="0" w:line="248" w:lineRule="auto"/>
        <w:rPr>
          <w:sz w:val="20"/>
          <w:szCs w:val="20"/>
          <w:color w:val="auto"/>
        </w:rPr>
      </w:pPr>
      <w:r>
        <w:rPr>
          <w:rFonts w:ascii="Arial" w:cs="Arial" w:eastAsia="Arial" w:hAnsi="Arial"/>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declare dividends in the future.</w:t>
      </w:r>
    </w:p>
    <w:p>
      <w:pPr>
        <w:spacing w:after="0" w:line="109"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Beginning in 2020, we have paid a quarterly dividend and currently expect to declare and pay cash dividends on a quarterly basis in the future. Any future dividend payments, however,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to,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reduction or elimination of our cash dividend program could adversely affect the market price of our common stock.</w:t>
      </w:r>
    </w:p>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76"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we may not be able to execute on our business plan, respond to competitive pressures, take advantage of market opportunities, or satisfy customer requirements, among other things.</w:t>
      </w:r>
    </w:p>
    <w:p>
      <w:pPr>
        <w:spacing w:after="0" w:line="7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64"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Also, the TCJA amended Section 162(m) of the U.S. federal income tax code (“Section 162(m)”), which provides that public companies are not entitled to a tax deduction for individual compensation over $1 million that is paid to certain executive officers. Prior to the amendment under the TCJA, Section 162(m) provided an exception to the deductibility limitations for “performance-based compensation” that met certain requirements. As amended, beginning in 2018, except for certain grandfathered arrangements in place prior to November 2, 2017 under the amendment’s transition rules, Section 162(m) no longer includes an exception to the limitations for “performance-based compensation” and expands the group of executive officers covered by the limitation. Further, the American Rescue Plan Act was signed into law on March 11, 2021, and added a new subsection to Section 162(m) of the Internal Revenue Code to expand the application to an additional five most highly compensated individuals. The expansion of Section 162(m) coverage is effective for tax years beginning after December 31, 2026.</w:t>
      </w:r>
    </w:p>
    <w:p>
      <w:pPr>
        <w:spacing w:after="0" w:line="66"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85"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85"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8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3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54" w:lineRule="exact"/>
        <w:rPr>
          <w:sz w:val="20"/>
          <w:szCs w:val="20"/>
          <w:color w:val="auto"/>
        </w:rPr>
      </w:pPr>
    </w:p>
    <w:p>
      <w:pPr>
        <w:ind w:right="100" w:firstLine="395"/>
        <w:spacing w:after="0" w:line="316" w:lineRule="auto"/>
        <w:rPr>
          <w:sz w:val="20"/>
          <w:szCs w:val="20"/>
          <w:color w:val="auto"/>
        </w:rPr>
      </w:pPr>
      <w:r>
        <w:rPr>
          <w:rFonts w:ascii="Arial" w:cs="Arial" w:eastAsia="Arial" w:hAnsi="Arial"/>
          <w:sz w:val="15"/>
          <w:szCs w:val="15"/>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2022 through 2029. We do not have any material capital lease obligations, and our property, equipment and software have been purchased with cash.</w:t>
      </w:r>
    </w:p>
    <w:p>
      <w:pPr>
        <w:spacing w:after="0" w:line="6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1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additional information regarding obligations under operating leases, see Note 14 of the Notes to Consolidated Financial Statements included in Part II, Item 8 of this Annual Report on Form 10-K.</w:t>
      </w:r>
    </w:p>
    <w:p>
      <w:pPr>
        <w:spacing w:after="0" w:line="200" w:lineRule="exact"/>
        <w:rPr>
          <w:sz w:val="20"/>
          <w:szCs w:val="20"/>
          <w:color w:val="auto"/>
        </w:rPr>
      </w:pPr>
    </w:p>
    <w:p>
      <w:pPr>
        <w:spacing w:after="0" w:line="2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54" w:lineRule="exact"/>
        <w:rPr>
          <w:sz w:val="20"/>
          <w:szCs w:val="20"/>
          <w:color w:val="auto"/>
        </w:rPr>
      </w:pPr>
    </w:p>
    <w:p>
      <w:pPr>
        <w:ind w:right="240" w:firstLine="395"/>
        <w:spacing w:after="0" w:line="284"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6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listed on the New York Stock Exchange, or the NYSE, under the symbol “SSTK.”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35" w:lineRule="exact"/>
        <w:rPr>
          <w:sz w:val="20"/>
          <w:szCs w:val="20"/>
          <w:color w:val="auto"/>
        </w:rPr>
      </w:pPr>
    </w:p>
    <w:p>
      <w:pPr>
        <w:ind w:right="160" w:firstLine="395"/>
        <w:spacing w:after="0" w:line="324" w:lineRule="auto"/>
        <w:rPr>
          <w:sz w:val="20"/>
          <w:szCs w:val="20"/>
          <w:color w:val="auto"/>
        </w:rPr>
      </w:pPr>
      <w:r>
        <w:rPr>
          <w:rFonts w:ascii="Arial" w:cs="Arial" w:eastAsia="Arial" w:hAnsi="Arial"/>
          <w:sz w:val="16"/>
          <w:szCs w:val="16"/>
          <w:color w:val="auto"/>
        </w:rPr>
        <w:t>As of February 4, 2022,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sell any unregistered equity securities during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48"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On February 11, 2020, our Board of Directors approved the initiation of a quarterly cash dividend. We currently expect to continue to pay cash dividends on a quarterly basis in the future.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shares of our common stock which we acquired during the three months ended December 31, 2021:</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500" w:type="dxa"/>
            <w:vAlign w:val="bottom"/>
            <w:gridSpan w:val="5"/>
          </w:tcPr>
          <w:p>
            <w:pPr>
              <w:jc w:val="right"/>
              <w:ind w:right="1325"/>
              <w:spacing w:after="0"/>
              <w:rPr>
                <w:sz w:val="20"/>
                <w:szCs w:val="20"/>
                <w:color w:val="auto"/>
              </w:rPr>
            </w:pPr>
            <w:r>
              <w:rPr>
                <w:rFonts w:ascii="Arial" w:cs="Arial" w:eastAsia="Arial" w:hAnsi="Arial"/>
                <w:sz w:val="14"/>
                <w:szCs w:val="14"/>
                <w:b w:val="1"/>
                <w:bCs w:val="1"/>
                <w:color w:val="auto"/>
                <w:w w:val="98"/>
              </w:rPr>
              <w:t>ISSUER PURCHASES OF EQUITY SECURITIES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right"/>
              <w:ind w:right="125"/>
              <w:spacing w:after="0" w:line="143" w:lineRule="exact"/>
              <w:rPr>
                <w:sz w:val="20"/>
                <w:szCs w:val="20"/>
                <w:color w:val="auto"/>
              </w:rPr>
            </w:pPr>
            <w:r>
              <w:rPr>
                <w:rFonts w:ascii="Arial" w:cs="Arial" w:eastAsia="Arial" w:hAnsi="Arial"/>
                <w:sz w:val="14"/>
                <w:szCs w:val="14"/>
                <w:b w:val="1"/>
                <w:bCs w:val="1"/>
                <w:color w:val="auto"/>
              </w:rPr>
              <w:t>(c) Total 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4"/>
              </w:rPr>
              <w:t>(d) Maximum Number (o</w:t>
            </w: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19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(a) Total Number of</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 Average Price Paid Per</w:t>
            </w: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Shares (or Units) Purchased as</w:t>
            </w:r>
          </w:p>
        </w:tc>
        <w:tc>
          <w:tcPr>
            <w:tcW w:w="100" w:type="dxa"/>
            <w:vAlign w:val="bottom"/>
          </w:tcPr>
          <w:p>
            <w:pPr>
              <w:spacing w:after="0"/>
              <w:rPr>
                <w:sz w:val="11"/>
                <w:szCs w:val="11"/>
                <w:color w:val="auto"/>
              </w:rPr>
            </w:pPr>
          </w:p>
        </w:tc>
        <w:tc>
          <w:tcPr>
            <w:tcW w:w="20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4"/>
              </w:rPr>
              <w:t>Approximate Dollar Value) of Sh</w:t>
            </w:r>
          </w:p>
        </w:tc>
        <w:tc>
          <w:tcPr>
            <w:tcW w:w="0" w:type="dxa"/>
            <w:vAlign w:val="bottom"/>
          </w:tcPr>
          <w:p>
            <w:pPr>
              <w:spacing w:after="0"/>
              <w:rPr>
                <w:sz w:val="1"/>
                <w:szCs w:val="1"/>
                <w:color w:val="auto"/>
              </w:rPr>
            </w:pPr>
          </w:p>
        </w:tc>
      </w:tr>
      <w:tr>
        <w:trPr>
          <w:trHeight w:val="132"/>
        </w:trPr>
        <w:tc>
          <w:tcPr>
            <w:tcW w:w="2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1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Part of Publicly Announced</w:t>
            </w:r>
          </w:p>
        </w:tc>
        <w:tc>
          <w:tcPr>
            <w:tcW w:w="100" w:type="dxa"/>
            <w:vAlign w:val="bottom"/>
          </w:tcPr>
          <w:p>
            <w:pPr>
              <w:spacing w:after="0"/>
              <w:rPr>
                <w:sz w:val="11"/>
                <w:szCs w:val="11"/>
                <w:color w:val="auto"/>
              </w:rPr>
            </w:pPr>
          </w:p>
        </w:tc>
        <w:tc>
          <w:tcPr>
            <w:tcW w:w="20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3"/>
              </w:rPr>
              <w:t>(or Units) That May Yet Be Purch</w:t>
            </w:r>
          </w:p>
        </w:tc>
        <w:tc>
          <w:tcPr>
            <w:tcW w:w="0" w:type="dxa"/>
            <w:vAlign w:val="bottom"/>
          </w:tcPr>
          <w:p>
            <w:pPr>
              <w:spacing w:after="0"/>
              <w:rPr>
                <w:sz w:val="1"/>
                <w:szCs w:val="1"/>
                <w:color w:val="auto"/>
              </w:rPr>
            </w:pPr>
          </w:p>
        </w:tc>
      </w:tr>
      <w:tr>
        <w:trPr>
          <w:trHeight w:val="184"/>
        </w:trPr>
        <w:tc>
          <w:tcPr>
            <w:tcW w:w="232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5"/>
              </w:rPr>
              <w:t>Shares (or Units) Purchased</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Share (or Unit)</w:t>
            </w:r>
          </w:p>
        </w:tc>
        <w:tc>
          <w:tcPr>
            <w:tcW w:w="10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Plans or Programs</w:t>
            </w:r>
            <w:r>
              <w:rPr>
                <w:rFonts w:ascii="Arial" w:cs="Arial" w:eastAsia="Arial" w:hAnsi="Arial"/>
                <w:sz w:val="9"/>
                <w:szCs w:val="9"/>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October 1 - 31, 2021</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63,000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420"/>
              <w:spacing w:after="0"/>
              <w:rPr>
                <w:sz w:val="20"/>
                <w:szCs w:val="20"/>
                <w:color w:val="auto"/>
              </w:rPr>
            </w:pPr>
            <w:r>
              <w:rPr>
                <w:rFonts w:ascii="Arial" w:cs="Arial" w:eastAsia="Arial" w:hAnsi="Arial"/>
                <w:sz w:val="16"/>
                <w:szCs w:val="16"/>
                <w:color w:val="auto"/>
              </w:rPr>
              <w:t>November 1 - 30, 2021</w:t>
            </w:r>
          </w:p>
        </w:tc>
        <w:tc>
          <w:tcPr>
            <w:tcW w:w="1940" w:type="dxa"/>
            <w:vAlign w:val="bottom"/>
          </w:tcPr>
          <w:p>
            <w:pPr>
              <w:jc w:val="right"/>
              <w:spacing w:after="0"/>
              <w:rPr>
                <w:sz w:val="20"/>
                <w:szCs w:val="20"/>
                <w:color w:val="auto"/>
              </w:rPr>
            </w:pPr>
            <w:r>
              <w:rPr>
                <w:rFonts w:ascii="Arial" w:cs="Arial" w:eastAsia="Arial" w:hAnsi="Arial"/>
                <w:sz w:val="16"/>
                <w:szCs w:val="16"/>
                <w:color w:val="auto"/>
              </w:rPr>
              <w:t>62,800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119.30</w:t>
            </w:r>
          </w:p>
        </w:tc>
        <w:tc>
          <w:tcPr>
            <w:tcW w:w="100" w:type="dxa"/>
            <w:vAlign w:val="bottom"/>
          </w:tcPr>
          <w:p>
            <w:pPr>
              <w:spacing w:after="0"/>
              <w:rPr>
                <w:sz w:val="18"/>
                <w:szCs w:val="18"/>
                <w:color w:val="auto"/>
              </w:rPr>
            </w:pPr>
          </w:p>
        </w:tc>
        <w:tc>
          <w:tcPr>
            <w:tcW w:w="1960" w:type="dxa"/>
            <w:vAlign w:val="bottom"/>
          </w:tcPr>
          <w:p>
            <w:pPr>
              <w:jc w:val="right"/>
              <w:ind w:right="5"/>
              <w:spacing w:after="0"/>
              <w:rPr>
                <w:sz w:val="20"/>
                <w:szCs w:val="20"/>
                <w:color w:val="auto"/>
              </w:rPr>
            </w:pPr>
            <w:r>
              <w:rPr>
                <w:rFonts w:ascii="Arial" w:cs="Arial" w:eastAsia="Arial" w:hAnsi="Arial"/>
                <w:sz w:val="16"/>
                <w:szCs w:val="16"/>
                <w:color w:val="auto"/>
              </w:rPr>
              <w:t>62,800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December 1 - 31,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110.35</w:t>
            </w:r>
          </w:p>
        </w:tc>
        <w:tc>
          <w:tcPr>
            <w:tcW w:w="100" w:type="dxa"/>
            <w:vAlign w:val="bottom"/>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66,000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116.32</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191,800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72,833,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right="180" w:firstLine="396"/>
        <w:spacing w:after="0" w:line="277" w:lineRule="auto"/>
        <w:tabs>
          <w:tab w:leader="none" w:pos="1295"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purchased shares of our common stock in open market purchases pursuant to share repurchases authorized by our Board of Directors. In October 2015, our Board of Directors authorized the repurchase of up to $100 million of our common stock, and in February 2017, our Board of Directors approved an increase to the share repurchase program, authorizing us to repurchase an additional $100 million of our outstanding common stock. As of December 31, 2021, $72.8 million remained available for purchase under this authorization.</w:t>
      </w:r>
    </w:p>
    <w:p>
      <w:pPr>
        <w:spacing w:after="0" w:line="61"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During the third quarter of 2021, we acquired 41,900 shares at an average price per share of $115.95.</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09"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1" w:name="page42"/>
    <w:bookmarkEnd w:id="4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6"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The graph below matches Shutterstock, Inc.'s cumulative 5-Year total shareholder return on common stock with the cumulative total returns of the NYSE Composite index and the S&amp;P Internet Software &amp; Services Select index. The graph tracks the performance of a $100 investment in our common stock and in each index (with the reinvestment of all dividends) from 12/31/2016 to 12/31/2021.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-6985</wp:posOffset>
            </wp:positionV>
            <wp:extent cx="5189220" cy="4311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8922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36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12/2016</w:t>
            </w: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12/2017</w:t>
            </w: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12/2018</w:t>
            </w: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12/2019</w:t>
            </w: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12/2021</w:t>
            </w:r>
          </w:p>
        </w:tc>
      </w:tr>
      <w:tr>
        <w:trPr>
          <w:trHeight w:val="343"/>
        </w:trPr>
        <w:tc>
          <w:tcPr>
            <w:tcW w:w="3620" w:type="dxa"/>
            <w:vAlign w:val="bottom"/>
          </w:tcPr>
          <w:p>
            <w:pPr>
              <w:ind w:left="420"/>
              <w:spacing w:after="0"/>
              <w:rPr>
                <w:sz w:val="20"/>
                <w:szCs w:val="20"/>
                <w:color w:val="auto"/>
              </w:rPr>
            </w:pPr>
            <w:r>
              <w:rPr>
                <w:rFonts w:ascii="Arial" w:cs="Arial" w:eastAsia="Arial" w:hAnsi="Arial"/>
                <w:sz w:val="14"/>
                <w:szCs w:val="14"/>
                <w:b w:val="1"/>
                <w:bCs w:val="1"/>
                <w:color w:val="auto"/>
              </w:rPr>
              <w:t>Shutterstock, Inc.</w:t>
            </w:r>
          </w:p>
        </w:tc>
        <w:tc>
          <w:tcPr>
            <w:tcW w:w="126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90.55</w:t>
            </w:r>
          </w:p>
        </w:tc>
        <w:tc>
          <w:tcPr>
            <w:tcW w:w="1080" w:type="dxa"/>
            <w:vAlign w:val="bottom"/>
          </w:tcPr>
          <w:p>
            <w:pPr>
              <w:jc w:val="right"/>
              <w:ind w:right="210"/>
              <w:spacing w:after="0"/>
              <w:rPr>
                <w:sz w:val="20"/>
                <w:szCs w:val="20"/>
                <w:color w:val="auto"/>
              </w:rPr>
            </w:pPr>
            <w:r>
              <w:rPr>
                <w:rFonts w:ascii="Arial" w:cs="Arial" w:eastAsia="Arial" w:hAnsi="Arial"/>
                <w:sz w:val="14"/>
                <w:szCs w:val="14"/>
                <w:b w:val="1"/>
                <w:bCs w:val="1"/>
                <w:color w:val="auto"/>
              </w:rPr>
              <w:t>80.21</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95.52</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162.09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252.80</w:t>
            </w:r>
          </w:p>
        </w:tc>
      </w:tr>
      <w:tr>
        <w:trPr>
          <w:trHeight w:val="197"/>
        </w:trPr>
        <w:tc>
          <w:tcPr>
            <w:tcW w:w="3620" w:type="dxa"/>
            <w:vAlign w:val="bottom"/>
          </w:tcPr>
          <w:p>
            <w:pPr>
              <w:ind w:left="420"/>
              <w:spacing w:after="0"/>
              <w:rPr>
                <w:sz w:val="20"/>
                <w:szCs w:val="20"/>
                <w:color w:val="auto"/>
              </w:rPr>
            </w:pPr>
            <w:r>
              <w:rPr>
                <w:rFonts w:ascii="Arial" w:cs="Arial" w:eastAsia="Arial" w:hAnsi="Arial"/>
                <w:sz w:val="14"/>
                <w:szCs w:val="14"/>
                <w:b w:val="1"/>
                <w:bCs w:val="1"/>
                <w:color w:val="auto"/>
              </w:rPr>
              <w:t>NYSE Composite</w:t>
            </w:r>
          </w:p>
        </w:tc>
        <w:tc>
          <w:tcPr>
            <w:tcW w:w="126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118.73</w:t>
            </w:r>
          </w:p>
        </w:tc>
        <w:tc>
          <w:tcPr>
            <w:tcW w:w="1080" w:type="dxa"/>
            <w:vAlign w:val="bottom"/>
          </w:tcPr>
          <w:p>
            <w:pPr>
              <w:jc w:val="right"/>
              <w:ind w:right="210"/>
              <w:spacing w:after="0"/>
              <w:rPr>
                <w:sz w:val="20"/>
                <w:szCs w:val="20"/>
                <w:color w:val="auto"/>
              </w:rPr>
            </w:pPr>
            <w:r>
              <w:rPr>
                <w:rFonts w:ascii="Arial" w:cs="Arial" w:eastAsia="Arial" w:hAnsi="Arial"/>
                <w:sz w:val="14"/>
                <w:szCs w:val="14"/>
                <w:b w:val="1"/>
                <w:bCs w:val="1"/>
                <w:color w:val="auto"/>
              </w:rPr>
              <w:t>108.10</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135.68</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145.16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175.18</w:t>
            </w:r>
          </w:p>
        </w:tc>
      </w:tr>
      <w:tr>
        <w:trPr>
          <w:trHeight w:val="197"/>
        </w:trPr>
        <w:tc>
          <w:tcPr>
            <w:tcW w:w="3620" w:type="dxa"/>
            <w:vAlign w:val="bottom"/>
          </w:tcPr>
          <w:p>
            <w:pPr>
              <w:ind w:left="420"/>
              <w:spacing w:after="0"/>
              <w:rPr>
                <w:sz w:val="20"/>
                <w:szCs w:val="20"/>
                <w:color w:val="auto"/>
              </w:rPr>
            </w:pPr>
            <w:r>
              <w:rPr>
                <w:rFonts w:ascii="Arial" w:cs="Arial" w:eastAsia="Arial" w:hAnsi="Arial"/>
                <w:sz w:val="14"/>
                <w:szCs w:val="14"/>
                <w:b w:val="1"/>
                <w:bCs w:val="1"/>
                <w:color w:val="auto"/>
              </w:rPr>
              <w:t>S&amp;P Software &amp; Services Select Industry</w:t>
            </w:r>
          </w:p>
        </w:tc>
        <w:tc>
          <w:tcPr>
            <w:tcW w:w="126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128.04</w:t>
            </w:r>
          </w:p>
        </w:tc>
        <w:tc>
          <w:tcPr>
            <w:tcW w:w="1080" w:type="dxa"/>
            <w:vAlign w:val="bottom"/>
          </w:tcPr>
          <w:p>
            <w:pPr>
              <w:jc w:val="right"/>
              <w:ind w:right="210"/>
              <w:spacing w:after="0"/>
              <w:rPr>
                <w:sz w:val="20"/>
                <w:szCs w:val="20"/>
                <w:color w:val="auto"/>
              </w:rPr>
            </w:pPr>
            <w:r>
              <w:rPr>
                <w:rFonts w:ascii="Arial" w:cs="Arial" w:eastAsia="Arial" w:hAnsi="Arial"/>
                <w:sz w:val="14"/>
                <w:szCs w:val="14"/>
                <w:b w:val="1"/>
                <w:bCs w:val="1"/>
                <w:color w:val="auto"/>
              </w:rPr>
              <w:t>139.67</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189.86</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289.96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313.09</w:t>
            </w:r>
          </w:p>
        </w:tc>
      </w:tr>
    </w:tbl>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11160"/>
          </w:cols>
          <w:pgMar w:left="320" w:top="12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type w:val="continuous"/>
        </w:sectPr>
      </w:pPr>
    </w:p>
    <w:bookmarkStart w:id="42" w:name="page43"/>
    <w:bookmarkEnd w:id="4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5"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For a discussion as to how COVID-19 has affected our business, see “COVID-19 Update” below.</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4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Shutterstock is a leading global creative platform offering full-service solutions, high-quality content, and creative workflow solutions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key offerings include:</w:t>
      </w:r>
    </w:p>
    <w:p>
      <w:pPr>
        <w:spacing w:after="0" w:line="148" w:lineRule="exact"/>
        <w:rPr>
          <w:sz w:val="20"/>
          <w:szCs w:val="20"/>
          <w:color w:val="auto"/>
        </w:rPr>
      </w:pPr>
    </w:p>
    <w:p>
      <w:pPr>
        <w:ind w:left="800" w:right="40" w:hanging="321"/>
        <w:spacing w:after="0" w:line="261"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6" w:lineRule="exact"/>
        <w:rPr>
          <w:rFonts w:ascii="Arial" w:cs="Arial" w:eastAsia="Arial" w:hAnsi="Arial"/>
          <w:sz w:val="18"/>
          <w:szCs w:val="18"/>
          <w:color w:val="auto"/>
        </w:rPr>
      </w:pPr>
    </w:p>
    <w:p>
      <w:pPr>
        <w:ind w:left="800" w:right="240" w:hanging="321"/>
        <w:spacing w:after="0" w:line="261"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6" w:lineRule="exact"/>
        <w:rPr>
          <w:rFonts w:ascii="Arial" w:cs="Arial" w:eastAsia="Arial" w:hAnsi="Arial"/>
          <w:sz w:val="18"/>
          <w:szCs w:val="18"/>
          <w:color w:val="auto"/>
        </w:rPr>
      </w:pPr>
    </w:p>
    <w:p>
      <w:pPr>
        <w:ind w:left="800" w:hanging="32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08" w:lineRule="exact"/>
        <w:rPr>
          <w:rFonts w:ascii="Arial" w:cs="Arial" w:eastAsia="Arial" w:hAnsi="Arial"/>
          <w:sz w:val="18"/>
          <w:szCs w:val="18"/>
          <w:color w:val="auto"/>
        </w:rPr>
      </w:pPr>
    </w:p>
    <w:p>
      <w:pPr>
        <w:ind w:left="800" w:right="220" w:hanging="321"/>
        <w:spacing w:after="0" w:line="324" w:lineRule="auto"/>
        <w:tabs>
          <w:tab w:leader="none" w:pos="7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3 Dimensional (“3D”) Models - consisting of 3D models, used in a variety of industries such as advertising, media and video production, gaming, retail, education, design and architecture, following our acquisition of TurboSquid, Inc. (“TurboSquid”) on February 1, 2021.</w:t>
      </w:r>
    </w:p>
    <w:p>
      <w:pPr>
        <w:spacing w:after="0" w:line="29" w:lineRule="exact"/>
        <w:rPr>
          <w:rFonts w:ascii="Arial" w:cs="Arial" w:eastAsia="Arial" w:hAnsi="Arial"/>
          <w:sz w:val="16"/>
          <w:szCs w:val="16"/>
          <w:color w:val="auto"/>
        </w:rPr>
      </w:pPr>
    </w:p>
    <w:p>
      <w:pPr>
        <w:ind w:left="800" w:hanging="321"/>
        <w:spacing w:after="0" w:line="261"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Creative Design Software - consisting of our online graphic design and image editing platform. On September 3, 2021, we completed the acquisition of substantially all of the assets and assumption of certain liabilities from PicMonkey, LLC (“PicMonkey”).</w:t>
      </w:r>
    </w:p>
    <w:p>
      <w:pPr>
        <w:spacing w:after="0" w:line="102"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For customers seeking specialized solutions, Shutterstock Studios extends our offerings by providing custom, high-quality content matched with production tools and services at scale. Shutterstock Studios delivers end-to-end custom creative services providing data-driven content strategy and full-scale production for our customers. Shutterstock Editorial provides imagery and video content for the latest news, sports and entertainment, and Shutterstock Editorial also offers the Newsroom, for global breaking news, exclusives and archival content.</w:t>
      </w:r>
    </w:p>
    <w:p>
      <w:pPr>
        <w:spacing w:after="0" w:line="95"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color w:val="auto"/>
        </w:rPr>
        <w:t>In addition, in July 2021, through our newly formed entity Shutterstock.AI, Inc. (“Shutterstock.AI”), we acquired Pattern89, Inc., Datasine Limited, and assets from Shotzr, Inc., three artificial intelligence entities that provide data driven insights through their artificial intelligence platforms. Shutterstock.AI will commercialize data assets within our content library and enable companies to grow their capabilities in computer vision and content insights. In addition, with artificial intelligence tools obtained from these acquisitions, we plan to develop predictive performance capabilities to help customers make more data-informed content decisions.</w:t>
      </w:r>
    </w:p>
    <w:p>
      <w:pPr>
        <w:spacing w:after="0" w:line="128" w:lineRule="exact"/>
        <w:rPr>
          <w:sz w:val="20"/>
          <w:szCs w:val="20"/>
          <w:color w:val="auto"/>
        </w:rPr>
      </w:pPr>
    </w:p>
    <w:p>
      <w:pPr>
        <w:ind w:right="240" w:firstLine="395"/>
        <w:spacing w:after="0" w:line="250" w:lineRule="auto"/>
        <w:rPr>
          <w:sz w:val="20"/>
          <w:szCs w:val="20"/>
          <w:color w:val="auto"/>
        </w:rPr>
      </w:pPr>
      <w:r>
        <w:rPr>
          <w:rFonts w:ascii="Arial" w:cs="Arial" w:eastAsia="Arial" w:hAnsi="Arial"/>
          <w:sz w:val="18"/>
          <w:szCs w:val="18"/>
          <w:color w:val="auto"/>
        </w:rPr>
        <w:t>Over 2.0 million active, paying customers contributed to our revenue in 2021. As of December 31, 2021, more than 2.0 million approved contributors made their images, footage and music tracks available in our collection, which has grown to more than 400 million images and more than 24 million footage clips as of December 31, 2021. This makes our collection of content one of the largest of its kind, and we delivered 180.0 million paid downloads to our customers across all of our brands during the year ended December 31, 2021.</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Through our platform, we generate revenue by licensing content to our customers. During the year ended December 31, 2021, 63%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 are paid on</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02" w:lineRule="exact"/>
        <w:rPr>
          <w:sz w:val="20"/>
          <w:szCs w:val="20"/>
          <w:color w:val="auto"/>
        </w:rPr>
      </w:pPr>
    </w:p>
    <w:p>
      <w:pPr>
        <w:ind w:right="60" w:firstLine="395"/>
        <w:spacing w:after="0" w:line="306" w:lineRule="auto"/>
        <w:rPr>
          <w:sz w:val="20"/>
          <w:szCs w:val="20"/>
          <w:color w:val="auto"/>
        </w:rPr>
      </w:pPr>
      <w:r>
        <w:rPr>
          <w:rFonts w:ascii="Arial" w:cs="Arial" w:eastAsia="Arial" w:hAnsi="Arial"/>
          <w:sz w:val="15"/>
          <w:szCs w:val="15"/>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which provides data-driven content strategy, brand storytelling and full scale production services. Our Enterprise sales channel provided approximately 37% of our revenue in 2021.</w:t>
      </w:r>
    </w:p>
    <w:p>
      <w:pPr>
        <w:spacing w:after="0" w:line="88"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As the use cases for our creative solutions expand, we believe our customers are seeking alternative means to consume our offerings. As a result, we have seen strong growth in customers purchasing monthly subscription products, including our suite of multi-asset subscriptions, launched during 2021. These multi-asset products are credit-based and enable customers to license images, footage and music in a single subscription.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6"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54" w:lineRule="exact"/>
        <w:rPr>
          <w:sz w:val="20"/>
          <w:szCs w:val="20"/>
          <w:color w:val="auto"/>
        </w:rPr>
      </w:pPr>
    </w:p>
    <w:p>
      <w:pPr>
        <w:ind w:right="260" w:firstLine="395"/>
        <w:spacing w:after="0" w:line="287" w:lineRule="auto"/>
        <w:rPr>
          <w:sz w:val="20"/>
          <w:szCs w:val="20"/>
          <w:color w:val="auto"/>
        </w:rPr>
      </w:pPr>
      <w:r>
        <w:rPr>
          <w:rFonts w:ascii="Arial" w:cs="Arial" w:eastAsia="Arial" w:hAnsi="Arial"/>
          <w:sz w:val="16"/>
          <w:szCs w:val="16"/>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The economic uncertainty caused by COVID-19 has had an impact on our customers and their ability to spend marketing budgets on our products, to varying degrees during 2020 and into 2021. See Item 1A. Risk Factors for further discussion of the possible impact of the COVID-19 pandemic on our business.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54" w:lineRule="exact"/>
        <w:rPr>
          <w:sz w:val="20"/>
          <w:szCs w:val="20"/>
          <w:color w:val="auto"/>
        </w:rPr>
      </w:pPr>
    </w:p>
    <w:p>
      <w:pPr>
        <w:ind w:right="40" w:firstLine="395"/>
        <w:spacing w:after="0" w:line="298"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years ended December 31, 2021,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2"/>
        </w:trPr>
        <w:tc>
          <w:tcPr>
            <w:tcW w:w="6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r>
      <w:tr>
        <w:trPr>
          <w:trHeight w:val="33"/>
        </w:trPr>
        <w:tc>
          <w:tcPr>
            <w:tcW w:w="6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6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Subscribers (end of period)</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194,000</w:t>
            </w:r>
          </w:p>
        </w:tc>
      </w:tr>
      <w:tr>
        <w:trPr>
          <w:trHeight w:val="204"/>
        </w:trPr>
        <w:tc>
          <w:tcPr>
            <w:tcW w:w="6320" w:type="dxa"/>
            <w:vAlign w:val="bottom"/>
          </w:tcPr>
          <w:p>
            <w:pPr>
              <w:ind w:left="420"/>
              <w:spacing w:after="0"/>
              <w:rPr>
                <w:sz w:val="20"/>
                <w:szCs w:val="20"/>
                <w:color w:val="auto"/>
              </w:rPr>
            </w:pPr>
            <w:r>
              <w:rPr>
                <w:rFonts w:ascii="Arial" w:cs="Arial" w:eastAsia="Arial" w:hAnsi="Arial"/>
                <w:sz w:val="16"/>
                <w:szCs w:val="16"/>
                <w:color w:val="auto"/>
              </w:rPr>
              <w:t>Subscriber revenue (in millions)</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17"/>
                <w:szCs w:val="17"/>
                <w:color w:val="auto"/>
              </w:rPr>
            </w:pPr>
          </w:p>
        </w:tc>
        <w:tc>
          <w:tcPr>
            <w:tcW w:w="6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236.5</w:t>
            </w:r>
          </w:p>
        </w:tc>
      </w:tr>
      <w:tr>
        <w:trPr>
          <w:trHeight w:val="59"/>
        </w:trPr>
        <w:tc>
          <w:tcPr>
            <w:tcW w:w="6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11"/>
        </w:trPr>
        <w:tc>
          <w:tcPr>
            <w:tcW w:w="6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Average revenue per customer (last twelve months)</w:t>
            </w: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w:t>
            </w:r>
          </w:p>
        </w:tc>
      </w:tr>
      <w:tr>
        <w:trPr>
          <w:trHeight w:val="207"/>
        </w:trPr>
        <w:tc>
          <w:tcPr>
            <w:tcW w:w="6320" w:type="dxa"/>
            <w:vAlign w:val="bottom"/>
          </w:tcPr>
          <w:p>
            <w:pPr>
              <w:ind w:left="420"/>
              <w:spacing w:after="0"/>
              <w:rPr>
                <w:sz w:val="20"/>
                <w:szCs w:val="20"/>
                <w:color w:val="auto"/>
              </w:rPr>
            </w:pPr>
            <w:r>
              <w:rPr>
                <w:rFonts w:ascii="Arial" w:cs="Arial" w:eastAsia="Arial" w:hAnsi="Arial"/>
                <w:sz w:val="16"/>
                <w:szCs w:val="16"/>
                <w:color w:val="auto"/>
              </w:rPr>
              <w:t>Paid downloads (in millions)</w:t>
            </w:r>
          </w:p>
        </w:tc>
        <w:tc>
          <w:tcPr>
            <w:tcW w:w="6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187.8</w:t>
            </w:r>
          </w:p>
        </w:tc>
      </w:tr>
      <w:tr>
        <w:trPr>
          <w:trHeight w:val="214"/>
        </w:trPr>
        <w:tc>
          <w:tcPr>
            <w:tcW w:w="6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Revenue per download</w:t>
            </w: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w:t>
            </w:r>
          </w:p>
        </w:tc>
      </w:tr>
      <w:tr>
        <w:trPr>
          <w:trHeight w:val="207"/>
        </w:trPr>
        <w:tc>
          <w:tcPr>
            <w:tcW w:w="6320" w:type="dxa"/>
            <w:vAlign w:val="bottom"/>
          </w:tcPr>
          <w:p>
            <w:pPr>
              <w:ind w:left="420"/>
              <w:spacing w:after="0"/>
              <w:rPr>
                <w:sz w:val="20"/>
                <w:szCs w:val="20"/>
                <w:color w:val="auto"/>
              </w:rPr>
            </w:pPr>
            <w:r>
              <w:rPr>
                <w:rFonts w:ascii="Arial" w:cs="Arial" w:eastAsia="Arial" w:hAnsi="Arial"/>
                <w:sz w:val="16"/>
                <w:szCs w:val="16"/>
                <w:color w:val="auto"/>
              </w:rPr>
              <w:t>Content in our collection (end of period, in millions)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6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Images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r>
      <w:tr>
        <w:trPr>
          <w:trHeight w:val="204"/>
        </w:trPr>
        <w:tc>
          <w:tcPr>
            <w:tcW w:w="6320" w:type="dxa"/>
            <w:vAlign w:val="bottom"/>
          </w:tcPr>
          <w:p>
            <w:pPr>
              <w:ind w:left="540"/>
              <w:spacing w:after="0"/>
              <w:rPr>
                <w:sz w:val="20"/>
                <w:szCs w:val="20"/>
                <w:color w:val="auto"/>
              </w:rPr>
            </w:pPr>
            <w:r>
              <w:rPr>
                <w:rFonts w:ascii="Arial" w:cs="Arial" w:eastAsia="Arial" w:hAnsi="Arial"/>
                <w:sz w:val="16"/>
                <w:szCs w:val="16"/>
                <w:color w:val="auto"/>
              </w:rPr>
              <w:t>Footage clips</w:t>
            </w:r>
          </w:p>
        </w:tc>
        <w:tc>
          <w:tcPr>
            <w:tcW w:w="6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w:t>
      </w:r>
    </w:p>
    <w:p>
      <w:pPr>
        <w:spacing w:after="0" w:line="10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We define subscribers as those customers who purchase one or more of our monthly recurring products for a continuous period of at least three months, measured as of the end of the reporting period excluding customers from our acquisitions of TurboSquid and PicMonkey.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 Revenue</w:t>
      </w:r>
    </w:p>
    <w:p>
      <w:pPr>
        <w:spacing w:after="0" w:line="10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We define subscriber revenue as the revenue generated from subscribers during the period excluding revenues from our acquisitions of TurboSquid and PicMonkey. We believe subscriber revenue, together with our number of subscribers, provide insight into the portion of our business and growth driven by our monthly recurring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Revenue Per Customer</w:t>
      </w:r>
    </w:p>
    <w:p>
      <w:pPr>
        <w:spacing w:after="0" w:line="109"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Average revenue per customer is calculated by dividing total revenue for the last twelve-month period by customers, excluding revenues from our recent acquisitions of TurboSquid and PicMonkey. We define customers as total active, paying customers that contributed to total revenue over the last twelve-month period, excluding customers from our recent acquisitions of TurboSquid and PicMonkey. Changes in our average revenue per customer will be driven by changes in the mix of our subscription-based products and the pricing in our transactional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109"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109"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09"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9" w:lineRule="exact"/>
        <w:rPr>
          <w:sz w:val="20"/>
          <w:szCs w:val="20"/>
          <w:color w:val="auto"/>
        </w:rPr>
      </w:pPr>
    </w:p>
    <w:p>
      <w:pPr>
        <w:ind w:right="360" w:firstLine="395"/>
        <w:spacing w:after="0" w:line="250" w:lineRule="auto"/>
        <w:rPr>
          <w:sz w:val="20"/>
          <w:szCs w:val="20"/>
          <w:color w:val="auto"/>
        </w:rPr>
      </w:pPr>
      <w:r>
        <w:rPr>
          <w:rFonts w:ascii="Arial" w:cs="Arial" w:eastAsia="Arial" w:hAnsi="Arial"/>
          <w:sz w:val="18"/>
          <w:szCs w:val="18"/>
          <w:color w:val="auto"/>
        </w:rPr>
        <w:t>The majority of our revenue is earned from licensing content. Content licenses are generally purchased by our customers on a monthly or annual subscription basis, whereby a customer pays for a predetermined quantity of content that may be downloaded over a specific period of time, or, on a transactional basis, whereby a customer pays for individual content licenses at the time of download. Subsequent to the acquisition of PicMonkey, we also generate revenue from the license of creative editing tools.</w:t>
      </w:r>
    </w:p>
    <w:p>
      <w:pPr>
        <w:spacing w:after="0" w:line="85" w:lineRule="exact"/>
        <w:rPr>
          <w:sz w:val="20"/>
          <w:szCs w:val="20"/>
          <w:color w:val="auto"/>
        </w:rPr>
      </w:pPr>
    </w:p>
    <w:p>
      <w:pPr>
        <w:ind w:right="240" w:firstLine="395"/>
        <w:spacing w:after="0" w:line="252" w:lineRule="auto"/>
        <w:rPr>
          <w:sz w:val="20"/>
          <w:szCs w:val="20"/>
          <w:color w:val="auto"/>
        </w:rPr>
      </w:pPr>
      <w:r>
        <w:rPr>
          <w:rFonts w:ascii="Arial" w:cs="Arial" w:eastAsia="Arial" w:hAnsi="Arial"/>
          <w:sz w:val="18"/>
          <w:szCs w:val="18"/>
          <w:color w:val="auto"/>
        </w:rPr>
        <w:t>We recognize revenue upon the satisfaction of performance obligations, which occurs when content is downloaded by a customer. For content licenses, we recognize revenue on both our subscription-based and transaction-based products when content is downloaded, at which time the license is provided. In addition, management estimates expected unused licenses for</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the license of our creative editing tools, the Company recognizes revenue on a straight-line basis over the subscription period. We expense contract acquisition costs as incurred, to the extent that the amortization period would otherwise be one year or less.</w:t>
      </w:r>
    </w:p>
    <w:p>
      <w:pPr>
        <w:spacing w:after="0" w:line="58" w:lineRule="exact"/>
        <w:rPr>
          <w:sz w:val="20"/>
          <w:szCs w:val="20"/>
          <w:color w:val="auto"/>
        </w:rPr>
      </w:pPr>
    </w:p>
    <w:p>
      <w:pPr>
        <w:jc w:val="both"/>
        <w:ind w:right="100" w:firstLine="395"/>
        <w:spacing w:after="0" w:line="279" w:lineRule="auto"/>
        <w:rPr>
          <w:sz w:val="20"/>
          <w:szCs w:val="20"/>
          <w:color w:val="auto"/>
        </w:rPr>
      </w:pPr>
      <w:r>
        <w:rPr>
          <w:rFonts w:ascii="Arial" w:cs="Arial" w:eastAsia="Arial" w:hAnsi="Arial"/>
          <w:sz w:val="16"/>
          <w:szCs w:val="16"/>
          <w:color w:val="auto"/>
        </w:rPr>
        <w:t>Collectability is reasonably assured at the time the electronic order or contract is entered. The majority of our customers purchase products by making an electronic payment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w:t>
      </w:r>
    </w:p>
    <w:p>
      <w:pPr>
        <w:spacing w:after="0" w:line="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Collectability for customers who pay on credit terms allowing for payment beyond the date at which service commences, is based on a credit evaluation for certain new customers and transaction history with existing customers.</w:t>
      </w:r>
    </w:p>
    <w:p>
      <w:pPr>
        <w:spacing w:after="0" w:line="87" w:lineRule="exact"/>
        <w:rPr>
          <w:sz w:val="20"/>
          <w:szCs w:val="20"/>
          <w:color w:val="auto"/>
        </w:rPr>
      </w:pPr>
    </w:p>
    <w:p>
      <w:pPr>
        <w:jc w:val="both"/>
        <w:ind w:right="300" w:firstLine="395"/>
        <w:spacing w:after="0" w:line="327" w:lineRule="auto"/>
        <w:rPr>
          <w:sz w:val="20"/>
          <w:szCs w:val="20"/>
          <w:color w:val="auto"/>
        </w:rPr>
      </w:pPr>
      <w:r>
        <w:rPr>
          <w:rFonts w:ascii="Arial" w:cs="Arial" w:eastAsia="Arial" w:hAnsi="Arial"/>
          <w:sz w:val="15"/>
          <w:szCs w:val="15"/>
          <w:color w:val="auto"/>
        </w:rPr>
        <w:t>We recognize revenue gross of contributor royalties because we are the principal in the transaction as we are the party responsible for the performance obligation and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48"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15"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24" w:lineRule="exact"/>
        <w:rPr>
          <w:sz w:val="20"/>
          <w:szCs w:val="20"/>
          <w:color w:val="auto"/>
        </w:rPr>
      </w:pPr>
    </w:p>
    <w:p>
      <w:pPr>
        <w:jc w:val="both"/>
        <w:ind w:right="40" w:firstLine="395"/>
        <w:spacing w:after="0" w:line="299"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employee compensation, including non-cash equity-based compensation,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89"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compensation, including non-cash equity-based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81"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Other income / (expense), net consists of non-operating costs such as foreign currency transaction gains and losses,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interest income.</w:t>
      </w:r>
    </w:p>
    <w:p>
      <w:pPr>
        <w:spacing w:after="0" w:line="116"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compute income taxes using the asset and liability method, under which deferred tax assets and liabilities are determined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2"/>
        </w:trPr>
        <w:tc>
          <w:tcPr>
            <w:tcW w:w="6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12"/>
        </w:trPr>
        <w:tc>
          <w:tcPr>
            <w:tcW w:w="6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2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Consolidated Statements of Operations:</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6240" w:type="dxa"/>
            <w:vAlign w:val="bottom"/>
          </w:tcPr>
          <w:p>
            <w:pPr>
              <w:ind w:left="540"/>
              <w:spacing w:after="0"/>
              <w:rPr>
                <w:sz w:val="20"/>
                <w:szCs w:val="20"/>
                <w:color w:val="auto"/>
              </w:rPr>
            </w:pPr>
            <w:r>
              <w:rPr>
                <w:rFonts w:ascii="Arial" w:cs="Arial" w:eastAsia="Arial" w:hAnsi="Arial"/>
                <w:sz w:val="16"/>
                <w:szCs w:val="16"/>
                <w:color w:val="auto"/>
              </w:rPr>
              <w:t>Revenue</w:t>
            </w: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773,415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666,686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650,523</w:t>
            </w:r>
          </w:p>
        </w:tc>
      </w:tr>
      <w:tr>
        <w:trPr>
          <w:trHeight w:val="214"/>
        </w:trPr>
        <w:tc>
          <w:tcPr>
            <w:tcW w:w="6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expenses:</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6240" w:type="dxa"/>
            <w:vAlign w:val="bottom"/>
          </w:tcPr>
          <w:p>
            <w:pPr>
              <w:ind w:left="620"/>
              <w:spacing w:after="0"/>
              <w:rPr>
                <w:sz w:val="20"/>
                <w:szCs w:val="20"/>
                <w:color w:val="auto"/>
              </w:rPr>
            </w:pPr>
            <w:r>
              <w:rPr>
                <w:rFonts w:ascii="Arial" w:cs="Arial" w:eastAsia="Arial" w:hAnsi="Arial"/>
                <w:sz w:val="16"/>
                <w:szCs w:val="16"/>
                <w:color w:val="auto"/>
              </w:rPr>
              <w:t>Cost of revenue</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277,659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259,573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278,176</w:t>
            </w:r>
          </w:p>
        </w:tc>
      </w:tr>
      <w:tr>
        <w:trPr>
          <w:trHeight w:val="214"/>
        </w:trPr>
        <w:tc>
          <w:tcPr>
            <w:tcW w:w="6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Sales and marketing</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181,730</w:t>
            </w:r>
          </w:p>
        </w:tc>
      </w:tr>
      <w:tr>
        <w:trPr>
          <w:trHeight w:val="207"/>
        </w:trPr>
        <w:tc>
          <w:tcPr>
            <w:tcW w:w="6240" w:type="dxa"/>
            <w:vAlign w:val="bottom"/>
          </w:tcPr>
          <w:p>
            <w:pPr>
              <w:ind w:left="620"/>
              <w:spacing w:after="0"/>
              <w:rPr>
                <w:sz w:val="20"/>
                <w:szCs w:val="20"/>
                <w:color w:val="auto"/>
              </w:rPr>
            </w:pPr>
            <w:r>
              <w:rPr>
                <w:rFonts w:ascii="Arial" w:cs="Arial" w:eastAsia="Arial" w:hAnsi="Arial"/>
                <w:sz w:val="16"/>
                <w:szCs w:val="16"/>
                <w:color w:val="auto"/>
              </w:rPr>
              <w:t>Product development</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57,216</w:t>
            </w:r>
          </w:p>
        </w:tc>
      </w:tr>
      <w:tr>
        <w:trPr>
          <w:trHeight w:val="214"/>
        </w:trPr>
        <w:tc>
          <w:tcPr>
            <w:tcW w:w="6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130,758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116,568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113,246</w:t>
            </w:r>
          </w:p>
        </w:tc>
      </w:tr>
      <w:tr>
        <w:trPr>
          <w:trHeight w:val="200"/>
        </w:trPr>
        <w:tc>
          <w:tcPr>
            <w:tcW w:w="6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665,309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630,368</w:t>
            </w:r>
          </w:p>
        </w:tc>
      </w:tr>
      <w:tr>
        <w:trPr>
          <w:trHeight w:val="207"/>
        </w:trPr>
        <w:tc>
          <w:tcPr>
            <w:tcW w:w="6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20,155</w:t>
            </w:r>
          </w:p>
        </w:tc>
      </w:tr>
      <w:tr>
        <w:trPr>
          <w:trHeight w:val="207"/>
        </w:trPr>
        <w:tc>
          <w:tcPr>
            <w:tcW w:w="6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(expense) / income, net</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4,761</w:t>
            </w:r>
          </w:p>
        </w:tc>
      </w:tr>
      <w:tr>
        <w:trPr>
          <w:trHeight w:val="207"/>
        </w:trPr>
        <w:tc>
          <w:tcPr>
            <w:tcW w:w="6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before income taxes</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24,916</w:t>
            </w:r>
          </w:p>
        </w:tc>
      </w:tr>
      <w:tr>
        <w:trPr>
          <w:trHeight w:val="207"/>
        </w:trPr>
        <w:tc>
          <w:tcPr>
            <w:tcW w:w="6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4,808</w:t>
            </w:r>
          </w:p>
        </w:tc>
      </w:tr>
      <w:tr>
        <w:trPr>
          <w:trHeight w:val="232"/>
        </w:trPr>
        <w:tc>
          <w:tcPr>
            <w:tcW w:w="6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91,883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20,108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82"/>
        </w:trPr>
        <w:tc>
          <w:tcPr>
            <w:tcW w:w="60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r>
      <w:tr>
        <w:trPr>
          <w:trHeight w:val="204"/>
        </w:trPr>
        <w:tc>
          <w:tcPr>
            <w:tcW w:w="60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Consolidated Statements of Operations: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7"/>
        </w:trPr>
        <w:tc>
          <w:tcPr>
            <w:tcW w:w="6080" w:type="dxa"/>
            <w:vAlign w:val="bottom"/>
          </w:tcPr>
          <w:p>
            <w:pPr>
              <w:ind w:left="540"/>
              <w:spacing w:after="0"/>
              <w:rPr>
                <w:sz w:val="20"/>
                <w:szCs w:val="20"/>
                <w:color w:val="auto"/>
              </w:rPr>
            </w:pPr>
            <w:r>
              <w:rPr>
                <w:rFonts w:ascii="Arial" w:cs="Arial" w:eastAsia="Arial" w:hAnsi="Arial"/>
                <w:sz w:val="16"/>
                <w:szCs w:val="16"/>
                <w:color w:val="auto"/>
              </w:rPr>
              <w:t>Revenue</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expenses: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7"/>
        </w:trPr>
        <w:tc>
          <w:tcPr>
            <w:tcW w:w="6080" w:type="dxa"/>
            <w:vAlign w:val="bottom"/>
          </w:tcPr>
          <w:p>
            <w:pPr>
              <w:ind w:left="620"/>
              <w:spacing w:after="0"/>
              <w:rPr>
                <w:sz w:val="20"/>
                <w:szCs w:val="20"/>
                <w:color w:val="auto"/>
              </w:rPr>
            </w:pPr>
            <w:r>
              <w:rPr>
                <w:rFonts w:ascii="Arial" w:cs="Arial" w:eastAsia="Arial" w:hAnsi="Arial"/>
                <w:sz w:val="16"/>
                <w:szCs w:val="16"/>
                <w:color w:val="auto"/>
              </w:rPr>
              <w:t>Cost of revenue</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43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0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Sales and marketing</w:t>
            </w: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80" w:type="dxa"/>
            <w:vAlign w:val="bottom"/>
          </w:tcPr>
          <w:p>
            <w:pPr>
              <w:ind w:left="620"/>
              <w:spacing w:after="0"/>
              <w:rPr>
                <w:sz w:val="20"/>
                <w:szCs w:val="20"/>
                <w:color w:val="auto"/>
              </w:rPr>
            </w:pPr>
            <w:r>
              <w:rPr>
                <w:rFonts w:ascii="Arial" w:cs="Arial" w:eastAsia="Arial" w:hAnsi="Arial"/>
                <w:sz w:val="16"/>
                <w:szCs w:val="16"/>
                <w:color w:val="auto"/>
              </w:rPr>
              <w:t>Product development</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0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General and administrative</w:t>
            </w: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08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86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87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97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from operations</w:t>
            </w: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0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income, net</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before income taxes</w:t>
            </w: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Provision for income taxes</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income</w:t>
            </w: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7" w:name="page48"/>
    <w:bookmarkEnd w:id="4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December 31, 2020</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2"/>
        </w:trPr>
        <w:tc>
          <w:tcPr>
            <w:tcW w:w="45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5"/>
                <w:szCs w:val="15"/>
                <w:color w:val="auto"/>
              </w:rPr>
            </w:pPr>
          </w:p>
        </w:tc>
      </w:tr>
      <w:tr>
        <w:trPr>
          <w:trHeight w:val="212"/>
        </w:trPr>
        <w:tc>
          <w:tcPr>
            <w:tcW w:w="4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Consolidated Statements of Operations Data:</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7"/>
        </w:trPr>
        <w:tc>
          <w:tcPr>
            <w:tcW w:w="4560" w:type="dxa"/>
            <w:vAlign w:val="bottom"/>
          </w:tcPr>
          <w:p>
            <w:pPr>
              <w:ind w:left="540"/>
              <w:spacing w:after="0"/>
              <w:rPr>
                <w:sz w:val="20"/>
                <w:szCs w:val="20"/>
                <w:color w:val="auto"/>
              </w:rPr>
            </w:pPr>
            <w:r>
              <w:rPr>
                <w:rFonts w:ascii="Arial" w:cs="Arial" w:eastAsia="Arial" w:hAnsi="Arial"/>
                <w:sz w:val="16"/>
                <w:szCs w:val="16"/>
                <w:color w:val="auto"/>
              </w:rPr>
              <w:t>Revenue</w:t>
            </w:r>
          </w:p>
        </w:tc>
        <w:tc>
          <w:tcPr>
            <w:tcW w:w="6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773,415</w:t>
            </w:r>
          </w:p>
        </w:tc>
        <w:tc>
          <w:tcPr>
            <w:tcW w:w="100" w:type="dxa"/>
            <w:vAlign w:val="bottom"/>
          </w:tcPr>
          <w:p>
            <w:pPr>
              <w:spacing w:after="0"/>
              <w:rPr>
                <w:sz w:val="18"/>
                <w:szCs w:val="18"/>
                <w:color w:val="auto"/>
              </w:rPr>
            </w:pP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666,686</w:t>
            </w:r>
          </w:p>
        </w:tc>
        <w:tc>
          <w:tcPr>
            <w:tcW w:w="10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106,729</w:t>
            </w:r>
          </w:p>
        </w:tc>
        <w:tc>
          <w:tcPr>
            <w:tcW w:w="120" w:type="dxa"/>
            <w:vAlign w:val="bottom"/>
          </w:tcPr>
          <w:p>
            <w:pPr>
              <w:spacing w:after="0"/>
              <w:rPr>
                <w:sz w:val="18"/>
                <w:szCs w:val="18"/>
                <w:color w:val="auto"/>
              </w:rPr>
            </w:pPr>
          </w:p>
        </w:tc>
        <w:tc>
          <w:tcPr>
            <w:tcW w:w="1380" w:type="dxa"/>
            <w:vAlign w:val="bottom"/>
          </w:tcPr>
          <w:p>
            <w:pPr>
              <w:jc w:val="right"/>
              <w:ind w:right="302"/>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5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expenses: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7"/>
        </w:trPr>
        <w:tc>
          <w:tcPr>
            <w:tcW w:w="4560" w:type="dxa"/>
            <w:vAlign w:val="bottom"/>
          </w:tcPr>
          <w:p>
            <w:pPr>
              <w:ind w:left="620"/>
              <w:spacing w:after="0"/>
              <w:rPr>
                <w:sz w:val="20"/>
                <w:szCs w:val="20"/>
                <w:color w:val="auto"/>
              </w:rPr>
            </w:pPr>
            <w:r>
              <w:rPr>
                <w:rFonts w:ascii="Arial" w:cs="Arial" w:eastAsia="Arial" w:hAnsi="Arial"/>
                <w:sz w:val="16"/>
                <w:szCs w:val="16"/>
                <w:color w:val="auto"/>
              </w:rPr>
              <w:t>Cost of revenue</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277,659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259,573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18,086</w:t>
            </w:r>
          </w:p>
        </w:tc>
        <w:tc>
          <w:tcPr>
            <w:tcW w:w="120" w:type="dxa"/>
            <w:vAlign w:val="bottom"/>
          </w:tcPr>
          <w:p>
            <w:pPr>
              <w:spacing w:after="0"/>
              <w:rPr>
                <w:sz w:val="18"/>
                <w:szCs w:val="18"/>
                <w:color w:val="auto"/>
              </w:rPr>
            </w:pPr>
          </w:p>
        </w:tc>
        <w:tc>
          <w:tcPr>
            <w:tcW w:w="1380" w:type="dxa"/>
            <w:vAlign w:val="bottom"/>
          </w:tcPr>
          <w:p>
            <w:pPr>
              <w:jc w:val="right"/>
              <w:ind w:right="302"/>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r>
      <w:tr>
        <w:trPr>
          <w:trHeight w:val="214"/>
        </w:trPr>
        <w:tc>
          <w:tcPr>
            <w:tcW w:w="4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Sales and marketing</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159,241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8"/>
                <w:szCs w:val="18"/>
                <w:color w:val="auto"/>
              </w:rPr>
            </w:pPr>
          </w:p>
        </w:tc>
      </w:tr>
      <w:tr>
        <w:trPr>
          <w:trHeight w:val="207"/>
        </w:trPr>
        <w:tc>
          <w:tcPr>
            <w:tcW w:w="4560" w:type="dxa"/>
            <w:vAlign w:val="bottom"/>
          </w:tcPr>
          <w:p>
            <w:pPr>
              <w:ind w:left="620"/>
              <w:spacing w:after="0"/>
              <w:rPr>
                <w:sz w:val="20"/>
                <w:szCs w:val="20"/>
                <w:color w:val="auto"/>
              </w:rPr>
            </w:pPr>
            <w:r>
              <w:rPr>
                <w:rFonts w:ascii="Arial" w:cs="Arial" w:eastAsia="Arial" w:hAnsi="Arial"/>
                <w:sz w:val="16"/>
                <w:szCs w:val="16"/>
                <w:color w:val="auto"/>
              </w:rPr>
              <w:t>Product development</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52,014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46,038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5,976</w:t>
            </w:r>
          </w:p>
        </w:tc>
        <w:tc>
          <w:tcPr>
            <w:tcW w:w="120" w:type="dxa"/>
            <w:vAlign w:val="bottom"/>
          </w:tcPr>
          <w:p>
            <w:pPr>
              <w:spacing w:after="0"/>
              <w:rPr>
                <w:sz w:val="18"/>
                <w:szCs w:val="18"/>
                <w:color w:val="auto"/>
              </w:rPr>
            </w:pPr>
          </w:p>
        </w:tc>
        <w:tc>
          <w:tcPr>
            <w:tcW w:w="1380" w:type="dxa"/>
            <w:vAlign w:val="bottom"/>
          </w:tcPr>
          <w:p>
            <w:pPr>
              <w:jc w:val="right"/>
              <w:ind w:right="302"/>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r>
      <w:tr>
        <w:trPr>
          <w:trHeight w:val="214"/>
        </w:trPr>
        <w:tc>
          <w:tcPr>
            <w:tcW w:w="4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General and administrative</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130,758</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116,568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CEEFF"/>
          </w:tcPr>
          <w:p>
            <w:pPr>
              <w:spacing w:after="0"/>
              <w:rPr>
                <w:sz w:val="18"/>
                <w:szCs w:val="18"/>
                <w:color w:val="auto"/>
              </w:rPr>
            </w:pPr>
          </w:p>
        </w:tc>
      </w:tr>
      <w:tr>
        <w:trPr>
          <w:trHeight w:val="200"/>
        </w:trPr>
        <w:tc>
          <w:tcPr>
            <w:tcW w:w="456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operating expenses</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665,309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581,420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83,889</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7"/>
                <w:szCs w:val="17"/>
                <w:color w:val="auto"/>
              </w:rPr>
            </w:pPr>
          </w:p>
        </w:tc>
      </w:tr>
      <w:tr>
        <w:trPr>
          <w:trHeight w:val="207"/>
        </w:trPr>
        <w:tc>
          <w:tcPr>
            <w:tcW w:w="45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from operations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108,106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85,266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8"/>
                <w:szCs w:val="18"/>
                <w:color w:val="auto"/>
              </w:rPr>
            </w:pPr>
          </w:p>
        </w:tc>
      </w:tr>
      <w:tr>
        <w:trPr>
          <w:trHeight w:val="207"/>
        </w:trPr>
        <w:tc>
          <w:tcPr>
            <w:tcW w:w="45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(expense) / income, net</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4,257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(179)</w:t>
            </w:r>
          </w:p>
        </w:tc>
        <w:tc>
          <w:tcPr>
            <w:tcW w:w="220" w:type="dxa"/>
            <w:vAlign w:val="bottom"/>
            <w:tcBorders>
              <w:bottom w:val="single" w:sz="8" w:color="auto"/>
            </w:tcBorders>
          </w:tcPr>
          <w:p>
            <w:pPr>
              <w:spacing w:after="0"/>
              <w:rPr>
                <w:sz w:val="18"/>
                <w:szCs w:val="18"/>
                <w:color w:val="auto"/>
              </w:rPr>
            </w:pPr>
          </w:p>
        </w:tc>
      </w:tr>
      <w:tr>
        <w:trPr>
          <w:trHeight w:val="207"/>
        </w:trPr>
        <w:tc>
          <w:tcPr>
            <w:tcW w:w="45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before income taxes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104,736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89,523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8"/>
                <w:szCs w:val="18"/>
                <w:color w:val="auto"/>
              </w:rPr>
            </w:pPr>
          </w:p>
        </w:tc>
      </w:tr>
      <w:tr>
        <w:trPr>
          <w:trHeight w:val="207"/>
        </w:trPr>
        <w:tc>
          <w:tcPr>
            <w:tcW w:w="45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Provision for income taxes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17,757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auto"/>
            </w:tcBorders>
          </w:tcPr>
          <w:p>
            <w:pPr>
              <w:spacing w:after="0"/>
              <w:rPr>
                <w:sz w:val="18"/>
                <w:szCs w:val="18"/>
                <w:color w:val="auto"/>
              </w:rPr>
            </w:pPr>
          </w:p>
        </w:tc>
      </w:tr>
      <w:tr>
        <w:trPr>
          <w:trHeight w:val="232"/>
        </w:trPr>
        <w:tc>
          <w:tcPr>
            <w:tcW w:w="45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income</w:t>
            </w: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91,883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71,766</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 increased by $106.7 million, or 16%, to $773.4 million in 2021 as compared to 2020. On a constant currency basis, revenue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increased approximately 15% in the year ended December 31, 2021, as compared to 2020. Our revenue growth in 2021 is primarily driven by revenue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generated from our 2021 acquisitions and the increase in our subscription business. From 2020 to 2021, subscribers grew by 22% to 343,000 and subscriber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 grew by 20% to $317.5 million.</w:t>
      </w:r>
    </w:p>
    <w:p>
      <w:pPr>
        <w:spacing w:after="0" w:line="137"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E-commerce revenues increased by 19%, to $490.2 million in 2021, as compared to 2020. On a constant currency basis, E-commerce revenues increased by 16% in 2021, as compared to 2020. During 2021, growth in our E-commerce sales channel was driven by increased subscriber revenue and revenue generated by our acquisitions of TurboSquid and PicMonkey, which were completed on February 1, 2021 and September 3, 2021, respectively.</w:t>
      </w:r>
    </w:p>
    <w:p>
      <w:pPr>
        <w:spacing w:after="0" w:line="76" w:lineRule="exact"/>
        <w:rPr>
          <w:sz w:val="20"/>
          <w:szCs w:val="20"/>
          <w:color w:val="auto"/>
        </w:rPr>
      </w:pPr>
    </w:p>
    <w:p>
      <w:pPr>
        <w:jc w:val="both"/>
        <w:ind w:right="200" w:firstLine="395"/>
        <w:spacing w:after="0" w:line="291" w:lineRule="auto"/>
        <w:rPr>
          <w:sz w:val="20"/>
          <w:szCs w:val="20"/>
          <w:color w:val="auto"/>
        </w:rPr>
      </w:pPr>
      <w:r>
        <w:rPr>
          <w:rFonts w:ascii="Arial" w:cs="Arial" w:eastAsia="Arial" w:hAnsi="Arial"/>
          <w:sz w:val="16"/>
          <w:szCs w:val="16"/>
          <w:color w:val="auto"/>
        </w:rPr>
        <w:t>Enterprise revenues increased by 11%, to $283.2 million in 2021, as compared to 2020. On a constant currency basis, Enterprise revenues increased by 10% in 2021, as compared to 2020. We have continued to execute on our strategy to respond to market trends including making updates to product offerings and continuously improving our platform. We believe these enhancements impacted our Enterprise sales operations during the period and were one of the drivers of the increased deferred revenue balance as of December 31, 2021.</w:t>
      </w:r>
    </w:p>
    <w:p>
      <w:pPr>
        <w:spacing w:after="0" w:line="95" w:lineRule="exact"/>
        <w:rPr>
          <w:sz w:val="20"/>
          <w:szCs w:val="20"/>
          <w:color w:val="auto"/>
        </w:rPr>
      </w:pPr>
    </w:p>
    <w:p>
      <w:pPr>
        <w:ind w:right="120" w:firstLine="395"/>
        <w:spacing w:after="0" w:line="324" w:lineRule="auto"/>
        <w:rPr>
          <w:sz w:val="20"/>
          <w:szCs w:val="20"/>
          <w:color w:val="auto"/>
        </w:rPr>
      </w:pPr>
      <w:r>
        <w:rPr>
          <w:rFonts w:ascii="Arial" w:cs="Arial" w:eastAsia="Arial" w:hAnsi="Arial"/>
          <w:sz w:val="16"/>
          <w:szCs w:val="16"/>
          <w:color w:val="auto"/>
        </w:rPr>
        <w:t>In the years ended December 31, 2021 and 2020, we delivered 180.0 million paid downloads, and our revenue per download increased to $4.16 in 2021, as compared to $3.68 in 2020. During 2021, the 13% increase in revenue per download, is primarily due to changes in product mix.</w:t>
      </w:r>
    </w:p>
    <w:p>
      <w:pPr>
        <w:spacing w:after="0" w:line="30"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$54.4 million, or 23%, to $291.0 million, revenue from Europe increased by $32.8 million, or 15%, to $253.5 million and revenue from outside Europe and North America increased by $19.5 million, or 9%, to $229.0 million, in the year ended December 31, 2021 compared to 2020.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35"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8"/>
          <w:szCs w:val="18"/>
          <w:i w:val="1"/>
          <w:iCs w:val="1"/>
          <w:color w:val="auto"/>
        </w:rPr>
        <w:t>Cost of Revenue.</w:t>
      </w:r>
      <w:r>
        <w:rPr>
          <w:sz w:val="20"/>
          <w:szCs w:val="20"/>
          <w:color w:val="auto"/>
        </w:rPr>
        <w:tab/>
      </w:r>
      <w:r>
        <w:rPr>
          <w:rFonts w:ascii="Arial" w:cs="Arial" w:eastAsia="Arial" w:hAnsi="Arial"/>
          <w:sz w:val="16"/>
          <w:szCs w:val="16"/>
          <w:color w:val="auto"/>
        </w:rPr>
        <w:t>Cost of revenue increased by $18.1 million, or 7%, to $277.7 million in 2021 as compared to 2020. This increase was primarily driven</w:t>
      </w:r>
    </w:p>
    <w:p>
      <w:pPr>
        <w:spacing w:after="0" w:line="1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by: (i) higher royalty expense, content procurement costs and credit card fees, associated with our increased revenue and (ii) increased depreciation and amortization expense driven by our recent acquisitions. In addition, in 2020, cost of revenue included severance charges of $1.2 million. We expect that our cost of revenue will continue to fluctuate in line with changes in revenue and paid downloads.</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$45.6 million, or 29%, to $204.9 million in 2021 as compared to 2020. As a percent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sales and marketing expenses increased to 26% for the year ended December 31, 2021, from 24% for 2020. The increase in sales and marketing expenses was primarily driven by (i) $31.7 million in higher marketing spend which includes performance marketing, brand marketing and television ad spend, and (ii) $11.3 million in higher employee-related costs, primarily related to commissions associated with increased enterprise billings. In addition, for the year ended December 31, 2021 and 2020, sales and marketing includes severance charges of $2.2 million and $1.7 million, respectively. We expect sales and marketing expenses to continue to fluctuate as we optimize our sales channels and invest in new customer acquisition, products and geographies.</w:t>
      </w:r>
    </w:p>
    <w:p>
      <w:pPr>
        <w:spacing w:after="0" w:line="89"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by $6.0 million, or 13%, to $52.0 million in 2021 as compared to 2020.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higher personnel costs and higher non-cash compensation expense. These increases were partially offset by a reduction in software and other IT-related costs, for the year ended December 31, 2021, as compared to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28" w:lineRule="exact"/>
        <w:rPr>
          <w:sz w:val="20"/>
          <w:szCs w:val="20"/>
          <w:color w:val="auto"/>
        </w:rPr>
      </w:pPr>
    </w:p>
    <w:p>
      <w:pPr>
        <w:ind w:right="140" w:firstLine="395"/>
        <w:spacing w:after="0" w:line="24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$14.2 million, or 12%, to $130.8 million in 2021 as compared to 2020.</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primarily driven by (i) $5.9 million in higher employee-related costs in 2021 as compared to 2020, (ii) $4.7 million in higher non-cash compensation expense; and (iii) $4.3 million in higher professional fees, which were impacted by transaction costs associated with our acquisitions of TurboSquid and PicMonkey. These increases were partially offset by a $2.4 million decline in bad debt expense, and other reductions associated with ongoing vendor management initiatives. For the years ended December 31, 2021 and 2020, general and administrative expenses include severance charges of $0.5 million and $1.4 million, respectively.</w:t>
      </w:r>
    </w:p>
    <w:p>
      <w:pPr>
        <w:spacing w:after="0" w:line="130" w:lineRule="exact"/>
        <w:rPr>
          <w:sz w:val="20"/>
          <w:szCs w:val="20"/>
          <w:color w:val="auto"/>
        </w:rPr>
      </w:pPr>
    </w:p>
    <w:p>
      <w:pPr>
        <w:ind w:right="180" w:firstLine="395"/>
        <w:spacing w:after="0" w:line="362" w:lineRule="auto"/>
        <w:rPr>
          <w:sz w:val="20"/>
          <w:szCs w:val="20"/>
          <w:color w:val="auto"/>
        </w:rPr>
      </w:pPr>
      <w:r>
        <w:rPr>
          <w:rFonts w:ascii="Arial" w:cs="Arial" w:eastAsia="Arial" w:hAnsi="Arial"/>
          <w:sz w:val="15"/>
          <w:szCs w:val="15"/>
          <w:i w:val="1"/>
          <w:iCs w:val="1"/>
          <w:color w:val="auto"/>
        </w:rPr>
        <w:t xml:space="preserve">Other (expense) / income, net. </w:t>
      </w:r>
      <w:r>
        <w:rPr>
          <w:rFonts w:ascii="Arial" w:cs="Arial" w:eastAsia="Arial" w:hAnsi="Arial"/>
          <w:sz w:val="15"/>
          <w:szCs w:val="15"/>
          <w:color w:val="auto"/>
        </w:rPr>
        <w:t>During 2021, other (expense) / income, net substantially consisted of $3.3 million of expense due to foreign currency</w:t>
      </w:r>
      <w:r>
        <w:rPr>
          <w:rFonts w:ascii="Arial" w:cs="Arial" w:eastAsia="Arial" w:hAnsi="Arial"/>
          <w:sz w:val="15"/>
          <w:szCs w:val="15"/>
          <w:i w:val="1"/>
          <w:iCs w:val="1"/>
          <w:color w:val="auto"/>
        </w:rPr>
        <w:t xml:space="preserve"> </w:t>
      </w:r>
      <w:r>
        <w:rPr>
          <w:rFonts w:ascii="Arial" w:cs="Arial" w:eastAsia="Arial" w:hAnsi="Arial"/>
          <w:sz w:val="15"/>
          <w:szCs w:val="15"/>
          <w:color w:val="auto"/>
        </w:rPr>
        <w:t>fluctuations. We expect to experience future foreign currency gains and losses as the US Dollar fluctuates relative to non-US currencies in which we transact.</w:t>
      </w:r>
    </w:p>
    <w:p>
      <w:pPr>
        <w:spacing w:after="0" w:line="32"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During 2020, approximately $3.1 million of other (expense) / income, net related to favorable foreign currency fluctuations, in addition to $1.2 million of interest income.</w:t>
      </w:r>
    </w:p>
    <w:p>
      <w:pPr>
        <w:spacing w:after="0" w:line="116"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by $4.9 million, to $12.9 million in 2021 as compared to 2020. Our effective tax rates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and 2020 were approximately 12.3% and 19.8%, respectively.</w:t>
      </w:r>
    </w:p>
    <w:p>
      <w:pPr>
        <w:spacing w:after="0" w:line="11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 2021 effective tax rate includes discrete items, the most significant of which relate to windfall tax benefits associated with equity-based compensation and the impact of a capital loss transaction. The net effect of these items decreased our effective tax rate by 8.6%. Excluding these discrete items, our effective tax rate would have been 20.9% for 2021.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2020 effective tax rate includes certain discrete items and the net effect of these discrete items increased the effective tax rate for 2020 by 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discrete items, the effective tax rate would have been 19.0% for 2020.</w:t>
      </w:r>
    </w:p>
    <w:p>
      <w:pPr>
        <w:spacing w:after="0" w:line="137"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December 31, 2019</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2"/>
        </w:trPr>
        <w:tc>
          <w:tcPr>
            <w:tcW w:w="46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5"/>
                <w:szCs w:val="15"/>
                <w:color w:val="auto"/>
              </w:rPr>
            </w:pPr>
          </w:p>
        </w:tc>
      </w:tr>
      <w:tr>
        <w:trPr>
          <w:trHeight w:val="212"/>
        </w:trPr>
        <w:tc>
          <w:tcPr>
            <w:tcW w:w="4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Consolidated Statements of Operations Data:</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7"/>
        </w:trPr>
        <w:tc>
          <w:tcPr>
            <w:tcW w:w="4620" w:type="dxa"/>
            <w:vAlign w:val="bottom"/>
          </w:tcPr>
          <w:p>
            <w:pPr>
              <w:ind w:left="540"/>
              <w:spacing w:after="0"/>
              <w:rPr>
                <w:sz w:val="20"/>
                <w:szCs w:val="20"/>
                <w:color w:val="auto"/>
              </w:rPr>
            </w:pPr>
            <w:r>
              <w:rPr>
                <w:rFonts w:ascii="Arial" w:cs="Arial" w:eastAsia="Arial" w:hAnsi="Arial"/>
                <w:sz w:val="16"/>
                <w:szCs w:val="16"/>
                <w:color w:val="auto"/>
              </w:rPr>
              <w:t>Revenue</w:t>
            </w:r>
          </w:p>
        </w:tc>
        <w:tc>
          <w:tcPr>
            <w:tcW w:w="6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666,686</w:t>
            </w:r>
          </w:p>
        </w:tc>
        <w:tc>
          <w:tcPr>
            <w:tcW w:w="10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650,523</w:t>
            </w:r>
          </w:p>
        </w:tc>
        <w:tc>
          <w:tcPr>
            <w:tcW w:w="12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16,163</w:t>
            </w:r>
          </w:p>
        </w:tc>
        <w:tc>
          <w:tcPr>
            <w:tcW w:w="100" w:type="dxa"/>
            <w:vAlign w:val="bottom"/>
          </w:tcPr>
          <w:p>
            <w:pPr>
              <w:spacing w:after="0"/>
              <w:rPr>
                <w:sz w:val="18"/>
                <w:szCs w:val="18"/>
                <w:color w:val="auto"/>
              </w:rPr>
            </w:pPr>
          </w:p>
        </w:tc>
        <w:tc>
          <w:tcPr>
            <w:tcW w:w="136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6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expenses: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7"/>
        </w:trPr>
        <w:tc>
          <w:tcPr>
            <w:tcW w:w="4620" w:type="dxa"/>
            <w:vAlign w:val="bottom"/>
          </w:tcPr>
          <w:p>
            <w:pPr>
              <w:ind w:left="620"/>
              <w:spacing w:after="0"/>
              <w:rPr>
                <w:sz w:val="20"/>
                <w:szCs w:val="20"/>
                <w:color w:val="auto"/>
              </w:rPr>
            </w:pPr>
            <w:r>
              <w:rPr>
                <w:rFonts w:ascii="Arial" w:cs="Arial" w:eastAsia="Arial" w:hAnsi="Arial"/>
                <w:sz w:val="16"/>
                <w:szCs w:val="16"/>
                <w:color w:val="auto"/>
              </w:rPr>
              <w:t>Cost of revenue</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259,573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278,176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(18,603)</w:t>
            </w:r>
          </w:p>
        </w:tc>
        <w:tc>
          <w:tcPr>
            <w:tcW w:w="100" w:type="dxa"/>
            <w:vAlign w:val="bottom"/>
          </w:tcPr>
          <w:p>
            <w:pPr>
              <w:spacing w:after="0"/>
              <w:rPr>
                <w:sz w:val="18"/>
                <w:szCs w:val="18"/>
                <w:color w:val="auto"/>
              </w:rPr>
            </w:pPr>
          </w:p>
        </w:tc>
        <w:tc>
          <w:tcPr>
            <w:tcW w:w="1360" w:type="dxa"/>
            <w:vAlign w:val="bottom"/>
          </w:tcPr>
          <w:p>
            <w:pPr>
              <w:jc w:val="right"/>
              <w:ind w:right="262"/>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r>
      <w:tr>
        <w:trPr>
          <w:trHeight w:val="214"/>
        </w:trPr>
        <w:tc>
          <w:tcPr>
            <w:tcW w:w="46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Sales and marketing</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8"/>
                <w:szCs w:val="18"/>
                <w:color w:val="auto"/>
              </w:rPr>
            </w:pPr>
          </w:p>
        </w:tc>
      </w:tr>
      <w:tr>
        <w:trPr>
          <w:trHeight w:val="207"/>
        </w:trPr>
        <w:tc>
          <w:tcPr>
            <w:tcW w:w="4620" w:type="dxa"/>
            <w:vAlign w:val="bottom"/>
          </w:tcPr>
          <w:p>
            <w:pPr>
              <w:ind w:left="620"/>
              <w:spacing w:after="0"/>
              <w:rPr>
                <w:sz w:val="20"/>
                <w:szCs w:val="20"/>
                <w:color w:val="auto"/>
              </w:rPr>
            </w:pPr>
            <w:r>
              <w:rPr>
                <w:rFonts w:ascii="Arial" w:cs="Arial" w:eastAsia="Arial" w:hAnsi="Arial"/>
                <w:sz w:val="16"/>
                <w:szCs w:val="16"/>
                <w:color w:val="auto"/>
              </w:rPr>
              <w:t>Product development</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46,038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57,216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tcPr>
          <w:p>
            <w:pPr>
              <w:spacing w:after="0"/>
              <w:rPr>
                <w:sz w:val="18"/>
                <w:szCs w:val="18"/>
                <w:color w:val="auto"/>
              </w:rPr>
            </w:pPr>
          </w:p>
        </w:tc>
        <w:tc>
          <w:tcPr>
            <w:tcW w:w="1360" w:type="dxa"/>
            <w:vAlign w:val="bottom"/>
          </w:tcPr>
          <w:p>
            <w:pPr>
              <w:jc w:val="right"/>
              <w:ind w:right="262"/>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r>
      <w:tr>
        <w:trPr>
          <w:trHeight w:val="214"/>
        </w:trPr>
        <w:tc>
          <w:tcPr>
            <w:tcW w:w="46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General and administrative</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116,568</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shd w:val="clear" w:color="auto" w:fill="CCEEFF"/>
          </w:tcPr>
          <w:p>
            <w:pPr>
              <w:spacing w:after="0"/>
              <w:rPr>
                <w:sz w:val="18"/>
                <w:szCs w:val="18"/>
                <w:color w:val="auto"/>
              </w:rPr>
            </w:pPr>
          </w:p>
        </w:tc>
      </w:tr>
      <w:tr>
        <w:trPr>
          <w:trHeight w:val="200"/>
        </w:trPr>
        <w:tc>
          <w:tcPr>
            <w:tcW w:w="462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operating expenses</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581,420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630,368</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17"/>
                <w:szCs w:val="17"/>
                <w:color w:val="auto"/>
              </w:rPr>
            </w:pPr>
          </w:p>
        </w:tc>
      </w:tr>
      <w:tr>
        <w:trPr>
          <w:trHeight w:val="207"/>
        </w:trPr>
        <w:tc>
          <w:tcPr>
            <w:tcW w:w="46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from operations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65,111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323</w:t>
            </w:r>
          </w:p>
        </w:tc>
        <w:tc>
          <w:tcPr>
            <w:tcW w:w="220" w:type="dxa"/>
            <w:vAlign w:val="bottom"/>
            <w:shd w:val="clear" w:color="auto" w:fill="CCEEFF"/>
          </w:tcPr>
          <w:p>
            <w:pPr>
              <w:spacing w:after="0"/>
              <w:rPr>
                <w:sz w:val="18"/>
                <w:szCs w:val="18"/>
                <w:color w:val="auto"/>
              </w:rPr>
            </w:pPr>
          </w:p>
        </w:tc>
      </w:tr>
      <w:tr>
        <w:trPr>
          <w:trHeight w:val="207"/>
        </w:trPr>
        <w:tc>
          <w:tcPr>
            <w:tcW w:w="46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income, net</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r>
      <w:tr>
        <w:trPr>
          <w:trHeight w:val="207"/>
        </w:trPr>
        <w:tc>
          <w:tcPr>
            <w:tcW w:w="46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before income taxes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64,607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259</w:t>
            </w:r>
          </w:p>
        </w:tc>
        <w:tc>
          <w:tcPr>
            <w:tcW w:w="220" w:type="dxa"/>
            <w:vAlign w:val="bottom"/>
            <w:shd w:val="clear" w:color="auto" w:fill="CCEEFF"/>
          </w:tcPr>
          <w:p>
            <w:pPr>
              <w:spacing w:after="0"/>
              <w:rPr>
                <w:sz w:val="18"/>
                <w:szCs w:val="18"/>
                <w:color w:val="auto"/>
              </w:rPr>
            </w:pPr>
          </w:p>
        </w:tc>
      </w:tr>
      <w:tr>
        <w:trPr>
          <w:trHeight w:val="207"/>
        </w:trPr>
        <w:tc>
          <w:tcPr>
            <w:tcW w:w="46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Provision for income taxes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17,757</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12,949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269</w:t>
            </w:r>
          </w:p>
        </w:tc>
        <w:tc>
          <w:tcPr>
            <w:tcW w:w="220" w:type="dxa"/>
            <w:vAlign w:val="bottom"/>
            <w:tcBorders>
              <w:bottom w:val="single" w:sz="8" w:color="auto"/>
            </w:tcBorders>
          </w:tcPr>
          <w:p>
            <w:pPr>
              <w:spacing w:after="0"/>
              <w:rPr>
                <w:sz w:val="18"/>
                <w:szCs w:val="18"/>
                <w:color w:val="auto"/>
              </w:rPr>
            </w:pPr>
          </w:p>
        </w:tc>
      </w:tr>
      <w:tr>
        <w:trPr>
          <w:trHeight w:val="232"/>
        </w:trPr>
        <w:tc>
          <w:tcPr>
            <w:tcW w:w="4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income</w:t>
            </w: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20,108</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51,658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280" w:firstLine="395"/>
        <w:spacing w:after="0" w:line="250" w:lineRule="auto"/>
        <w:rPr>
          <w:sz w:val="20"/>
          <w:szCs w:val="20"/>
          <w:color w:val="auto"/>
        </w:rPr>
      </w:pPr>
      <w:r>
        <w:rPr>
          <w:rFonts w:ascii="Arial" w:cs="Arial" w:eastAsia="Arial" w:hAnsi="Arial"/>
          <w:sz w:val="18"/>
          <w:szCs w:val="18"/>
          <w:color w:val="auto"/>
        </w:rPr>
        <w:t>Revenue increased by $16.2 million, or 2%, to $666.7 million in 2020 as compared to 2019. Foreign currency fluctuations did not have a significant impact on revenues in 2020, as compared to 2019. Our revenue growth in 2020 is primarily driven by our subscription business. From 2019 to 2020, subscribers grew by 45% to 281,000 and subscriber revenue grew by 12% to $265.3 million. During 2020, the majority of our subscriber revenue growth is attributed to our E-commerce sales channel.</w:t>
      </w:r>
    </w:p>
    <w:p>
      <w:pPr>
        <w:spacing w:after="0" w:line="111" w:lineRule="exact"/>
        <w:rPr>
          <w:sz w:val="20"/>
          <w:szCs w:val="20"/>
          <w:color w:val="auto"/>
        </w:rPr>
      </w:pPr>
    </w:p>
    <w:p>
      <w:pPr>
        <w:jc w:val="both"/>
        <w:ind w:right="160" w:firstLine="395"/>
        <w:spacing w:after="0" w:line="252" w:lineRule="auto"/>
        <w:rPr>
          <w:sz w:val="20"/>
          <w:szCs w:val="20"/>
          <w:color w:val="auto"/>
        </w:rPr>
      </w:pPr>
      <w:r>
        <w:rPr>
          <w:rFonts w:ascii="Arial" w:cs="Arial" w:eastAsia="Arial" w:hAnsi="Arial"/>
          <w:sz w:val="18"/>
          <w:szCs w:val="18"/>
          <w:color w:val="auto"/>
        </w:rPr>
        <w:t>E-commerce revenues increased by 5%, to $412.5 million in 2020 as compared to 2019. Foreign currency fluctuations did not have a significant impact on E-commerce revenues in 2020, as compared to 2019. During 2020, growth in our E-commerce sales channel was primarily driven by increased subscriber revenue.</w:t>
      </w:r>
    </w:p>
    <w:p>
      <w:pPr>
        <w:spacing w:after="0" w:line="124"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Enterprise revenues decreased by 2%, to $254.2 million in 2020 as compared to 2019. Foreign currency fluctuations did not have a significant impact on Enterprise revenues in 2020, as compared to 2019. During 2020, the Company identified and implemented certain changes to improve performance, updated product offerings and made further platform investments. We believe these enhancements impacted our Enterprise sales operations at the end of 2020 and is one of the drivers of the increased deferred revenue balance as of December 31, 2020.</w:t>
      </w:r>
    </w:p>
    <w:p>
      <w:pPr>
        <w:spacing w:after="0" w:line="9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addition, we believe our revenue for the year ended December 31, 2020 was unfavorably affected by the global COVID-19 pandemic and its impact on our customers and their ability to spend marketing budgets on our products.</w:t>
      </w:r>
    </w:p>
    <w:p>
      <w:pPr>
        <w:spacing w:after="0" w:line="102"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In the years ended December 31, 2020 and 2019, we delivered 180.0 million and 187.8 million paid downloads, respectively, and our revenue per download increased to $3.68 for the year ended December 31, 2020, from $3.43 for the year ended December 31, 2019. During the year ended December 31, 2020, the 4% decrease in the number of paid downloads compared to 2019, is due to lower customer utilization of our products. We believe that the decline in usage during 2020, compared to 2019, is partially attributable to COVID-19.</w:t>
      </w:r>
    </w:p>
    <w:p>
      <w:pPr>
        <w:spacing w:after="0" w:line="124" w:lineRule="exact"/>
        <w:rPr>
          <w:sz w:val="20"/>
          <w:szCs w:val="20"/>
          <w:color w:val="auto"/>
        </w:rPr>
      </w:pPr>
    </w:p>
    <w:p>
      <w:pPr>
        <w:ind w:right="18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$8.4 million, or 4%, to $236.6 million, revenue from Europe increased by $3.3 million, or 2%, to $220.7 million and revenue from outside Europe and North America increased by $4.5 million, or 2%, to $209.4 million, in the year ended December 31, 2020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0" w:name="page51"/>
    <w:bookmarkEnd w:id="5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48"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decreased by $18.6 million, or 7%, to $259.6 million in 2020 as compared to 2019, due to lower royalty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procurement costs and depreciation and amortization expense, partially offset by higher costs associated with website hosting, hardware and software licenses as well as increased credit card fees. In addition, cost of revenue includes severance charges of $1.2 million for the year ended December 31, 2020. The reduction in royalty expense was driven by the 4% decline in paid downloads as well as a modification in the way we compensate contributors. We expect that our cost of revenue will fluctuate in line with changes in revenue and paid downloads.</w:t>
      </w:r>
    </w:p>
    <w:p>
      <w:pPr>
        <w:spacing w:after="0" w:line="84" w:lineRule="exact"/>
        <w:rPr>
          <w:sz w:val="20"/>
          <w:szCs w:val="20"/>
          <w:color w:val="auto"/>
        </w:rPr>
      </w:pPr>
    </w:p>
    <w:p>
      <w:pPr>
        <w:ind w:firstLine="395"/>
        <w:spacing w:after="0" w:line="306"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decreased by $22.5 million, or 12%, to $159.2 million in 2020 as compared to 2019. As a percent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sales and marketing expenses decreased to 24% for the year ended December 31, 2020, from 28% for 2019. This decrease was primarily driven by a $21.1 million decline in marketing spend as we focused resources on more efficient customer acquisition and improved marketing return on investment. In addition, travel and related expense costs declined by $2.2 million due to travel restrictions resulting from COVID-19. These declines were partially offset by $2.3 million in higher employee-related costs. For the year ended December 31, 2020, sales and marketing expense includes severance charges of $1.7 million. We expect sales and marketing expenses to fluctuate as we optimize our sales channels and invest in new customer acquisition, products and geographies.</w:t>
      </w:r>
    </w:p>
    <w:p>
      <w:pPr>
        <w:spacing w:after="0" w:line="88"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by $11.2 million, or 20%, to $46.0 million in 2020 as compared to 2019.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a $7.6 million reduction in software and other IT-related costs for the year ended December 31, 2020, compared to the prior year. In addition, employee and consulting related expenses decreased by $1.4 million in 2020 as compared to 2019. For the year ended December 31, 2020, product and development expense includes severance charges of $1.1 million.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30"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$3.3 million, or 3%, to $116.6 million in 2020 as compared to 2019.</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primarily driven by (i) higher non-cash compensation expense of $5.6 million, attributable to certain performance-based awards; (ii) higher employee-related costs of $4.2 million in 2020 as compared to 2019; and (iii) an increase in bad debt expense of $2.5 million in 2020 compared to 2019. These increases were partially offset by (i) a reduction in expense of $3.4 million, associated with the 2019 accrual of long-term incentives, related to our 2017 acquisition of Flashstock; (ii) lower depreciation and amortization expense of $3.2 million, driven by the recognition of $1.5 million of accelerated amortization expense in 2019 in conjunction with the Company’s re-branding of its Editorial product, in addition to lower depreciation driven by assets which became fully depreciated in prior periods; and (iii) lower professional and consulting fees of $1.6 million in 2020 compared to 2019. For the years ended December 31, 2020 and 2019, general and administrative expenses include severance charges of $1.4 million and $1.3 million, respectively.</w:t>
      </w:r>
    </w:p>
    <w:p>
      <w:pPr>
        <w:spacing w:after="0" w:line="93"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During 2020, $3.1 million of other income related to favorable foreign currency fluctuations, in addition to $1.2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w:t>
      </w:r>
    </w:p>
    <w:p>
      <w:pPr>
        <w:spacing w:after="0" w:line="11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During 2019, $4.2 million of other income consisted of interest income, in addition to $0.5 million related to 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124"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by $12.9 million, or 269%, to $17.8 million in 2020 as compared to 2019. The increase in 2020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primarily driven by the increase in pre-tax income from $24.9 million in 2019 to $89.5 million in 2020. Our effective tax rates for the years ended December 31, 2020 and 2019 were approximately 19.8% and 19.3%, respectively.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2020 effective tax rate includes certain discrete items and the net effect of these discrete items increased the effective tax rate for 2020 by 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discrete items, the effective tax rate would have been 19.0% for 2020.</w:t>
      </w:r>
    </w:p>
    <w:p>
      <w:pPr>
        <w:spacing w:after="0" w:line="137" w:lineRule="exact"/>
        <w:rPr>
          <w:sz w:val="20"/>
          <w:szCs w:val="20"/>
          <w:color w:val="auto"/>
        </w:rPr>
      </w:pPr>
    </w:p>
    <w:p>
      <w:pPr>
        <w:jc w:val="both"/>
        <w:ind w:right="20" w:firstLine="395"/>
        <w:spacing w:after="0" w:line="291" w:lineRule="auto"/>
        <w:rPr>
          <w:sz w:val="20"/>
          <w:szCs w:val="20"/>
          <w:color w:val="auto"/>
        </w:rPr>
      </w:pPr>
      <w:r>
        <w:rPr>
          <w:rFonts w:ascii="Arial" w:cs="Arial" w:eastAsia="Arial" w:hAnsi="Arial"/>
          <w:sz w:val="16"/>
          <w:szCs w:val="16"/>
          <w:color w:val="auto"/>
        </w:rPr>
        <w:t>The 2019 effective tax rate includes discrete items, the most significant of which relate to a discrete tax benefit for the release of reserves for uncertain tax positions due to a lapse in the statute of limitations, the effects of the foreign-derived intangible income deduction and the U.S. Research and Development tax credit claimed on the Company’s 2018 tax return, which was completed in 2019. The net effect of these discrete items decreased our effective tax rate for 2019 by 5.2%. Excluding these discrete items, the 2019 effective tax rate would have been 24.5%.</w:t>
      </w:r>
    </w:p>
    <w:p>
      <w:pPr>
        <w:spacing w:after="0" w:line="95"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4"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As of December 31, 2021, we had cash and cash equivalents totaling $314.0 million, which primarily consisted of bank balances and money market funds. Since inception, we have financed our operations primarily through cash flows generated from operations.</w:t>
      </w:r>
    </w:p>
    <w:p>
      <w:pPr>
        <w:spacing w:after="0" w:line="102"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Offering</w:t>
      </w:r>
    </w:p>
    <w:p>
      <w:pPr>
        <w:spacing w:after="0" w:line="56"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On August 14, 2020, we completed an offering (the “Stock Offering”), whereby 2,580,000 shares of our common stock were sold to the public at a price to the public of $48.50 per share. We sold 516,000 shares of common stock in the Stock Offering and our Founder and Executive Chairman of the Board sold 2,064,000 shares of common stock in the Stock Offering. We received net proceeds from the shares sold, of approximately $23.2 million, after deducting underwriting discounts and commissions and offering expenses payable. We did not receive any proceeds from the shares sold by the Company’s Founder and Executive Chairman of the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declared and paid cash dividends of $0.84 per share of common stock, or $30.7 million during the year ended December 31, 2021.</w:t>
      </w:r>
    </w:p>
    <w:p>
      <w:pPr>
        <w:spacing w:after="0" w:line="148"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On January 24, 2022, our Board of Directors declared a quarterly cash dividend of $0.24 per share of outstanding common stock payable on March 17, 2022 to stockholders of record at the close of business on March 3, 2022.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Investments</w:t>
      </w:r>
    </w:p>
    <w:p>
      <w:pPr>
        <w:spacing w:after="0" w:line="56"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In 2020, we invested $5.0 million in preferred shares of an entity with a creative production and analytics platform. These preferred shares do not have a readily determinable fair value and provide us less than a 2% fully diluted ownership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56" w:lineRule="exact"/>
        <w:rPr>
          <w:sz w:val="20"/>
          <w:szCs w:val="20"/>
          <w:color w:val="auto"/>
        </w:rPr>
      </w:pPr>
    </w:p>
    <w:p>
      <w:pPr>
        <w:ind w:right="120" w:firstLine="395"/>
        <w:spacing w:after="0" w:line="306" w:lineRule="auto"/>
        <w:rPr>
          <w:sz w:val="20"/>
          <w:szCs w:val="20"/>
          <w:color w:val="auto"/>
        </w:rPr>
      </w:pPr>
      <w:r>
        <w:rPr>
          <w:rFonts w:ascii="Arial" w:cs="Arial" w:eastAsia="Arial" w:hAnsi="Arial"/>
          <w:sz w:val="15"/>
          <w:szCs w:val="15"/>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20" w:firstLine="395"/>
        <w:spacing w:after="0" w:line="327" w:lineRule="auto"/>
        <w:rPr>
          <w:sz w:val="20"/>
          <w:szCs w:val="20"/>
          <w:color w:val="auto"/>
        </w:rPr>
      </w:pPr>
      <w:r>
        <w:rPr>
          <w:rFonts w:ascii="Arial" w:cs="Arial" w:eastAsia="Arial" w:hAnsi="Arial"/>
          <w:sz w:val="15"/>
          <w:szCs w:val="15"/>
          <w:color w:val="auto"/>
        </w:rPr>
        <w:t>As of December 31, 2021, we have repurchased approximately 2.8 million shares of our common stock under the share repurchase program at an average per-share cost of $45.55. During the year ended December 31, 2021, we repurchased approximately 233,700 shares of our common stock at an average per share cost of $116.26. As of December 31, 2021, we had $73 million of remaining authorization for purchases under the share repurchase program.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5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2" w:name="page53"/>
    <w:bookmarkEnd w:id="5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During the year ended December 31, 2021, shares with an aggregate value of $22.7 million were withheld upon vesting of RSUs and paid in connection with related remittance to taxing authorities. In addition, $2.1 million of proceeds were received during 2021 from the issuance of common stock in connection with the exercise of stock options.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9"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See Note 15 of the Notes to Consolidated Financial Statements included in Part II, Item 8 of this Annual Report on Form 10-K for information regarding our other non-lease commitments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 data for 2021, 2020 and 2019,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2"/>
        </w:trPr>
        <w:tc>
          <w:tcPr>
            <w:tcW w:w="6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177"/>
        </w:trPr>
        <w:tc>
          <w:tcPr>
            <w:tcW w:w="6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center"/>
              <w:ind w:right="65"/>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1"/>
        </w:trPr>
        <w:tc>
          <w:tcPr>
            <w:tcW w:w="6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102,646</w:t>
            </w:r>
          </w:p>
        </w:tc>
      </w:tr>
      <w:tr>
        <w:trPr>
          <w:trHeight w:val="207"/>
        </w:trPr>
        <w:tc>
          <w:tcPr>
            <w:tcW w:w="6220" w:type="dxa"/>
            <w:vAlign w:val="bottom"/>
          </w:tcPr>
          <w:p>
            <w:pPr>
              <w:ind w:left="420"/>
              <w:spacing w:after="0"/>
              <w:rPr>
                <w:sz w:val="20"/>
                <w:szCs w:val="20"/>
                <w:color w:val="auto"/>
              </w:rPr>
            </w:pPr>
            <w:r>
              <w:rPr>
                <w:rFonts w:ascii="Arial" w:cs="Arial" w:eastAsia="Arial" w:hAnsi="Arial"/>
                <w:sz w:val="16"/>
                <w:szCs w:val="16"/>
                <w:color w:val="auto"/>
              </w:rPr>
              <w:t>Net cash used in investing activities</w:t>
            </w: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(250,438)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(35,310)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(27,234)</w:t>
            </w:r>
          </w:p>
        </w:tc>
      </w:tr>
      <w:tr>
        <w:trPr>
          <w:trHeight w:val="214"/>
        </w:trPr>
        <w:tc>
          <w:tcPr>
            <w:tcW w:w="6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used in financing activities</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56"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9"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Net cash provided by operating activities was $216.4 million for the year ended December 31, 2021, compared to $165.1 million for the year ended December 31, 2020. In the year ended December 31, 2021, operating cash flows were favorably impacted from our increased operating income and changes in the timing of payments pertaining to operating expenses, which can cause operating cash flow to fluctuate from period to period. In addition, in the year ended December 31, 2020, operating cash flows were impacted by $7.8 million in one-time payments associated with long-term incentives related to our 2017 acquisition of Flashstock.</w:t>
      </w:r>
    </w:p>
    <w:p>
      <w:pPr>
        <w:spacing w:after="0" w:line="128"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Net cash provided by operating activities was $165.1 million for the year ended December 31, 2020, compared to $102.6 million for the year ended December 31, 2019. In the year ended December 31, 2020, operating cash flows were favorably impacted from our increased operating income, partially offset by $7.8 million in one-time payments associated with long-term incentives related to our 2017 acquisition of Flashstock, and changes in the timing of payments pertaining to operating expenses, which can cause operating cash flow to fluctuate from period to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Our investing activities have consisted primarily of capital expenditures, business combinations, asset acquisitions, investments and content acquisitions. Capital expenditures include internal-use software and website development costs, purchases of software equipment, and capitalization of leasehold improvements. Capital expenditures are primarily attributable to investments in internally developed software. We continue to invest significantly in product development to enhance our customer experience and increase the efficiency with which we deploy new products and features. Cash used in investing activities totaled $250.4 million, $35.3 million and $27.2 million for the years ended December 31, 2021, 2020 and 2019, respectively.</w:t>
      </w:r>
    </w:p>
    <w:p>
      <w:pPr>
        <w:spacing w:after="0" w:line="97"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Cash used in investing activities for the year ended December 31, 2021 was $250.4 million, consisting primarily of (i) $181.6 million cash used in the acquisitions of TurboSquid and PicMonkey, net of cash acquired; (ii) $31.6 million cash used in the asset acquisitions of Pattern89, Inc., Datasine Limited and assets from Shotzr, Inc.; (iii) capital expenditures of $28.1 million for internal-use software and website development costs, and purchases of software and equipment, and (iv) $8.9 million paid to acquire the rights to distribute certain digital content in perpetuity.</w:t>
      </w: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395"/>
        <w:spacing w:after="0" w:line="250" w:lineRule="auto"/>
        <w:rPr>
          <w:sz w:val="20"/>
          <w:szCs w:val="20"/>
          <w:color w:val="auto"/>
        </w:rPr>
      </w:pPr>
      <w:r>
        <w:rPr>
          <w:rFonts w:ascii="Arial" w:cs="Arial" w:eastAsia="Arial" w:hAnsi="Arial"/>
          <w:sz w:val="18"/>
          <w:szCs w:val="18"/>
          <w:color w:val="auto"/>
        </w:rPr>
        <w:t>Cash used in investing activities for the year ended December 31, 2020 was $35.3 million, consisting primarily of capital expenditures of $25.6 million for internal-use software and website development costs, and purchase of software and equipment, an investment of $5.0 million in a creative production and analytics platform, $3.0 million to acquire the rights to distribute certain digital content in perpetuity and $1.9 million associated with the acquisition of AI driven music technology.</w:t>
      </w:r>
    </w:p>
    <w:p>
      <w:pPr>
        <w:spacing w:after="0" w:line="111"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Cash used in investing activities during 2019 mostly consisted of capital expenditures and content acquisitions of $26.1 million and $3.3 million, respectively, partially offset by $2.5 million net cash received from the sale of Webdam.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8" w:lineRule="exact"/>
        <w:rPr>
          <w:sz w:val="20"/>
          <w:szCs w:val="20"/>
          <w:color w:val="auto"/>
        </w:rPr>
      </w:pPr>
    </w:p>
    <w:p>
      <w:pPr>
        <w:ind w:right="420" w:firstLine="395"/>
        <w:spacing w:after="0" w:line="291" w:lineRule="auto"/>
        <w:rPr>
          <w:sz w:val="20"/>
          <w:szCs w:val="20"/>
          <w:color w:val="auto"/>
        </w:rPr>
      </w:pPr>
      <w:r>
        <w:rPr>
          <w:rFonts w:ascii="Arial" w:cs="Arial" w:eastAsia="Arial" w:hAnsi="Arial"/>
          <w:sz w:val="16"/>
          <w:szCs w:val="16"/>
          <w:color w:val="auto"/>
        </w:rPr>
        <w:t>Our financing activities have consisted primarily of payments associated with cash dividends, settlements of tax withholding obligations related to employee stock-based compensation awards and repurchases of common stock under our share repurchase program. Our financing activities also includes proceeds from our Stock Offering and proceeds received in connection with the exercise of stock options. Cash used in financing activities totaled $77.7 million, $4.6 million and $1.7 million for the years ended December 31, 2021, 2020 and 2019, respectively.</w:t>
      </w:r>
    </w:p>
    <w:p>
      <w:pPr>
        <w:spacing w:after="0" w:line="95"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Cash used in financing activities during 2021 primarily consisted of (i) $30.7 million, related to the payment of the quarterly cash dividend; (ii) $26.5 million in connection with the repurchase of common stock under our share repurchase program, and (iii) $22.7 million paid in settlement of tax withholding obligations related to employee stock-based compensation awards. These amounts were partially offset by approximately $2.1 million in proceeds received in connection with the exercise of stock options.</w:t>
      </w:r>
    </w:p>
    <w:p>
      <w:pPr>
        <w:spacing w:after="0" w:line="111"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Cash used in financing activities during 2020 primarily consisted of $24.4 million related to the payment of the quarterly cash dividends and $4.5 million, paid in settlement of tax withholding obligations related to employee stock-based compensation awards. These amounts were partially offset by $23.2 million of proceeds from our Stock Offering, after deducting underwriting discounts, commissions and offering expenses paid and $1.2 million in proceeds received in connection with the exercise of stock options.</w:t>
      </w:r>
    </w:p>
    <w:p>
      <w:pPr>
        <w:spacing w:after="0" w:line="124" w:lineRule="exact"/>
        <w:rPr>
          <w:sz w:val="20"/>
          <w:szCs w:val="20"/>
          <w:color w:val="auto"/>
        </w:rPr>
      </w:pPr>
    </w:p>
    <w:p>
      <w:pPr>
        <w:ind w:right="260" w:firstLine="395"/>
        <w:spacing w:after="0" w:line="324" w:lineRule="auto"/>
        <w:rPr>
          <w:sz w:val="20"/>
          <w:szCs w:val="20"/>
          <w:color w:val="auto"/>
        </w:rPr>
      </w:pPr>
      <w:r>
        <w:rPr>
          <w:rFonts w:ascii="Arial" w:cs="Arial" w:eastAsia="Arial" w:hAnsi="Arial"/>
          <w:sz w:val="16"/>
          <w:szCs w:val="16"/>
          <w:color w:val="auto"/>
        </w:rPr>
        <w:t>Cash used in financing activities during 2019 primarily consisted of $7.1 million, paid in settlement of tax withholding obligations related to employee stock-based compensation awards, partially offset by approximately $5.4 million of proceeds received in connection with the exercise of stock options.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1" w:lineRule="exact"/>
        <w:rPr>
          <w:sz w:val="20"/>
          <w:szCs w:val="20"/>
          <w:color w:val="auto"/>
        </w:rPr>
      </w:pPr>
    </w:p>
    <w:p>
      <w:pPr>
        <w:ind w:firstLine="395"/>
        <w:spacing w:after="0" w:line="308" w:lineRule="auto"/>
        <w:rPr>
          <w:sz w:val="20"/>
          <w:szCs w:val="20"/>
          <w:color w:val="auto"/>
        </w:rPr>
      </w:pPr>
      <w:r>
        <w:rPr>
          <w:rFonts w:ascii="Arial" w:cs="Arial" w:eastAsia="Arial" w:hAnsi="Arial"/>
          <w:sz w:val="15"/>
          <w:szCs w:val="15"/>
          <w:color w:val="auto"/>
        </w:rPr>
        <w:t>We lease real estate under operating lease agreements that expire on various dates during the period from 2022 through 2029. We do not have any material capital lease obligations, and our property, equipment and software have been purchased primarily with cash. We do not anticipate any difficulties in renewing those leases that expire within the next several years or in leasing other space or hosting facilities, if required. We enter into unconditional purchase obligations related to contracts for cloud-based services, infrastructure and other business services as well as minimum royalty guarantees in connection with certain content licenses. Our future minimum payments under non-cancelable operating leases and purchase obligations are as follows as of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Less Than</w:t>
            </w:r>
          </w:p>
        </w:tc>
        <w:tc>
          <w:tcPr>
            <w:tcW w:w="500" w:type="dxa"/>
            <w:vAlign w:val="bottom"/>
          </w:tcPr>
          <w:p>
            <w:pPr>
              <w:spacing w:after="0"/>
              <w:rPr>
                <w:sz w:val="11"/>
                <w:szCs w:val="11"/>
                <w:color w:val="auto"/>
              </w:rPr>
            </w:pPr>
          </w:p>
        </w:tc>
        <w:tc>
          <w:tcPr>
            <w:tcW w:w="102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w w:val="97"/>
              </w:rPr>
              <w:t>3 - 5 Years</w:t>
            </w:r>
          </w:p>
        </w:tc>
        <w:tc>
          <w:tcPr>
            <w:tcW w:w="1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jc w:val="right"/>
              <w:ind w:right="145"/>
              <w:spacing w:after="0" w:line="130"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5"/>
              </w:rPr>
              <w:t>1 Year</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Operating lease obligations</w:t>
            </w: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0" w:type="dxa"/>
            <w:vAlign w:val="bottom"/>
          </w:tcPr>
          <w:p>
            <w:pPr>
              <w:spacing w:after="0"/>
              <w:rPr>
                <w:sz w:val="1"/>
                <w:szCs w:val="1"/>
                <w:color w:val="auto"/>
              </w:rPr>
            </w:pPr>
          </w:p>
        </w:tc>
      </w:tr>
      <w:tr>
        <w:trPr>
          <w:trHeight w:val="207"/>
        </w:trPr>
        <w:tc>
          <w:tcPr>
            <w:tcW w:w="31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Purchase obligations</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104,287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20" w:firstLine="395"/>
        <w:spacing w:after="0" w:line="299" w:lineRule="auto"/>
        <w:rPr>
          <w:sz w:val="20"/>
          <w:szCs w:val="20"/>
          <w:color w:val="auto"/>
        </w:rPr>
      </w:pPr>
      <w:r>
        <w:rPr>
          <w:rFonts w:ascii="Arial" w:cs="Arial" w:eastAsia="Arial" w:hAnsi="Arial"/>
          <w:sz w:val="16"/>
          <w:szCs w:val="16"/>
          <w:color w:val="auto"/>
        </w:rPr>
        <w:t>On March 21, 2013, we entered into an operating lease agreement to lease our headquarters in New York City, which was amended in January 2016, which we refer to as the ESB Lease. The ESB Lease will expire in 2029, and the aggregate undiscounted future minimum lease payments, are approximately $50.4 million. We are also party to a letter of credit as a security deposit for this leased facility in the amount of $1.7 million.</w:t>
      </w:r>
    </w:p>
    <w:p>
      <w:pPr>
        <w:spacing w:after="0" w:line="76" w:lineRule="exact"/>
        <w:rPr>
          <w:sz w:val="20"/>
          <w:szCs w:val="20"/>
          <w:color w:val="auto"/>
        </w:rPr>
      </w:pPr>
    </w:p>
    <w:p>
      <w:pPr>
        <w:ind w:right="120" w:firstLine="395"/>
        <w:spacing w:after="0" w:line="316" w:lineRule="auto"/>
        <w:rPr>
          <w:sz w:val="20"/>
          <w:szCs w:val="20"/>
          <w:color w:val="auto"/>
        </w:rPr>
      </w:pPr>
      <w:r>
        <w:rPr>
          <w:rFonts w:ascii="Arial" w:cs="Arial" w:eastAsia="Arial" w:hAnsi="Arial"/>
          <w:sz w:val="15"/>
          <w:szCs w:val="15"/>
          <w:color w:val="auto"/>
        </w:rPr>
        <w:t>We also enter into license agreements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to the extent such damages or losses arise as a result of the modifications made by the customer, or the context in which content is used. Our license agreements entered into with customers limit our indemnification obligations at amounts ranging from $10,000 to</w:t>
      </w: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$250,000, with certain exceptions for which our indemnification obligations are uncapped.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4"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As of December 31, 2021,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62"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These non-GAAP financial measures have not been calculated in accordance with GAAP and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6"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6" w:lineRule="exact"/>
        <w:rPr>
          <w:sz w:val="20"/>
          <w:szCs w:val="20"/>
          <w:color w:val="auto"/>
        </w:rPr>
      </w:pPr>
    </w:p>
    <w:p>
      <w:pPr>
        <w:ind w:right="120" w:firstLine="395"/>
        <w:spacing w:after="0" w:line="299" w:lineRule="auto"/>
        <w:rPr>
          <w:sz w:val="20"/>
          <w:szCs w:val="20"/>
          <w:color w:val="auto"/>
        </w:rPr>
      </w:pPr>
      <w:r>
        <w:rPr>
          <w:rFonts w:ascii="Arial" w:cs="Arial" w:eastAsia="Arial" w:hAnsi="Arial"/>
          <w:sz w:val="15"/>
          <w:szCs w:val="15"/>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5" w:name="page56"/>
    <w:bookmarkEnd w:id="5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15" w:lineRule="exact"/>
        <w:rPr>
          <w:sz w:val="20"/>
          <w:szCs w:val="20"/>
          <w:color w:val="auto"/>
        </w:rPr>
      </w:pPr>
    </w:p>
    <w:p>
      <w:pPr>
        <w:ind w:right="240" w:firstLine="395"/>
        <w:spacing w:after="0" w:line="291" w:lineRule="auto"/>
        <w:rPr>
          <w:sz w:val="20"/>
          <w:szCs w:val="20"/>
          <w:color w:val="auto"/>
        </w:rPr>
      </w:pPr>
      <w:r>
        <w:rPr>
          <w:rFonts w:ascii="Arial" w:cs="Arial" w:eastAsia="Arial" w:hAnsi="Arial"/>
          <w:sz w:val="16"/>
          <w:szCs w:val="16"/>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is presented below.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56"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We define adjusted EBITDA as net income adjusted for depreciation and amortization, non-cash equity-based compensation, foreign currency transaction gains and losses, expenses related to long-term incentives and contingent consideration related to acquisitions, interest income and expense and income taxes. We define adjusted EBITDA margin as the ratio of adjusted EBITDA to revenue.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9"/>
              </w:rPr>
              <w:t>Year Ended December 31,</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91,883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71,766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20,108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420"/>
              <w:spacing w:after="0"/>
              <w:rPr>
                <w:sz w:val="20"/>
                <w:szCs w:val="20"/>
                <w:color w:val="auto"/>
              </w:rPr>
            </w:pPr>
            <w:r>
              <w:rPr>
                <w:rFonts w:ascii="Arial" w:cs="Arial" w:eastAsia="Arial" w:hAnsi="Arial"/>
                <w:sz w:val="16"/>
                <w:szCs w:val="16"/>
                <w:color w:val="auto"/>
              </w:rPr>
              <w:t>Add / (less) Non-GAAP adjustments:</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48,771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41,359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49,915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540"/>
              <w:spacing w:after="0"/>
              <w:rPr>
                <w:sz w:val="20"/>
                <w:szCs w:val="20"/>
                <w:color w:val="auto"/>
              </w:rPr>
            </w:pPr>
            <w:r>
              <w:rPr>
                <w:rFonts w:ascii="Arial" w:cs="Arial" w:eastAsia="Arial" w:hAnsi="Arial"/>
                <w:sz w:val="16"/>
                <w:szCs w:val="16"/>
                <w:color w:val="auto"/>
              </w:rPr>
              <w:t>Non-cash equity-based compensation</w:t>
            </w:r>
          </w:p>
        </w:tc>
        <w:tc>
          <w:tcPr>
            <w:tcW w:w="720" w:type="dxa"/>
            <w:vAlign w:val="bottom"/>
          </w:tcPr>
          <w:p>
            <w:pPr>
              <w:spacing w:after="0"/>
              <w:rPr>
                <w:sz w:val="18"/>
                <w:szCs w:val="18"/>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36,179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223"/>
              <w:spacing w:after="0"/>
              <w:rPr>
                <w:sz w:val="20"/>
                <w:szCs w:val="20"/>
                <w:color w:val="auto"/>
              </w:rPr>
            </w:pPr>
            <w:r>
              <w:rPr>
                <w:rFonts w:ascii="Arial" w:cs="Arial" w:eastAsia="Arial" w:hAnsi="Arial"/>
                <w:sz w:val="16"/>
                <w:szCs w:val="16"/>
                <w:color w:val="auto"/>
              </w:rPr>
              <w:t>28,309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ind w:right="162"/>
              <w:spacing w:after="0"/>
              <w:rPr>
                <w:sz w:val="20"/>
                <w:szCs w:val="20"/>
                <w:color w:val="auto"/>
              </w:rPr>
            </w:pPr>
            <w:r>
              <w:rPr>
                <w:rFonts w:ascii="Arial" w:cs="Arial" w:eastAsia="Arial" w:hAnsi="Arial"/>
                <w:sz w:val="16"/>
                <w:szCs w:val="16"/>
                <w:color w:val="auto"/>
              </w:rPr>
              <w:t>22,815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540"/>
              <w:spacing w:after="0" w:line="214" w:lineRule="exact"/>
              <w:rPr>
                <w:sz w:val="20"/>
                <w:szCs w:val="20"/>
                <w:color w:val="auto"/>
              </w:rPr>
            </w:pPr>
            <w:r>
              <w:rPr>
                <w:rFonts w:ascii="Arial" w:cs="Arial" w:eastAsia="Arial" w:hAnsi="Arial"/>
                <w:sz w:val="16"/>
                <w:szCs w:val="16"/>
                <w:color w:val="auto"/>
              </w:rPr>
              <w:t>Other adjustments, net</w:t>
            </w:r>
            <w:r>
              <w:rPr>
                <w:rFonts w:ascii="Arial" w:cs="Arial" w:eastAsia="Arial" w:hAnsi="Arial"/>
                <w:sz w:val="20"/>
                <w:szCs w:val="20"/>
                <w:color w:val="auto"/>
                <w:vertAlign w:val="superscript"/>
              </w:rPr>
              <w:t>(1)</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3,370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(4,257)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Provision for income taxes</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12,853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17,757</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4,808</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Adjusted EBITDA</w:t>
            </w:r>
          </w:p>
        </w:tc>
        <w:tc>
          <w:tcPr>
            <w:tcW w:w="7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193,056</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6"/>
                <w:szCs w:val="16"/>
                <w:color w:val="auto"/>
              </w:rPr>
              <w:t>154,934</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96,314</w:t>
            </w: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6"/>
                <w:szCs w:val="16"/>
                <w:color w:val="auto"/>
              </w:rPr>
              <w:t>Adjusted EBITDA margin</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142"/>
              <w:spacing w:after="0" w:line="177" w:lineRule="exact"/>
              <w:rPr>
                <w:sz w:val="20"/>
                <w:szCs w:val="20"/>
                <w:color w:val="auto"/>
              </w:rPr>
            </w:pPr>
            <w:r>
              <w:rPr>
                <w:rFonts w:ascii="Arial" w:cs="Arial" w:eastAsia="Arial" w:hAnsi="Arial"/>
                <w:sz w:val="16"/>
                <w:szCs w:val="16"/>
                <w:color w:val="auto"/>
              </w:rPr>
              <w:t>25.0</w:t>
            </w:r>
          </w:p>
        </w:tc>
        <w:tc>
          <w:tcPr>
            <w:tcW w:w="38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jc w:val="right"/>
              <w:ind w:right="223"/>
              <w:spacing w:after="0" w:line="177" w:lineRule="exact"/>
              <w:rPr>
                <w:sz w:val="20"/>
                <w:szCs w:val="20"/>
                <w:color w:val="auto"/>
              </w:rPr>
            </w:pPr>
            <w:r>
              <w:rPr>
                <w:rFonts w:ascii="Arial" w:cs="Arial" w:eastAsia="Arial" w:hAnsi="Arial"/>
                <w:sz w:val="16"/>
                <w:szCs w:val="16"/>
                <w:color w:val="auto"/>
              </w:rPr>
              <w:t>23.2</w:t>
            </w:r>
          </w:p>
        </w:tc>
        <w:tc>
          <w:tcPr>
            <w:tcW w:w="30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jc w:val="right"/>
              <w:ind w:right="162"/>
              <w:spacing w:after="0" w:line="177" w:lineRule="exact"/>
              <w:rPr>
                <w:sz w:val="20"/>
                <w:szCs w:val="20"/>
                <w:color w:val="auto"/>
              </w:rPr>
            </w:pPr>
            <w:r>
              <w:rPr>
                <w:rFonts w:ascii="Arial" w:cs="Arial" w:eastAsia="Arial" w:hAnsi="Arial"/>
                <w:sz w:val="16"/>
                <w:szCs w:val="16"/>
                <w:color w:val="auto"/>
              </w:rPr>
              <w:t>14.8</w:t>
            </w:r>
          </w:p>
        </w:tc>
        <w:tc>
          <w:tcPr>
            <w:tcW w:w="34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right="100" w:firstLine="396"/>
        <w:spacing w:after="0" w:line="262" w:lineRule="auto"/>
        <w:tabs>
          <w:tab w:leader="none" w:pos="1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in other adjustments, net is foreign currency transaction gains and losses, expenses related to long-term incentives and contingent consideration related to acquisitions, and interest income and expense.</w:t>
      </w: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56" w:lineRule="exact"/>
        <w:rPr>
          <w:sz w:val="20"/>
          <w:szCs w:val="20"/>
          <w:color w:val="auto"/>
        </w:rPr>
      </w:pPr>
    </w:p>
    <w:p>
      <w:pPr>
        <w:ind w:right="420" w:firstLine="395"/>
        <w:spacing w:after="0" w:line="299" w:lineRule="auto"/>
        <w:rPr>
          <w:sz w:val="20"/>
          <w:szCs w:val="20"/>
          <w:color w:val="auto"/>
        </w:rPr>
      </w:pPr>
      <w:r>
        <w:rPr>
          <w:rFonts w:ascii="Arial" w:cs="Arial" w:eastAsia="Arial" w:hAnsi="Arial"/>
          <w:sz w:val="16"/>
          <w:szCs w:val="16"/>
          <w:color w:val="auto"/>
        </w:rPr>
        <w:t>We define adjusted net income as net income adjusted for the impact of non-cash equity-based compensation, the amortization of acquisition-related intangible assets, expenses related to long-term incentives and contingent consideration related to acquisitions and the estimated tax impact of such adjustments. We define adjusted net income per diluted common share as adjusted net income divided by weighted average diluted shares.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63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r>
      <w:tr>
        <w:trPr>
          <w:trHeight w:val="212"/>
        </w:trPr>
        <w:tc>
          <w:tcPr>
            <w:tcW w:w="6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71,766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r>
      <w:tr>
        <w:trPr>
          <w:trHeight w:val="207"/>
        </w:trPr>
        <w:tc>
          <w:tcPr>
            <w:tcW w:w="6340" w:type="dxa"/>
            <w:vAlign w:val="bottom"/>
          </w:tcPr>
          <w:p>
            <w:pPr>
              <w:ind w:left="420"/>
              <w:spacing w:after="0"/>
              <w:rPr>
                <w:sz w:val="20"/>
                <w:szCs w:val="20"/>
                <w:color w:val="auto"/>
              </w:rPr>
            </w:pPr>
            <w:r>
              <w:rPr>
                <w:rFonts w:ascii="Arial" w:cs="Arial" w:eastAsia="Arial" w:hAnsi="Arial"/>
                <w:sz w:val="16"/>
                <w:szCs w:val="16"/>
                <w:color w:val="auto"/>
              </w:rPr>
              <w:t>Add / (less) Non-GAAP adjustments: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4"/>
        </w:trPr>
        <w:tc>
          <w:tcPr>
            <w:tcW w:w="63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equity-based compensation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22,815</w:t>
            </w:r>
          </w:p>
        </w:tc>
      </w:tr>
      <w:tr>
        <w:trPr>
          <w:trHeight w:val="211"/>
        </w:trPr>
        <w:tc>
          <w:tcPr>
            <w:tcW w:w="6340" w:type="dxa"/>
            <w:vAlign w:val="bottom"/>
          </w:tcPr>
          <w:p>
            <w:pPr>
              <w:ind w:left="540"/>
              <w:spacing w:after="0" w:line="210" w:lineRule="exact"/>
              <w:rPr>
                <w:sz w:val="20"/>
                <w:szCs w:val="20"/>
                <w:color w:val="auto"/>
              </w:rPr>
            </w:pPr>
            <w:r>
              <w:rPr>
                <w:rFonts w:ascii="Arial" w:cs="Arial" w:eastAsia="Arial" w:hAnsi="Arial"/>
                <w:sz w:val="16"/>
                <w:szCs w:val="16"/>
                <w:color w:val="auto"/>
              </w:rPr>
              <w:t>Tax effect of non-cash equity-based compensation</w:t>
            </w:r>
            <w:r>
              <w:rPr>
                <w:rFonts w:ascii="Arial" w:cs="Arial" w:eastAsia="Arial" w:hAnsi="Arial"/>
                <w:sz w:val="20"/>
                <w:szCs w:val="20"/>
                <w:color w:val="auto"/>
                <w:vertAlign w:val="superscript"/>
              </w:rPr>
              <w:t>(1)</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(5,363)</w:t>
            </w:r>
          </w:p>
        </w:tc>
      </w:tr>
      <w:tr>
        <w:trPr>
          <w:trHeight w:val="211"/>
        </w:trPr>
        <w:tc>
          <w:tcPr>
            <w:tcW w:w="63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Acquisition-related amortization expense</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r>
      <w:tr>
        <w:trPr>
          <w:trHeight w:val="211"/>
        </w:trPr>
        <w:tc>
          <w:tcPr>
            <w:tcW w:w="6340" w:type="dxa"/>
            <w:vAlign w:val="bottom"/>
          </w:tcPr>
          <w:p>
            <w:pPr>
              <w:ind w:left="540"/>
              <w:spacing w:after="0" w:line="210" w:lineRule="exact"/>
              <w:rPr>
                <w:sz w:val="20"/>
                <w:szCs w:val="20"/>
                <w:color w:val="auto"/>
              </w:rPr>
            </w:pPr>
            <w:r>
              <w:rPr>
                <w:rFonts w:ascii="Arial" w:cs="Arial" w:eastAsia="Arial" w:hAnsi="Arial"/>
                <w:sz w:val="16"/>
                <w:szCs w:val="16"/>
                <w:color w:val="auto"/>
              </w:rPr>
              <w:t>Tax effect of acquisition-related amortization expense</w:t>
            </w:r>
            <w:r>
              <w:rPr>
                <w:rFonts w:ascii="Arial" w:cs="Arial" w:eastAsia="Arial" w:hAnsi="Arial"/>
                <w:sz w:val="20"/>
                <w:szCs w:val="20"/>
                <w:color w:val="auto"/>
                <w:vertAlign w:val="superscript"/>
              </w:rPr>
              <w:t>(1)</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11"/>
        </w:trPr>
        <w:tc>
          <w:tcPr>
            <w:tcW w:w="6340" w:type="dxa"/>
            <w:vAlign w:val="bottom"/>
            <w:shd w:val="clear" w:color="auto" w:fill="CCEEFF"/>
          </w:tcPr>
          <w:p>
            <w:pPr>
              <w:ind w:left="540"/>
              <w:spacing w:after="0" w:line="210" w:lineRule="exact"/>
              <w:rPr>
                <w:sz w:val="20"/>
                <w:szCs w:val="20"/>
                <w:color w:val="auto"/>
              </w:rPr>
            </w:pPr>
            <w:r>
              <w:rPr>
                <w:rFonts w:ascii="Arial" w:cs="Arial" w:eastAsia="Arial" w:hAnsi="Arial"/>
                <w:sz w:val="16"/>
                <w:szCs w:val="16"/>
                <w:color w:val="auto"/>
              </w:rPr>
              <w:t>Acquisition-related long-term incentives and contingent consideration</w:t>
            </w:r>
            <w:r>
              <w:rPr>
                <w:rFonts w:ascii="Arial" w:cs="Arial" w:eastAsia="Arial" w:hAnsi="Arial"/>
                <w:sz w:val="20"/>
                <w:szCs w:val="20"/>
                <w:color w:val="auto"/>
                <w:vertAlign w:val="superscript"/>
              </w:rPr>
              <w:t>(2)</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r>
      <w:tr>
        <w:trPr>
          <w:trHeight w:val="211"/>
        </w:trPr>
        <w:tc>
          <w:tcPr>
            <w:tcW w:w="6340" w:type="dxa"/>
            <w:vAlign w:val="bottom"/>
          </w:tcPr>
          <w:p>
            <w:pPr>
              <w:ind w:left="540"/>
              <w:spacing w:after="0" w:line="210" w:lineRule="exact"/>
              <w:rPr>
                <w:sz w:val="20"/>
                <w:szCs w:val="20"/>
                <w:color w:val="auto"/>
              </w:rPr>
            </w:pPr>
            <w:r>
              <w:rPr>
                <w:rFonts w:ascii="Arial" w:cs="Arial" w:eastAsia="Arial" w:hAnsi="Arial"/>
                <w:sz w:val="16"/>
                <w:szCs w:val="16"/>
                <w:color w:val="auto"/>
                <w:w w:val="97"/>
              </w:rPr>
              <w:t>Tax effect of acquisition-related long-term incentives and contingent consideration</w:t>
            </w:r>
            <w:r>
              <w:rPr>
                <w:rFonts w:ascii="Arial" w:cs="Arial" w:eastAsia="Arial" w:hAnsi="Arial"/>
                <w:sz w:val="20"/>
                <w:szCs w:val="20"/>
                <w:color w:val="auto"/>
                <w:w w:val="97"/>
                <w:vertAlign w:val="superscript"/>
              </w:rPr>
              <w:t>(1)</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29"/>
        </w:trPr>
        <w:tc>
          <w:tcPr>
            <w:tcW w:w="63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Adjusted net income</w:t>
            </w:r>
          </w:p>
        </w:tc>
        <w:tc>
          <w:tcPr>
            <w:tcW w:w="6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95,152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6340" w:type="dxa"/>
            <w:vAlign w:val="bottom"/>
          </w:tcPr>
          <w:p>
            <w:pPr>
              <w:ind w:left="420"/>
              <w:spacing w:after="0"/>
              <w:rPr>
                <w:sz w:val="20"/>
                <w:szCs w:val="20"/>
                <w:color w:val="auto"/>
              </w:rPr>
            </w:pPr>
            <w:r>
              <w:rPr>
                <w:rFonts w:ascii="Arial" w:cs="Arial" w:eastAsia="Arial" w:hAnsi="Arial"/>
                <w:sz w:val="16"/>
                <w:szCs w:val="16"/>
                <w:color w:val="auto"/>
              </w:rPr>
              <w:t>Adjusted net income per diluted common share</w:t>
            </w: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39"/>
        </w:trPr>
        <w:tc>
          <w:tcPr>
            <w:tcW w:w="63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6"/>
                <w:szCs w:val="16"/>
                <w:color w:val="auto"/>
              </w:rPr>
              <w:t>Weighted average diluted shares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36,369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35,581</w:t>
            </w:r>
          </w:p>
        </w:tc>
      </w:tr>
      <w:tr>
        <w:trPr>
          <w:trHeight w:val="20"/>
        </w:trPr>
        <w:tc>
          <w:tcPr>
            <w:tcW w:w="6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260" w:hanging="544"/>
        <w:spacing w:after="0"/>
        <w:tabs>
          <w:tab w:leader="none" w:pos="1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Statutory tax rates are used to calculate the tax effect of the adjustments.</w:t>
      </w:r>
    </w:p>
    <w:p>
      <w:pPr>
        <w:spacing w:after="0" w:line="102" w:lineRule="exact"/>
        <w:rPr>
          <w:rFonts w:ascii="Arial" w:cs="Arial" w:eastAsia="Arial" w:hAnsi="Arial"/>
          <w:sz w:val="14"/>
          <w:szCs w:val="14"/>
          <w:color w:val="auto"/>
        </w:rPr>
      </w:pPr>
    </w:p>
    <w:p>
      <w:pPr>
        <w:ind w:left="1260" w:hanging="544"/>
        <w:spacing w:after="0"/>
        <w:tabs>
          <w:tab w:leader="none" w:pos="1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expenses related to long-term incentives and contingent consideration related to the Flashstock acquisition.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Growth (including by distribution channel) on a Constant Currency Basis</w:t>
      </w:r>
    </w:p>
    <w:p>
      <w:pPr>
        <w:spacing w:after="0" w:line="56" w:lineRule="exact"/>
        <w:rPr>
          <w:sz w:val="20"/>
          <w:szCs w:val="20"/>
          <w:color w:val="auto"/>
        </w:rPr>
      </w:pPr>
    </w:p>
    <w:p>
      <w:pPr>
        <w:ind w:right="240" w:firstLine="395"/>
        <w:spacing w:after="0" w:line="310" w:lineRule="auto"/>
        <w:rPr>
          <w:sz w:val="20"/>
          <w:szCs w:val="20"/>
          <w:color w:val="auto"/>
        </w:rPr>
      </w:pPr>
      <w:r>
        <w:rPr>
          <w:rFonts w:ascii="Arial" w:cs="Arial" w:eastAsia="Arial" w:hAnsi="Arial"/>
          <w:sz w:val="16"/>
          <w:szCs w:val="16"/>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9"/>
              </w:rPr>
              <w:t>Year Ended December 31,</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82"/>
        </w:trPr>
        <w:tc>
          <w:tcPr>
            <w:tcW w:w="48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11"/>
        </w:trPr>
        <w:tc>
          <w:tcPr>
            <w:tcW w:w="4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Reported revenue (in thousands)</w:t>
            </w: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773,415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666,686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650,523</w:t>
            </w:r>
          </w:p>
        </w:tc>
        <w:tc>
          <w:tcPr>
            <w:tcW w:w="360" w:type="dxa"/>
            <w:vAlign w:val="bottom"/>
            <w:shd w:val="clear" w:color="auto" w:fill="CCEEFF"/>
          </w:tcPr>
          <w:p>
            <w:pPr>
              <w:spacing w:after="0"/>
              <w:rPr>
                <w:sz w:val="18"/>
                <w:szCs w:val="18"/>
                <w:color w:val="auto"/>
              </w:rPr>
            </w:pPr>
          </w:p>
        </w:tc>
      </w:tr>
      <w:tr>
        <w:trPr>
          <w:trHeight w:val="207"/>
        </w:trPr>
        <w:tc>
          <w:tcPr>
            <w:tcW w:w="4840" w:type="dxa"/>
            <w:vAlign w:val="bottom"/>
          </w:tcPr>
          <w:p>
            <w:pPr>
              <w:ind w:left="540"/>
              <w:spacing w:after="0"/>
              <w:rPr>
                <w:sz w:val="20"/>
                <w:szCs w:val="20"/>
                <w:color w:val="auto"/>
              </w:rPr>
            </w:pPr>
            <w:r>
              <w:rPr>
                <w:rFonts w:ascii="Arial" w:cs="Arial" w:eastAsia="Arial" w:hAnsi="Arial"/>
                <w:sz w:val="16"/>
                <w:szCs w:val="16"/>
                <w:i w:val="1"/>
                <w:iCs w:val="1"/>
                <w:color w:val="auto"/>
              </w:rPr>
              <w:t>Revenue growth</w:t>
            </w:r>
          </w:p>
        </w:tc>
        <w:tc>
          <w:tcPr>
            <w:tcW w:w="740" w:type="dxa"/>
            <w:vAlign w:val="bottom"/>
          </w:tcPr>
          <w:p>
            <w:pPr>
              <w:spacing w:after="0"/>
              <w:rPr>
                <w:sz w:val="18"/>
                <w:szCs w:val="18"/>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16</w:t>
            </w:r>
          </w:p>
        </w:tc>
        <w:tc>
          <w:tcPr>
            <w:tcW w:w="3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i w:val="1"/>
                <w:iCs w:val="1"/>
                <w:color w:val="auto"/>
              </w:rPr>
              <w:t>2</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4</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214"/>
        </w:trPr>
        <w:tc>
          <w:tcPr>
            <w:tcW w:w="4840" w:type="dxa"/>
            <w:vAlign w:val="bottom"/>
            <w:shd w:val="clear" w:color="auto" w:fill="CCEEFF"/>
          </w:tcPr>
          <w:p>
            <w:pPr>
              <w:ind w:left="540"/>
              <w:spacing w:after="0"/>
              <w:rPr>
                <w:sz w:val="20"/>
                <w:szCs w:val="20"/>
                <w:color w:val="auto"/>
              </w:rPr>
            </w:pPr>
            <w:r>
              <w:rPr>
                <w:rFonts w:ascii="Arial" w:cs="Arial" w:eastAsia="Arial" w:hAnsi="Arial"/>
                <w:sz w:val="16"/>
                <w:szCs w:val="16"/>
                <w:i w:val="1"/>
                <w:iCs w:val="1"/>
                <w:color w:val="auto"/>
              </w:rPr>
              <w:t>Revenue growth on a constant currency basis</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15</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6"/>
                <w:szCs w:val="16"/>
                <w:i w:val="1"/>
                <w:iCs w:val="1"/>
                <w:color w:val="auto"/>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6</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r>
      <w:tr>
        <w:trPr>
          <w:trHeight w:val="260"/>
        </w:trPr>
        <w:tc>
          <w:tcPr>
            <w:tcW w:w="4840" w:type="dxa"/>
            <w:vAlign w:val="bottom"/>
          </w:tcPr>
          <w:p>
            <w:pPr>
              <w:ind w:left="420"/>
              <w:spacing w:after="0"/>
              <w:rPr>
                <w:sz w:val="20"/>
                <w:szCs w:val="20"/>
                <w:color w:val="auto"/>
              </w:rPr>
            </w:pPr>
            <w:r>
              <w:rPr>
                <w:rFonts w:ascii="Arial" w:cs="Arial" w:eastAsia="Arial" w:hAnsi="Arial"/>
                <w:sz w:val="16"/>
                <w:szCs w:val="16"/>
                <w:color w:val="auto"/>
              </w:rPr>
              <w:t>E-commerce reported revenue (in thousands)</w:t>
            </w:r>
          </w:p>
        </w:tc>
        <w:tc>
          <w:tcPr>
            <w:tcW w:w="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490,212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412,521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392,241</w:t>
            </w:r>
          </w:p>
        </w:tc>
        <w:tc>
          <w:tcPr>
            <w:tcW w:w="360" w:type="dxa"/>
            <w:vAlign w:val="bottom"/>
          </w:tcPr>
          <w:p>
            <w:pPr>
              <w:spacing w:after="0"/>
              <w:rPr>
                <w:sz w:val="22"/>
                <w:szCs w:val="22"/>
                <w:color w:val="auto"/>
              </w:rPr>
            </w:pPr>
          </w:p>
        </w:tc>
      </w:tr>
      <w:tr>
        <w:trPr>
          <w:trHeight w:val="214"/>
        </w:trPr>
        <w:tc>
          <w:tcPr>
            <w:tcW w:w="4840" w:type="dxa"/>
            <w:vAlign w:val="bottom"/>
            <w:shd w:val="clear" w:color="auto" w:fill="CCEEFF"/>
          </w:tcPr>
          <w:p>
            <w:pPr>
              <w:ind w:left="540"/>
              <w:spacing w:after="0"/>
              <w:rPr>
                <w:sz w:val="20"/>
                <w:szCs w:val="20"/>
                <w:color w:val="auto"/>
              </w:rPr>
            </w:pPr>
            <w:r>
              <w:rPr>
                <w:rFonts w:ascii="Arial" w:cs="Arial" w:eastAsia="Arial" w:hAnsi="Arial"/>
                <w:sz w:val="16"/>
                <w:szCs w:val="16"/>
                <w:i w:val="1"/>
                <w:iCs w:val="1"/>
                <w:color w:val="auto"/>
              </w:rPr>
              <w:t>E-commerce revenue growth</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19</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6"/>
                <w:szCs w:val="16"/>
                <w:i w:val="1"/>
                <w:iCs w:val="1"/>
                <w:color w:val="auto"/>
              </w:rPr>
              <w:t>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r>
      <w:tr>
        <w:trPr>
          <w:trHeight w:val="207"/>
        </w:trPr>
        <w:tc>
          <w:tcPr>
            <w:tcW w:w="4840" w:type="dxa"/>
            <w:vAlign w:val="bottom"/>
          </w:tcPr>
          <w:p>
            <w:pPr>
              <w:ind w:left="540"/>
              <w:spacing w:after="0"/>
              <w:rPr>
                <w:sz w:val="20"/>
                <w:szCs w:val="20"/>
                <w:color w:val="auto"/>
              </w:rPr>
            </w:pPr>
            <w:r>
              <w:rPr>
                <w:rFonts w:ascii="Arial" w:cs="Arial" w:eastAsia="Arial" w:hAnsi="Arial"/>
                <w:sz w:val="16"/>
                <w:szCs w:val="16"/>
                <w:i w:val="1"/>
                <w:iCs w:val="1"/>
                <w:color w:val="auto"/>
              </w:rPr>
              <w:t>E-commerce revenue growth on a constant currency basis</w:t>
            </w:r>
          </w:p>
        </w:tc>
        <w:tc>
          <w:tcPr>
            <w:tcW w:w="740" w:type="dxa"/>
            <w:vAlign w:val="bottom"/>
          </w:tcPr>
          <w:p>
            <w:pPr>
              <w:spacing w:after="0"/>
              <w:rPr>
                <w:sz w:val="18"/>
                <w:szCs w:val="18"/>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16</w:t>
            </w:r>
          </w:p>
        </w:tc>
        <w:tc>
          <w:tcPr>
            <w:tcW w:w="3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i w:val="1"/>
                <w:iCs w:val="1"/>
                <w:color w:val="auto"/>
              </w:rPr>
              <w:t>5</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9</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95"/>
        </w:trPr>
        <w:tc>
          <w:tcPr>
            <w:tcW w:w="48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r>
      <w:tr>
        <w:trPr>
          <w:trHeight w:val="207"/>
        </w:trPr>
        <w:tc>
          <w:tcPr>
            <w:tcW w:w="4840" w:type="dxa"/>
            <w:vAlign w:val="bottom"/>
          </w:tcPr>
          <w:p>
            <w:pPr>
              <w:ind w:left="420"/>
              <w:spacing w:after="0"/>
              <w:rPr>
                <w:sz w:val="20"/>
                <w:szCs w:val="20"/>
                <w:color w:val="auto"/>
              </w:rPr>
            </w:pPr>
            <w:r>
              <w:rPr>
                <w:rFonts w:ascii="Arial" w:cs="Arial" w:eastAsia="Arial" w:hAnsi="Arial"/>
                <w:sz w:val="16"/>
                <w:szCs w:val="16"/>
                <w:color w:val="auto"/>
              </w:rPr>
              <w:t>Enterprise reported revenue (in thousands)</w:t>
            </w:r>
          </w:p>
        </w:tc>
        <w:tc>
          <w:tcPr>
            <w:tcW w:w="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283,203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254,165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258,282</w:t>
            </w:r>
          </w:p>
        </w:tc>
        <w:tc>
          <w:tcPr>
            <w:tcW w:w="360" w:type="dxa"/>
            <w:vAlign w:val="bottom"/>
          </w:tcPr>
          <w:p>
            <w:pPr>
              <w:spacing w:after="0"/>
              <w:rPr>
                <w:sz w:val="18"/>
                <w:szCs w:val="18"/>
                <w:color w:val="auto"/>
              </w:rPr>
            </w:pPr>
          </w:p>
        </w:tc>
      </w:tr>
      <w:tr>
        <w:trPr>
          <w:trHeight w:val="214"/>
        </w:trPr>
        <w:tc>
          <w:tcPr>
            <w:tcW w:w="4840" w:type="dxa"/>
            <w:vAlign w:val="bottom"/>
            <w:shd w:val="clear" w:color="auto" w:fill="CCEEFF"/>
          </w:tcPr>
          <w:p>
            <w:pPr>
              <w:ind w:left="540"/>
              <w:spacing w:after="0"/>
              <w:rPr>
                <w:sz w:val="20"/>
                <w:szCs w:val="20"/>
                <w:color w:val="auto"/>
              </w:rPr>
            </w:pPr>
            <w:r>
              <w:rPr>
                <w:rFonts w:ascii="Arial" w:cs="Arial" w:eastAsia="Arial" w:hAnsi="Arial"/>
                <w:sz w:val="16"/>
                <w:szCs w:val="16"/>
                <w:i w:val="1"/>
                <w:iCs w:val="1"/>
                <w:color w:val="auto"/>
              </w:rPr>
              <w:t>Enterprise revenue growth</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i w:val="1"/>
                <w:iCs w:val="1"/>
                <w:color w:val="auto"/>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6"/>
                <w:szCs w:val="16"/>
                <w:i w:val="1"/>
                <w:iCs w:val="1"/>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r>
      <w:tr>
        <w:trPr>
          <w:trHeight w:val="204"/>
        </w:trPr>
        <w:tc>
          <w:tcPr>
            <w:tcW w:w="4840" w:type="dxa"/>
            <w:vAlign w:val="bottom"/>
          </w:tcPr>
          <w:p>
            <w:pPr>
              <w:ind w:left="540"/>
              <w:spacing w:after="0"/>
              <w:rPr>
                <w:sz w:val="20"/>
                <w:szCs w:val="20"/>
                <w:color w:val="auto"/>
              </w:rPr>
            </w:pPr>
            <w:r>
              <w:rPr>
                <w:rFonts w:ascii="Arial" w:cs="Arial" w:eastAsia="Arial" w:hAnsi="Arial"/>
                <w:sz w:val="16"/>
                <w:szCs w:val="16"/>
                <w:i w:val="1"/>
                <w:iCs w:val="1"/>
                <w:color w:val="auto"/>
              </w:rPr>
              <w:t>Enterprise revenue growth on a constant currency basis</w:t>
            </w:r>
          </w:p>
        </w:tc>
        <w:tc>
          <w:tcPr>
            <w:tcW w:w="740" w:type="dxa"/>
            <w:vAlign w:val="bottom"/>
          </w:tcPr>
          <w:p>
            <w:pPr>
              <w:spacing w:after="0"/>
              <w:rPr>
                <w:sz w:val="17"/>
                <w:szCs w:val="17"/>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10</w:t>
            </w:r>
          </w:p>
        </w:tc>
        <w:tc>
          <w:tcPr>
            <w:tcW w:w="3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i w:val="1"/>
                <w:iCs w:val="1"/>
                <w:color w:val="auto"/>
              </w:rPr>
              <w:t>(2)</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i w:val="1"/>
                <w:iCs w:val="1"/>
                <w:color w:val="auto"/>
              </w:rPr>
              <w:t>3</w:t>
            </w:r>
          </w:p>
        </w:tc>
        <w:tc>
          <w:tcPr>
            <w:tcW w:w="36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48" w:lineRule="exact"/>
        <w:rPr>
          <w:sz w:val="20"/>
          <w:szCs w:val="20"/>
          <w:color w:val="auto"/>
        </w:rPr>
      </w:pPr>
    </w:p>
    <w:p>
      <w:pPr>
        <w:ind w:right="240" w:firstLine="395"/>
        <w:spacing w:after="0" w:line="324" w:lineRule="auto"/>
        <w:rPr>
          <w:sz w:val="20"/>
          <w:szCs w:val="20"/>
          <w:color w:val="auto"/>
        </w:rPr>
      </w:pPr>
      <w:r>
        <w:rPr>
          <w:rFonts w:ascii="Arial" w:cs="Arial" w:eastAsia="Arial" w:hAnsi="Arial"/>
          <w:sz w:val="16"/>
          <w:szCs w:val="16"/>
          <w:color w:val="auto"/>
        </w:rPr>
        <w:t>We define free cash flow as our cash provided by operating activities, adjusted for capital expenditures and content acquisition, and, with respect to the twelve months ended December 31, 2020, a payment associated with long-term incentives related to our 2017 acquisition of Flashstock.</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reconciliation of net cash provided by operating activities to free cash flow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6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r>
      <w:tr>
        <w:trPr>
          <w:trHeight w:val="212"/>
        </w:trPr>
        <w:tc>
          <w:tcPr>
            <w:tcW w:w="6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216,372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102,646</w:t>
            </w:r>
          </w:p>
        </w:tc>
      </w:tr>
      <w:tr>
        <w:trPr>
          <w:trHeight w:val="207"/>
        </w:trPr>
        <w:tc>
          <w:tcPr>
            <w:tcW w:w="6300" w:type="dxa"/>
            <w:vAlign w:val="bottom"/>
          </w:tcPr>
          <w:p>
            <w:pPr>
              <w:ind w:left="520"/>
              <w:spacing w:after="0"/>
              <w:rPr>
                <w:sz w:val="20"/>
                <w:szCs w:val="20"/>
                <w:color w:val="auto"/>
              </w:rPr>
            </w:pPr>
            <w:r>
              <w:rPr>
                <w:rFonts w:ascii="Arial" w:cs="Arial" w:eastAsia="Arial" w:hAnsi="Arial"/>
                <w:sz w:val="16"/>
                <w:szCs w:val="16"/>
                <w:color w:val="auto"/>
              </w:rPr>
              <w:t>Capital expenditures</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(26,081)</w:t>
            </w:r>
          </w:p>
        </w:tc>
      </w:tr>
      <w:tr>
        <w:trPr>
          <w:trHeight w:val="214"/>
        </w:trPr>
        <w:tc>
          <w:tcPr>
            <w:tcW w:w="63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Content acquisitions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r>
      <w:tr>
        <w:trPr>
          <w:trHeight w:val="207"/>
        </w:trPr>
        <w:tc>
          <w:tcPr>
            <w:tcW w:w="6300" w:type="dxa"/>
            <w:vAlign w:val="bottom"/>
          </w:tcPr>
          <w:p>
            <w:pPr>
              <w:ind w:left="540"/>
              <w:spacing w:after="0"/>
              <w:rPr>
                <w:sz w:val="20"/>
                <w:szCs w:val="20"/>
                <w:color w:val="auto"/>
              </w:rPr>
            </w:pPr>
            <w:r>
              <w:rPr>
                <w:rFonts w:ascii="Arial" w:cs="Arial" w:eastAsia="Arial" w:hAnsi="Arial"/>
                <w:sz w:val="16"/>
                <w:szCs w:val="16"/>
                <w:color w:val="auto"/>
              </w:rPr>
              <w:t>Payments related to long-term incentives related to acquisitions</w:t>
            </w:r>
          </w:p>
        </w:tc>
        <w:tc>
          <w:tcPr>
            <w:tcW w:w="6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3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Free Cash Flow</w:t>
            </w:r>
          </w:p>
        </w:tc>
        <w:tc>
          <w:tcPr>
            <w:tcW w:w="6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179,373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1"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06"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valuation of acquired goodwill and intangible assets, and accounting for income taxes have the greatest potential impact on our financial statements. Therefore, we consider these to be our critical accounting policies and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majority of our revenues are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Subsequent to the acquisition of PicMonkey, the Company also generates revenue from the license of creative editing tools.</w:t>
      </w:r>
    </w:p>
    <w:p>
      <w:pPr>
        <w:spacing w:after="0" w:line="85"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We recognize revenues upon the satisfaction of performance obligations, which generally occurs when content is downloaded by a customer. For content licenses, we recognize revenues on both a subscription-based and transaction-based products when content is downloaded, at which time the license is provided. In addition, we estimate expected unused licenses for subscription-based products and recognize the estimated revenue associated with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the license of our creative editing tools, the Company recognizes revenue on a straight-line basis over the subscription period. We expense contract acquisition costs as incurred, to the extent that the amortization period would otherwise be one year or less.</w:t>
      </w:r>
    </w:p>
    <w:p>
      <w:pPr>
        <w:spacing w:after="0" w:line="105"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Collectability is reasonably assured at the time the electronic order or contract is entered. The majority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w:t>
      </w: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credit terms allowing for payment beyond the date at which service commences, is based on a credit evaluation for certain new customers and transaction history with existing customers.</w:t>
      </w:r>
    </w:p>
    <w:p>
      <w:pPr>
        <w:spacing w:after="0" w:line="116" w:lineRule="exact"/>
        <w:rPr>
          <w:sz w:val="20"/>
          <w:szCs w:val="20"/>
          <w:color w:val="auto"/>
        </w:rPr>
      </w:pPr>
    </w:p>
    <w:p>
      <w:pPr>
        <w:ind w:right="40" w:firstLine="395"/>
        <w:spacing w:after="0" w:line="327" w:lineRule="auto"/>
        <w:rPr>
          <w:sz w:val="20"/>
          <w:szCs w:val="20"/>
          <w:color w:val="auto"/>
        </w:rPr>
      </w:pPr>
      <w:r>
        <w:rPr>
          <w:rFonts w:ascii="Arial" w:cs="Arial" w:eastAsia="Arial" w:hAnsi="Arial"/>
          <w:sz w:val="15"/>
          <w:szCs w:val="15"/>
          <w:color w:val="auto"/>
        </w:rPr>
        <w:t>We recognize revenue gross of contributor royalties because we are the principal in the transaction as we are the party responsible for the performance obligation and we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35"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Our accounts receivable consists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w:t>
      </w:r>
    </w:p>
    <w:p>
      <w:pPr>
        <w:spacing w:after="0" w:line="124"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 xml:space="preserve">Historically, the Company used an incurred loss model to calculate its allowance for doubtful accounts. Upon the adoption of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of Financial Instruments </w:t>
      </w:r>
      <w:r>
        <w:rPr>
          <w:rFonts w:ascii="Arial" w:cs="Arial" w:eastAsia="Arial" w:hAnsi="Arial"/>
          <w:sz w:val="18"/>
          <w:szCs w:val="18"/>
          <w:color w:val="auto"/>
        </w:rPr>
        <w:t>(“ASU 2016-13”) on January 1, 2020, the Company shifted to</w:t>
      </w:r>
      <w:r>
        <w:rPr>
          <w:rFonts w:ascii="Arial" w:cs="Arial" w:eastAsia="Arial" w:hAnsi="Arial"/>
          <w:sz w:val="18"/>
          <w:szCs w:val="18"/>
          <w:i w:val="1"/>
          <w:iCs w:val="1"/>
          <w:color w:val="auto"/>
        </w:rPr>
        <w:t xml:space="preserve"> </w:t>
      </w:r>
      <w:r>
        <w:rPr>
          <w:rFonts w:ascii="Arial" w:cs="Arial" w:eastAsia="Arial" w:hAnsi="Arial"/>
          <w:sz w:val="18"/>
          <w:szCs w:val="18"/>
          <w:color w:val="auto"/>
        </w:rPr>
        <w:t>a current expected credit loss model.</w:t>
      </w:r>
    </w:p>
    <w:p>
      <w:pPr>
        <w:spacing w:after="0" w:line="124" w:lineRule="exact"/>
        <w:rPr>
          <w:sz w:val="20"/>
          <w:szCs w:val="20"/>
          <w:color w:val="auto"/>
        </w:rPr>
      </w:pPr>
    </w:p>
    <w:p>
      <w:pPr>
        <w:ind w:right="480" w:firstLine="395"/>
        <w:spacing w:after="0" w:line="252" w:lineRule="auto"/>
        <w:rPr>
          <w:sz w:val="20"/>
          <w:szCs w:val="20"/>
          <w:color w:val="auto"/>
        </w:rPr>
      </w:pPr>
      <w:r>
        <w:rPr>
          <w:rFonts w:ascii="Arial" w:cs="Arial" w:eastAsia="Arial" w:hAnsi="Arial"/>
          <w:sz w:val="18"/>
          <w:szCs w:val="18"/>
          <w:color w:val="auto"/>
        </w:rPr>
        <w:t>As of December 31, 2021 and 2020, we had an allowance for doubtful accounts of $1.9 million and $4.9 million, respectively. Fluctuations in our allowance for doubtful accounts are primarily attributable to changes in the aging profile of our gross accounts receivable balances and specific customer situations arising during the year.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8"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24"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89"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On a quarterly basis, we assess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28"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TCJA. The GILTI provisions impose a tax on foreign income in excess of a deemed return on tangible assets of foreign corporations. We have elected to treat any potential GILTI inclusions as a period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Business combinations are recorded at fair value and the purchase price is allocated to the assets acquired and liabilities assumed in the transaction. Assets acquired may include intangible assets such as customer relationships, trade names, developed technology and contributor content. Fair values are based on the exit price (i.e., the price that would be received to sell an asset or transfer a liability in an orderly transaction between market participants at the measurement date) and valuation methods that may be utilized include the multiple-period excess earnings method, the relief-from-royalty method and the cost-to-recreate method. Determining the fair value requires management to use significant judgment and estimates, including estimates of future revenue growth rates from existing customers, research and development expense adjustments, sales and marketing expense adjustments, the discount rate, earnings before interest, taxes, and amortization (“EBITA”) margins and the customer attrition rate, among others.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54"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risks related to foreign currency exchange rate fluctuation, interest rate fluctuation and inflation.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35%, 36% and 35% in 2021, 2020 and 2019,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2021, we estimate that a 10% change in the exchange rate of the U.S. dollar against all foreign currency denominated revenues would impact our revenue by approximately 3%.</w:t>
      </w:r>
    </w:p>
    <w:p>
      <w:pPr>
        <w:spacing w:after="0" w:line="102"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The net impacts of foreign currency transactions on our financial statements was a loss of $3.2 million in 2021 and gains of $2.4 million and $0.2 million, in 2020 and 2019, respectively. 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historical revenue by currency is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Year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91"/>
              </w:rPr>
              <w:t>U.S. Dollars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1"/>
              <w:spacing w:after="0" w:line="154" w:lineRule="exact"/>
              <w:rPr>
                <w:sz w:val="20"/>
                <w:szCs w:val="20"/>
                <w:color w:val="auto"/>
              </w:rPr>
            </w:pPr>
            <w:r>
              <w:rPr>
                <w:rFonts w:ascii="Arial" w:cs="Arial" w:eastAsia="Arial" w:hAnsi="Arial"/>
                <w:sz w:val="16"/>
                <w:szCs w:val="16"/>
                <w:b w:val="1"/>
                <w:bCs w:val="1"/>
                <w:color w:val="auto"/>
                <w:w w:val="93"/>
              </w:rPr>
              <w:t>Originating</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9"/>
              </w:rPr>
              <w:t>U.S. Dollars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ind w:right="81"/>
              <w:spacing w:after="0" w:line="154" w:lineRule="exact"/>
              <w:rPr>
                <w:sz w:val="20"/>
                <w:szCs w:val="20"/>
                <w:color w:val="auto"/>
              </w:rPr>
            </w:pPr>
            <w:r>
              <w:rPr>
                <w:rFonts w:ascii="Arial" w:cs="Arial" w:eastAsia="Arial" w:hAnsi="Arial"/>
                <w:sz w:val="16"/>
                <w:szCs w:val="16"/>
                <w:b w:val="1"/>
                <w:bCs w:val="1"/>
                <w:color w:val="auto"/>
                <w:w w:val="91"/>
              </w:rPr>
              <w:t>Originating</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91"/>
              </w:rPr>
              <w:t>U.S. Dollars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ind w:right="61"/>
              <w:spacing w:after="0" w:line="154" w:lineRule="exact"/>
              <w:rPr>
                <w:sz w:val="20"/>
                <w:szCs w:val="20"/>
                <w:color w:val="auto"/>
              </w:rPr>
            </w:pPr>
            <w:r>
              <w:rPr>
                <w:rFonts w:ascii="Arial" w:cs="Arial" w:eastAsia="Arial" w:hAnsi="Arial"/>
                <w:sz w:val="16"/>
                <w:szCs w:val="16"/>
                <w:b w:val="1"/>
                <w:bCs w:val="1"/>
                <w:color w:val="auto"/>
                <w:w w:val="93"/>
              </w:rPr>
              <w:t>Originating</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ind w:left="400"/>
              <w:spacing w:after="0"/>
              <w:rPr>
                <w:sz w:val="20"/>
                <w:szCs w:val="20"/>
                <w:color w:val="auto"/>
              </w:rPr>
            </w:pPr>
            <w:r>
              <w:rPr>
                <w:rFonts w:ascii="Arial" w:cs="Arial" w:eastAsia="Arial" w:hAnsi="Arial"/>
                <w:sz w:val="16"/>
                <w:szCs w:val="16"/>
                <w:b w:val="1"/>
                <w:bCs w:val="1"/>
                <w:color w:val="auto"/>
              </w:rPr>
              <w:t>Currency</w:t>
            </w: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ind w:left="420"/>
              <w:spacing w:after="0"/>
              <w:rPr>
                <w:sz w:val="20"/>
                <w:szCs w:val="20"/>
                <w:color w:val="auto"/>
              </w:rPr>
            </w:pPr>
            <w:r>
              <w:rPr>
                <w:rFonts w:ascii="Arial" w:cs="Arial" w:eastAsia="Arial" w:hAnsi="Arial"/>
                <w:sz w:val="16"/>
                <w:szCs w:val="16"/>
                <w:b w:val="1"/>
                <w:bCs w:val="1"/>
                <w:color w:val="auto"/>
              </w:rPr>
              <w:t>Currency</w:t>
            </w: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ind w:left="42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06"/>
        </w:trPr>
        <w:tc>
          <w:tcPr>
            <w:tcW w:w="980" w:type="dxa"/>
            <w:vAlign w:val="bottom"/>
          </w:tcPr>
          <w:p>
            <w:pPr>
              <w:ind w:left="420"/>
              <w:spacing w:after="0"/>
              <w:rPr>
                <w:sz w:val="20"/>
                <w:szCs w:val="20"/>
                <w:color w:val="auto"/>
              </w:rPr>
            </w:pPr>
            <w:r>
              <w:rPr>
                <w:rFonts w:ascii="Arial" w:cs="Arial" w:eastAsia="Arial" w:hAnsi="Arial"/>
                <w:sz w:val="16"/>
                <w:szCs w:val="16"/>
                <w:color w:val="auto"/>
              </w:rPr>
              <w:t>Euro</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152,290</w:t>
            </w:r>
          </w:p>
        </w:tc>
        <w:tc>
          <w:tcPr>
            <w:tcW w:w="80" w:type="dxa"/>
            <w:vAlign w:val="bottom"/>
          </w:tcPr>
          <w:p>
            <w:pPr>
              <w:spacing w:after="0"/>
              <w:rPr>
                <w:sz w:val="17"/>
                <w:szCs w:val="17"/>
                <w:color w:val="auto"/>
              </w:rPr>
            </w:pPr>
          </w:p>
        </w:tc>
        <w:tc>
          <w:tcPr>
            <w:tcW w:w="50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129,140</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138,128</w:t>
            </w:r>
          </w:p>
        </w:tc>
        <w:tc>
          <w:tcPr>
            <w:tcW w:w="80" w:type="dxa"/>
            <w:vAlign w:val="bottom"/>
          </w:tcPr>
          <w:p>
            <w:pPr>
              <w:spacing w:after="0"/>
              <w:rPr>
                <w:sz w:val="17"/>
                <w:szCs w:val="17"/>
                <w:color w:val="auto"/>
              </w:rPr>
            </w:pPr>
          </w:p>
        </w:tc>
        <w:tc>
          <w:tcPr>
            <w:tcW w:w="52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122,287</w:t>
            </w:r>
          </w:p>
        </w:tc>
        <w:tc>
          <w:tcPr>
            <w:tcW w:w="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133,341</w:t>
            </w:r>
          </w:p>
        </w:tc>
        <w:tc>
          <w:tcPr>
            <w:tcW w:w="80" w:type="dxa"/>
            <w:vAlign w:val="bottom"/>
          </w:tcPr>
          <w:p>
            <w:pPr>
              <w:spacing w:after="0"/>
              <w:rPr>
                <w:sz w:val="17"/>
                <w:szCs w:val="17"/>
                <w:color w:val="auto"/>
              </w:rPr>
            </w:pPr>
          </w:p>
        </w:tc>
        <w:tc>
          <w:tcPr>
            <w:tcW w:w="5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117,852</w:t>
            </w:r>
          </w:p>
        </w:tc>
        <w:tc>
          <w:tcPr>
            <w:tcW w:w="0" w:type="dxa"/>
            <w:vAlign w:val="bottom"/>
          </w:tcPr>
          <w:p>
            <w:pPr>
              <w:spacing w:after="0"/>
              <w:rPr>
                <w:sz w:val="1"/>
                <w:szCs w:val="1"/>
                <w:color w:val="auto"/>
              </w:rPr>
            </w:pPr>
          </w:p>
        </w:tc>
      </w:tr>
      <w:tr>
        <w:trPr>
          <w:trHeight w:val="164"/>
        </w:trPr>
        <w:tc>
          <w:tcPr>
            <w:tcW w:w="980" w:type="dxa"/>
            <w:vAlign w:val="bottom"/>
            <w:shd w:val="clear" w:color="auto" w:fill="CCEEFF"/>
          </w:tcPr>
          <w:p>
            <w:pPr>
              <w:ind w:left="420"/>
              <w:spacing w:after="0" w:line="165" w:lineRule="exact"/>
              <w:rPr>
                <w:sz w:val="20"/>
                <w:szCs w:val="20"/>
                <w:color w:val="auto"/>
              </w:rPr>
            </w:pPr>
            <w:r>
              <w:rPr>
                <w:rFonts w:ascii="Arial" w:cs="Arial" w:eastAsia="Arial" w:hAnsi="Arial"/>
                <w:sz w:val="16"/>
                <w:szCs w:val="16"/>
                <w:color w:val="auto"/>
              </w:rPr>
              <w:t>British</w:t>
            </w:r>
          </w:p>
        </w:tc>
        <w:tc>
          <w:tcPr>
            <w:tcW w:w="5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57,851</w:t>
            </w:r>
          </w:p>
        </w:tc>
        <w:tc>
          <w:tcPr>
            <w:tcW w:w="5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42,340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49,402</w:t>
            </w:r>
          </w:p>
        </w:tc>
        <w:tc>
          <w:tcPr>
            <w:tcW w:w="6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38,570</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48,307</w:t>
            </w:r>
          </w:p>
        </w:tc>
        <w:tc>
          <w:tcPr>
            <w:tcW w:w="6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37,658</w:t>
            </w: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pounds</w:t>
            </w:r>
          </w:p>
        </w:tc>
        <w:tc>
          <w:tcPr>
            <w:tcW w:w="5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980" w:type="dxa"/>
            <w:vAlign w:val="bottom"/>
          </w:tcPr>
          <w:p>
            <w:pPr>
              <w:ind w:left="420"/>
              <w:spacing w:after="0" w:line="161" w:lineRule="exact"/>
              <w:rPr>
                <w:sz w:val="20"/>
                <w:szCs w:val="20"/>
                <w:color w:val="auto"/>
              </w:rPr>
            </w:pPr>
            <w:r>
              <w:rPr>
                <w:rFonts w:ascii="Arial" w:cs="Arial" w:eastAsia="Arial" w:hAnsi="Arial"/>
                <w:sz w:val="16"/>
                <w:szCs w:val="16"/>
                <w:color w:val="auto"/>
              </w:rPr>
              <w:t>All</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ind w:left="20"/>
              <w:spacing w:after="0" w:line="158" w:lineRule="exact"/>
              <w:rPr>
                <w:sz w:val="20"/>
                <w:szCs w:val="20"/>
                <w:color w:val="auto"/>
              </w:rPr>
            </w:pPr>
            <w:r>
              <w:rPr>
                <w:rFonts w:ascii="Arial" w:cs="Arial" w:eastAsia="Arial" w:hAnsi="Arial"/>
                <w:sz w:val="16"/>
                <w:szCs w:val="16"/>
                <w:color w:val="auto"/>
              </w:rPr>
              <w:t>other non-</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ind w:left="20"/>
              <w:spacing w:after="0" w:line="158" w:lineRule="exact"/>
              <w:rPr>
                <w:sz w:val="20"/>
                <w:szCs w:val="20"/>
                <w:color w:val="auto"/>
              </w:rPr>
            </w:pPr>
            <w:r>
              <w:rPr>
                <w:rFonts w:ascii="Arial" w:cs="Arial" w:eastAsia="Arial" w:hAnsi="Arial"/>
                <w:sz w:val="16"/>
                <w:szCs w:val="16"/>
                <w:color w:val="auto"/>
              </w:rPr>
              <w:t>U.S.</w:t>
            </w:r>
          </w:p>
        </w:tc>
        <w:tc>
          <w:tcPr>
            <w:tcW w:w="50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57,342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49,630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47,471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9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currencies</w:t>
            </w:r>
            <w:r>
              <w:rPr>
                <w:rFonts w:ascii="Arial" w:cs="Arial" w:eastAsia="Arial" w:hAnsi="Arial"/>
                <w:sz w:val="20"/>
                <w:szCs w:val="20"/>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540"/>
              <w:spacing w:after="0" w:line="142" w:lineRule="exact"/>
              <w:rPr>
                <w:sz w:val="20"/>
                <w:szCs w:val="20"/>
                <w:color w:val="auto"/>
              </w:rPr>
            </w:pPr>
            <w:r>
              <w:rPr>
                <w:rFonts w:ascii="Arial" w:cs="Arial" w:eastAsia="Arial" w:hAnsi="Arial"/>
                <w:sz w:val="16"/>
                <w:szCs w:val="16"/>
                <w:color w:val="auto"/>
              </w:rPr>
              <w:t>Total</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8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foreign</w:t>
            </w:r>
          </w:p>
        </w:tc>
        <w:tc>
          <w:tcPr>
            <w:tcW w:w="5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267,483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237,160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229,119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w:t>
            </w:r>
          </w:p>
        </w:tc>
        <w:tc>
          <w:tcPr>
            <w:tcW w:w="5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80" w:type="dxa"/>
            <w:vAlign w:val="bottom"/>
          </w:tcPr>
          <w:p>
            <w:pPr>
              <w:ind w:left="420"/>
              <w:spacing w:after="0"/>
              <w:rPr>
                <w:sz w:val="20"/>
                <w:szCs w:val="20"/>
                <w:color w:val="auto"/>
              </w:rPr>
            </w:pPr>
            <w:r>
              <w:rPr>
                <w:rFonts w:ascii="Arial" w:cs="Arial" w:eastAsia="Arial" w:hAnsi="Arial"/>
                <w:sz w:val="16"/>
                <w:szCs w:val="16"/>
                <w:color w:val="auto"/>
              </w:rPr>
              <w:t>U.S.</w:t>
            </w:r>
          </w:p>
        </w:tc>
        <w:tc>
          <w:tcPr>
            <w:tcW w:w="500" w:type="dxa"/>
            <w:vAlign w:val="bottom"/>
          </w:tcPr>
          <w:p>
            <w:pPr>
              <w:spacing w:after="0"/>
              <w:rPr>
                <w:sz w:val="18"/>
                <w:szCs w:val="18"/>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505,932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429,526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421,404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dollar</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ind w:left="540"/>
              <w:spacing w:after="0" w:line="145" w:lineRule="exact"/>
              <w:rPr>
                <w:sz w:val="20"/>
                <w:szCs w:val="20"/>
                <w:color w:val="auto"/>
              </w:rPr>
            </w:pPr>
            <w:r>
              <w:rPr>
                <w:rFonts w:ascii="Arial" w:cs="Arial" w:eastAsia="Arial" w:hAnsi="Arial"/>
                <w:sz w:val="16"/>
                <w:szCs w:val="16"/>
                <w:color w:val="auto"/>
              </w:rPr>
              <w:t>Total</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773,415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666,686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650,523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8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revenue</w:t>
            </w: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60" w:hanging="544"/>
        <w:spacing w:after="0"/>
        <w:tabs>
          <w:tab w:leader="none" w:pos="1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no single currency which exceeded 5% of total revenue for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35" w:lineRule="exact"/>
        <w:rPr>
          <w:sz w:val="20"/>
          <w:szCs w:val="20"/>
          <w:color w:val="auto"/>
        </w:rPr>
      </w:pPr>
    </w:p>
    <w:p>
      <w:pPr>
        <w:jc w:val="both"/>
        <w:ind w:right="320" w:firstLine="395"/>
        <w:spacing w:after="0" w:line="252"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have any long-term borrowings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9"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11180"/>
          </w:cols>
          <w:pgMar w:left="320" w:top="12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type w:val="continuous"/>
        </w:sectPr>
      </w:pPr>
    </w:p>
    <w:bookmarkStart w:id="60" w:name="page61"/>
    <w:bookmarkEnd w:id="6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54"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F-2 through F-32 of this Annual Report on Form 10-K.</w:t>
      </w: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9"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06" w:lineRule="exact"/>
        <w:rPr>
          <w:sz w:val="20"/>
          <w:szCs w:val="20"/>
          <w:color w:val="auto"/>
        </w:rPr>
      </w:pPr>
    </w:p>
    <w:p>
      <w:pPr>
        <w:ind w:right="380" w:firstLine="395"/>
        <w:spacing w:after="0" w:line="324" w:lineRule="auto"/>
        <w:rPr>
          <w:sz w:val="20"/>
          <w:szCs w:val="20"/>
          <w:color w:val="auto"/>
        </w:rPr>
      </w:pPr>
      <w:r>
        <w:rPr>
          <w:rFonts w:ascii="Arial" w:cs="Arial" w:eastAsia="Arial" w:hAnsi="Arial"/>
          <w:sz w:val="16"/>
          <w:szCs w:val="16"/>
          <w:color w:val="auto"/>
        </w:rPr>
        <w:t>Based on the evaluation of our disclosure controls and procedures as of December 31, 2021, our Chief Executive Officer and Chief Financial Officer concluded that, as of such date, our disclosure controls and procedures were effective at a reasonable assurance level.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9"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124" w:lineRule="exact"/>
        <w:rPr>
          <w:sz w:val="20"/>
          <w:szCs w:val="20"/>
          <w:color w:val="auto"/>
        </w:rPr>
      </w:pPr>
    </w:p>
    <w:p>
      <w:pPr>
        <w:ind w:right="120" w:firstLine="395"/>
        <w:spacing w:after="0" w:line="324" w:lineRule="auto"/>
        <w:rPr>
          <w:sz w:val="20"/>
          <w:szCs w:val="20"/>
          <w:color w:val="auto"/>
        </w:rPr>
      </w:pPr>
      <w:r>
        <w:rPr>
          <w:rFonts w:ascii="Arial" w:cs="Arial" w:eastAsia="Arial" w:hAnsi="Arial"/>
          <w:sz w:val="16"/>
          <w:szCs w:val="16"/>
          <w:color w:val="auto"/>
        </w:rPr>
        <w:t xml:space="preserve">Management assessed our internal control over financial reporting as of December 31, 2021. Management based its assessment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w:t>
      </w:r>
    </w:p>
    <w:p>
      <w:pPr>
        <w:spacing w:after="0" w:line="56"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PicMonkey, LLC, acquired in September 2021, as discussed in Note 3 to the Consolidated Financial Statements. The financial results of this acquisition are included in the consolidated financial statements as of and for the year ended December 31, 2021 and represents approximately 1% of total revenues and less than 1% of total assets.</w:t>
      </w:r>
    </w:p>
    <w:p>
      <w:pPr>
        <w:spacing w:after="0" w:line="128" w:lineRule="exact"/>
        <w:rPr>
          <w:sz w:val="20"/>
          <w:szCs w:val="20"/>
          <w:color w:val="auto"/>
        </w:rPr>
      </w:pPr>
    </w:p>
    <w:p>
      <w:pPr>
        <w:ind w:left="400" w:right="420"/>
        <w:spacing w:after="0" w:line="401" w:lineRule="auto"/>
        <w:rPr>
          <w:sz w:val="20"/>
          <w:szCs w:val="20"/>
          <w:color w:val="auto"/>
        </w:rPr>
      </w:pPr>
      <w:r>
        <w:rPr>
          <w:rFonts w:ascii="Arial" w:cs="Arial" w:eastAsia="Arial" w:hAnsi="Arial"/>
          <w:sz w:val="15"/>
          <w:szCs w:val="15"/>
          <w:color w:val="auto"/>
        </w:rPr>
        <w:t>Based on our assessment, management has concluded that our internal control over financial reporting was effective as of December 31, 2021. PricewaterhouseCoopers LLP, an independent registered public accounting firm (PCAOB ID 238), has audited the consolidated financial statements</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included in this Annual Report on Form 10-K and, as part of the audit, has issued a report on the effectiveness of our internal control over financial reporting as of December 31, 2021, which begins on page F-2 of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9"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2021 that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10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2" w:name="page63"/>
    <w:bookmarkEnd w:id="6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3" w:name="page64"/>
    <w:bookmarkEnd w:id="6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Officers and Corporate Governance</w:t>
      </w:r>
    </w:p>
    <w:p>
      <w:pPr>
        <w:spacing w:after="0" w:line="11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116"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1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1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1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64" w:name="page65"/>
    <w:bookmarkEnd w:id="6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09"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The following documents are included as part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960" w:type="dxa"/>
            <w:vAlign w:val="bottom"/>
            <w:gridSpan w:val="8"/>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Report of Independent Registered Public Accounting Firm</w:t>
              </w:r>
            </w:hyperlink>
          </w:p>
        </w:tc>
        <w:tc>
          <w:tcPr>
            <w:tcW w:w="220" w:type="dxa"/>
            <w:vAlign w:val="bottom"/>
            <w:gridSpan w:val="2"/>
          </w:tcPr>
          <w:p>
            <w:pPr>
              <w:spacing w:after="0"/>
              <w:rPr>
                <w:rFonts w:ascii="Arial" w:cs="Arial" w:eastAsia="Arial" w:hAnsi="Arial"/>
                <w:sz w:val="16"/>
                <w:szCs w:val="16"/>
                <w:color w:val="0000FF"/>
                <w:w w:val="83"/>
              </w:rPr>
            </w:pPr>
            <w:hyperlink w:anchor="page65">
              <w:r>
                <w:rPr>
                  <w:rFonts w:ascii="Arial" w:cs="Arial" w:eastAsia="Arial" w:hAnsi="Arial"/>
                  <w:sz w:val="16"/>
                  <w:szCs w:val="16"/>
                  <w:color w:val="0000FF"/>
                  <w:w w:val="83"/>
                </w:rPr>
                <w:t>F-2</w:t>
              </w:r>
            </w:hyperlink>
          </w:p>
        </w:tc>
      </w:tr>
      <w:tr>
        <w:trPr>
          <w:trHeight w:val="191"/>
        </w:trPr>
        <w:tc>
          <w:tcPr>
            <w:tcW w:w="1840" w:type="dxa"/>
            <w:vAlign w:val="bottom"/>
            <w:tcBorders>
              <w:top w:val="single" w:sz="8" w:color="0000FF"/>
              <w:bottom w:val="single" w:sz="8" w:color="0000FF"/>
            </w:tcBorders>
          </w:tcPr>
          <w:p>
            <w:pPr>
              <w:spacing w:after="0"/>
              <w:rPr>
                <w:rFonts w:ascii="Arial" w:cs="Arial" w:eastAsia="Arial" w:hAnsi="Arial"/>
                <w:sz w:val="16"/>
                <w:szCs w:val="16"/>
                <w:color w:val="0000FF"/>
                <w:w w:val="86"/>
              </w:rPr>
            </w:pPr>
            <w:hyperlink w:anchor="page68">
              <w:r>
                <w:rPr>
                  <w:rFonts w:ascii="Arial" w:cs="Arial" w:eastAsia="Arial" w:hAnsi="Arial"/>
                  <w:sz w:val="16"/>
                  <w:szCs w:val="16"/>
                  <w:color w:val="0000FF"/>
                  <w:w w:val="86"/>
                </w:rPr>
                <w:t>Consolidated Balance Sheets</w:t>
              </w:r>
            </w:hyperlink>
          </w:p>
        </w:tc>
        <w:tc>
          <w:tcPr>
            <w:tcW w:w="1860" w:type="dxa"/>
            <w:vAlign w:val="bottom"/>
            <w:tcBorders>
              <w:top w:val="single" w:sz="8" w:color="0000FF"/>
            </w:tcBorders>
            <w:gridSpan w:val="6"/>
          </w:tcPr>
          <w:p>
            <w:pPr>
              <w:spacing w:after="0"/>
              <w:rPr>
                <w:sz w:val="16"/>
                <w:szCs w:val="16"/>
                <w:color w:val="auto"/>
              </w:rPr>
            </w:pPr>
          </w:p>
        </w:tc>
        <w:tc>
          <w:tcPr>
            <w:tcW w:w="7260" w:type="dxa"/>
            <w:vAlign w:val="bottom"/>
          </w:tcPr>
          <w:p>
            <w:pPr>
              <w:spacing w:after="0"/>
              <w:rPr>
                <w:sz w:val="16"/>
                <w:szCs w:val="16"/>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3"/>
              </w:rPr>
            </w:pPr>
            <w:hyperlink w:anchor="page68">
              <w:r>
                <w:rPr>
                  <w:rFonts w:ascii="Arial" w:cs="Arial" w:eastAsia="Arial" w:hAnsi="Arial"/>
                  <w:sz w:val="16"/>
                  <w:szCs w:val="16"/>
                  <w:color w:val="0000FF"/>
                  <w:w w:val="83"/>
                </w:rPr>
                <w:t>F-4</w:t>
              </w:r>
            </w:hyperlink>
          </w:p>
        </w:tc>
      </w:tr>
      <w:tr>
        <w:trPr>
          <w:trHeight w:val="191"/>
        </w:trPr>
        <w:tc>
          <w:tcPr>
            <w:tcW w:w="248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69">
              <w:r>
                <w:rPr>
                  <w:rFonts w:ascii="Arial" w:cs="Arial" w:eastAsia="Arial" w:hAnsi="Arial"/>
                  <w:sz w:val="16"/>
                  <w:szCs w:val="16"/>
                  <w:color w:val="0000FF"/>
                  <w:w w:val="88"/>
                </w:rPr>
                <w:t>Consolidated Statements of Operations</w:t>
              </w:r>
            </w:hyperlink>
          </w:p>
        </w:tc>
        <w:tc>
          <w:tcPr>
            <w:tcW w:w="8480" w:type="dxa"/>
            <w:vAlign w:val="bottom"/>
            <w:gridSpan w:val="6"/>
          </w:tcPr>
          <w:p>
            <w:pPr>
              <w:spacing w:after="0"/>
              <w:rPr>
                <w:sz w:val="16"/>
                <w:szCs w:val="16"/>
                <w:color w:val="auto"/>
              </w:rPr>
            </w:pPr>
          </w:p>
        </w:tc>
        <w:tc>
          <w:tcPr>
            <w:tcW w:w="220" w:type="dxa"/>
            <w:vAlign w:val="bottom"/>
            <w:tcBorders>
              <w:bottom w:val="single" w:sz="8" w:color="0000FF"/>
            </w:tcBorders>
            <w:gridSpan w:val="2"/>
          </w:tcPr>
          <w:p>
            <w:pPr>
              <w:spacing w:after="0"/>
              <w:rPr>
                <w:rFonts w:ascii="Arial" w:cs="Arial" w:eastAsia="Arial" w:hAnsi="Arial"/>
                <w:sz w:val="16"/>
                <w:szCs w:val="16"/>
                <w:color w:val="0000FF"/>
                <w:w w:val="83"/>
              </w:rPr>
            </w:pPr>
            <w:hyperlink w:anchor="page69">
              <w:r>
                <w:rPr>
                  <w:rFonts w:ascii="Arial" w:cs="Arial" w:eastAsia="Arial" w:hAnsi="Arial"/>
                  <w:sz w:val="16"/>
                  <w:szCs w:val="16"/>
                  <w:color w:val="0000FF"/>
                  <w:w w:val="83"/>
                </w:rPr>
                <w:t>F-5</w:t>
              </w:r>
            </w:hyperlink>
          </w:p>
        </w:tc>
      </w:tr>
      <w:tr>
        <w:trPr>
          <w:trHeight w:val="191"/>
        </w:trPr>
        <w:tc>
          <w:tcPr>
            <w:tcW w:w="10960" w:type="dxa"/>
            <w:vAlign w:val="bottom"/>
            <w:gridSpan w:val="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Consolidated Statements of Comprehensive Income</w:t>
              </w:r>
            </w:hyperlink>
          </w:p>
        </w:tc>
        <w:tc>
          <w:tcPr>
            <w:tcW w:w="220" w:type="dxa"/>
            <w:vAlign w:val="bottom"/>
            <w:gridSpan w:val="2"/>
          </w:tcPr>
          <w:p>
            <w:pPr>
              <w:spacing w:after="0"/>
              <w:rPr>
                <w:rFonts w:ascii="Arial" w:cs="Arial" w:eastAsia="Arial" w:hAnsi="Arial"/>
                <w:sz w:val="16"/>
                <w:szCs w:val="16"/>
                <w:color w:val="0000FF"/>
                <w:w w:val="83"/>
              </w:rPr>
            </w:pPr>
            <w:hyperlink w:anchor="page70">
              <w:r>
                <w:rPr>
                  <w:rFonts w:ascii="Arial" w:cs="Arial" w:eastAsia="Arial" w:hAnsi="Arial"/>
                  <w:sz w:val="16"/>
                  <w:szCs w:val="16"/>
                  <w:color w:val="0000FF"/>
                  <w:w w:val="83"/>
                </w:rPr>
                <w:t>F-6</w:t>
              </w:r>
            </w:hyperlink>
          </w:p>
        </w:tc>
      </w:tr>
      <w:tr>
        <w:trPr>
          <w:trHeight w:val="191"/>
        </w:trPr>
        <w:tc>
          <w:tcPr>
            <w:tcW w:w="31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89"/>
              </w:rPr>
            </w:pPr>
            <w:hyperlink w:anchor="page71">
              <w:r>
                <w:rPr>
                  <w:rFonts w:ascii="Arial" w:cs="Arial" w:eastAsia="Arial" w:hAnsi="Arial"/>
                  <w:sz w:val="16"/>
                  <w:szCs w:val="16"/>
                  <w:color w:val="0000FF"/>
                  <w:w w:val="89"/>
                </w:rPr>
                <w:t>Consolidated Statements of Stockholders’ Equity</w:t>
              </w:r>
            </w:hyperlink>
          </w:p>
        </w:tc>
        <w:tc>
          <w:tcPr>
            <w:tcW w:w="160" w:type="dxa"/>
            <w:vAlign w:val="bottom"/>
            <w:tcBorders>
              <w:top w:val="single" w:sz="8" w:color="0000FF"/>
            </w:tcBorders>
          </w:tcPr>
          <w:p>
            <w:pPr>
              <w:spacing w:after="0"/>
              <w:rPr>
                <w:sz w:val="16"/>
                <w:szCs w:val="16"/>
                <w:color w:val="auto"/>
              </w:rPr>
            </w:pPr>
          </w:p>
        </w:tc>
        <w:tc>
          <w:tcPr>
            <w:tcW w:w="7680" w:type="dxa"/>
            <w:vAlign w:val="bottom"/>
            <w:gridSpan w:val="2"/>
          </w:tcPr>
          <w:p>
            <w:pPr>
              <w:spacing w:after="0"/>
              <w:rPr>
                <w:sz w:val="16"/>
                <w:szCs w:val="16"/>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3"/>
              </w:rPr>
            </w:pPr>
            <w:hyperlink w:anchor="page71">
              <w:r>
                <w:rPr>
                  <w:rFonts w:ascii="Arial" w:cs="Arial" w:eastAsia="Arial" w:hAnsi="Arial"/>
                  <w:sz w:val="16"/>
                  <w:szCs w:val="16"/>
                  <w:color w:val="0000FF"/>
                  <w:w w:val="83"/>
                </w:rPr>
                <w:t>F-7</w:t>
              </w:r>
            </w:hyperlink>
          </w:p>
        </w:tc>
      </w:tr>
      <w:tr>
        <w:trPr>
          <w:trHeight w:val="191"/>
        </w:trPr>
        <w:tc>
          <w:tcPr>
            <w:tcW w:w="10960" w:type="dxa"/>
            <w:vAlign w:val="bottom"/>
            <w:gridSpan w:val="8"/>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Consolidated Statements of Cash Flows</w:t>
              </w:r>
            </w:hyperlink>
          </w:p>
        </w:tc>
        <w:tc>
          <w:tcPr>
            <w:tcW w:w="220" w:type="dxa"/>
            <w:vAlign w:val="bottom"/>
            <w:gridSpan w:val="2"/>
          </w:tcPr>
          <w:p>
            <w:pPr>
              <w:spacing w:after="0"/>
              <w:rPr>
                <w:rFonts w:ascii="Arial" w:cs="Arial" w:eastAsia="Arial" w:hAnsi="Arial"/>
                <w:sz w:val="16"/>
                <w:szCs w:val="16"/>
                <w:color w:val="0000FF"/>
                <w:w w:val="83"/>
              </w:rPr>
            </w:pPr>
            <w:hyperlink w:anchor="page72">
              <w:r>
                <w:rPr>
                  <w:rFonts w:ascii="Arial" w:cs="Arial" w:eastAsia="Arial" w:hAnsi="Arial"/>
                  <w:sz w:val="16"/>
                  <w:szCs w:val="16"/>
                  <w:color w:val="0000FF"/>
                  <w:w w:val="83"/>
                </w:rPr>
                <w:t>F-</w:t>
              </w:r>
            </w:hyperlink>
            <w:r>
              <w:rPr>
                <w:rFonts w:ascii="Arial" w:cs="Arial" w:eastAsia="Arial" w:hAnsi="Arial"/>
                <w:sz w:val="16"/>
                <w:szCs w:val="16"/>
                <w:color w:val="3051F2"/>
                <w:w w:val="83"/>
              </w:rPr>
              <w:t>8</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1"/>
        </w:trPr>
        <w:tc>
          <w:tcPr>
            <w:tcW w:w="10960" w:type="dxa"/>
            <w:vAlign w:val="bottom"/>
            <w:gridSpan w:val="8"/>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Notes to Consolidated Financial Statements</w:t>
              </w:r>
            </w:hyperlink>
          </w:p>
        </w:tc>
        <w:tc>
          <w:tcPr>
            <w:tcW w:w="220" w:type="dxa"/>
            <w:vAlign w:val="bottom"/>
            <w:gridSpan w:val="2"/>
          </w:tcPr>
          <w:p>
            <w:pPr>
              <w:spacing w:after="0"/>
              <w:rPr>
                <w:rFonts w:ascii="Arial" w:cs="Arial" w:eastAsia="Arial" w:hAnsi="Arial"/>
                <w:sz w:val="16"/>
                <w:szCs w:val="16"/>
                <w:color w:val="0000FF"/>
                <w:w w:val="83"/>
              </w:rPr>
            </w:pPr>
            <w:hyperlink w:anchor="page73">
              <w:r>
                <w:rPr>
                  <w:rFonts w:ascii="Arial" w:cs="Arial" w:eastAsia="Arial" w:hAnsi="Arial"/>
                  <w:sz w:val="16"/>
                  <w:szCs w:val="16"/>
                  <w:color w:val="0000FF"/>
                  <w:w w:val="83"/>
                </w:rPr>
                <w:t>F-9</w:t>
              </w:r>
            </w:hyperlink>
          </w:p>
        </w:tc>
      </w:tr>
      <w:tr>
        <w:trPr>
          <w:trHeight w:val="20"/>
        </w:trPr>
        <w:tc>
          <w:tcPr>
            <w:tcW w:w="1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135"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which immediately precedes the signature page of this Annual Report on Form 10-K.</w:t>
      </w:r>
    </w:p>
    <w:p>
      <w:pPr>
        <w:spacing w:after="0" w:line="200" w:lineRule="exact"/>
        <w:rPr>
          <w:sz w:val="20"/>
          <w:szCs w:val="20"/>
          <w:color w:val="auto"/>
        </w:rPr>
      </w:pPr>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824865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5" w:name="page66"/>
    <w:bookmarkEnd w:id="6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Shutterstock,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audited the accompanying consolidated balance sheets of Shutterstock, Inc. and its subsidiaries (the “Company”) as of December 31, 2021 and 2020, and the related consolidated statements of operations, of comprehensive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As described in Management’s Report on Internal Control Over Financial Reporting, management has excluded PicMonkey, LLC (“PicMonkey”) from its assessment of internal control over financial reporting as of December 31, 2021 because it was acquired by the Company in a purchase business combination during 2021. We have also excluded PicMonkey from our audit of internal control over financial reporting. PicMonkey is a wholly-owned subsidiary whose total assets and total revenues excluded from management’s assessment and our audit of internal control over financial reporting represent less than 1% and approximately 1% respectively, of the related consolidated financial statement amounts as of and for the year ended 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6" w:name="page67"/>
    <w:bookmarkEnd w:id="6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2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described in Notes 1 and 8 to the consolidated financial statements, 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For the year ended December 31, 2021, the Company’s total revenue was $773.4 million.</w:t>
      </w:r>
    </w:p>
    <w:p>
      <w:pPr>
        <w:spacing w:after="0" w:line="10"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is a critical audit matter are the significant audit effort in performing procedures and evaluating audit evidence related to content license arrangements and customer download activity.</w:t>
      </w:r>
    </w:p>
    <w:p>
      <w:pPr>
        <w:spacing w:after="0" w:line="1"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accuracy and existence of revenue recognized. These procedures also included, among others, evaluating the completeness, accuracy and existence of revenue recognized on a sample basis by inspecting content license arrangements and evaluating the appropriateness of the revenue recognized based on the terms of each arrangement and customer download activity.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Customer Relationships in the PicMonkey, LLC Acquisition</w:t>
      </w:r>
    </w:p>
    <w:p>
      <w:pPr>
        <w:spacing w:after="0" w:line="5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As described in Note 3 to the consolidated financial statements, on September 3, 2021, the Company completed the acquisition of substantially all of the assets and assumption of certain liabilities from PicMonkey for a contractual purchase price of $109.4 million, which resulted in $28.8 million of a customer relationships intangible asset being recorded. Fair value of the customer relationships intangible asset was determined using a multi-period excess earnings valuation method. Determining the fair value of the customer relationships intangible asset involved the use of significant judgment, including estimates of future revenue growth rates from existing customers, research and development (“R&amp;D”) expense adjustments, sales and marketing (“S&amp;M”) expense adjustments, the discount rate, earnings before interest, taxes, and amortization (“EBITA”) margins and the customer attrition rate.</w:t>
      </w:r>
    </w:p>
    <w:p>
      <w:pPr>
        <w:spacing w:after="0" w:line="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the customer relationships intangible asset acquired in the acquisition of PicMonkey is a critical audit matter are the significant judgment by management when developing the fair value of the customer relationships intangible asset, which in turn led to a high degree of auditor judgment, subjectivity, and effort in performing procedures and evaluating management’s significant assumptions related to future revenue growth rates from existing customers, R&amp;D expense adjustments, S&amp;M expense adjustments, the discount rate, EBITA margins, and the customer attrition rate used in the valuation of the customer relationships intangible asset. In addition, the audit effort involved the use of professionals with specialized skill and knowledge.</w:t>
      </w:r>
    </w:p>
    <w:p>
      <w:pPr>
        <w:spacing w:after="0" w:line="1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of the effectiveness of controls relating to the acquisition accounting, including controls over management’s valuation of the customer relationships intangible asset and controls over the development of significant assumptions related to future revenue growth rates from existing customers, R&amp;D expense adjustments, S&amp;M expense adjustments, the discount rate, EBITA margins, and the customer attrition rate. These procedures also included, among others (i) reading the purchase agreement and (ii) testing management’s process for developing the fair value of the customer relationships intangible asset. Testing management’s process included (i) evaluating the appropriateness of the multi-period excess earnings valuation method; (ii) testing the completeness and accuracy of data provided by management; and (iii) evaluating the reasonableness of significant assumptions related to the future revenue growth rates from existing customers, R&amp;D expense adjustments, S&amp;M expense adjustments, the discount rate, EBITA</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margins, and the customer attrition rate used in the valuation of the customer relationships intangible asset. Evaluating the reasonableness of the significant assumptions related to future revenue growth rates from existing customers, R&amp;D expense adjustments, S&amp;M expense adjustments, EBITA margins, and the customer attrition rate involved considering (i) the past performance of the acquired business; (ii) the consistency with external market and industry data; (iii) and whether the assumptions were consistent with evidence obtained in other areas of the audit. Professionals with specialized skill and knowledge were used to assist in the evaluation of the Company’s multi-period excess earnings valuation method and in the evaluation of the reasonableness of the R&amp;D expense adjustments, S&amp;M expense adjustments, the discount rate, and the customer attrition rate significant assumptions.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68" w:name="page69"/>
    <w:bookmarkEnd w:id="68"/>
    <w:p>
      <w:pPr>
        <w:ind w:left="3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 thousands, except par value amount)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428,574</w:t>
            </w:r>
          </w:p>
        </w:tc>
        <w:tc>
          <w:tcPr>
            <w:tcW w:w="0" w:type="dxa"/>
            <w:vAlign w:val="bottom"/>
          </w:tcPr>
          <w:p>
            <w:pPr>
              <w:spacing w:after="0"/>
              <w:rPr>
                <w:sz w:val="1"/>
                <w:szCs w:val="1"/>
                <w:color w:val="auto"/>
              </w:rPr>
            </w:pPr>
          </w:p>
        </w:tc>
      </w:tr>
      <w:tr>
        <w:trPr>
          <w:trHeight w:val="207"/>
        </w:trPr>
        <w:tc>
          <w:tcPr>
            <w:tcW w:w="8680" w:type="dxa"/>
            <w:vAlign w:val="bottom"/>
          </w:tcPr>
          <w:p>
            <w:pPr>
              <w:ind w:left="340"/>
              <w:spacing w:after="0"/>
              <w:rPr>
                <w:sz w:val="20"/>
                <w:szCs w:val="20"/>
                <w:color w:val="auto"/>
              </w:rPr>
            </w:pPr>
            <w:r>
              <w:rPr>
                <w:rFonts w:ascii="Arial" w:cs="Arial" w:eastAsia="Arial" w:hAnsi="Arial"/>
                <w:sz w:val="16"/>
                <w:szCs w:val="16"/>
                <w:color w:val="auto"/>
              </w:rPr>
              <w:t>Accounts receivable, net of allowance of $1,910 and $4,942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43,846</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16,650</w:t>
            </w:r>
          </w:p>
        </w:tc>
        <w:tc>
          <w:tcPr>
            <w:tcW w:w="0" w:type="dxa"/>
            <w:vAlign w:val="bottom"/>
          </w:tcPr>
          <w:p>
            <w:pPr>
              <w:spacing w:after="0"/>
              <w:rPr>
                <w:sz w:val="1"/>
                <w:szCs w:val="1"/>
                <w:color w:val="auto"/>
              </w:rPr>
            </w:pPr>
          </w:p>
        </w:tc>
      </w:tr>
      <w:tr>
        <w:trPr>
          <w:trHeight w:val="200"/>
        </w:trPr>
        <w:tc>
          <w:tcPr>
            <w:tcW w:w="868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388,215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489,070</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50,906</w:t>
            </w:r>
          </w:p>
        </w:tc>
        <w:tc>
          <w:tcPr>
            <w:tcW w:w="0" w:type="dxa"/>
            <w:vAlign w:val="bottom"/>
          </w:tcPr>
          <w:p>
            <w:pPr>
              <w:spacing w:after="0"/>
              <w:rPr>
                <w:sz w:val="1"/>
                <w:szCs w:val="1"/>
                <w:color w:val="auto"/>
              </w:rPr>
            </w:pPr>
          </w:p>
        </w:tc>
      </w:tr>
      <w:tr>
        <w:trPr>
          <w:trHeight w:val="207"/>
        </w:trPr>
        <w:tc>
          <w:tcPr>
            <w:tcW w:w="8680" w:type="dxa"/>
            <w:vAlign w:val="bottom"/>
          </w:tcPr>
          <w:p>
            <w:pPr>
              <w:ind w:left="22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39,552</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25,765</w:t>
            </w:r>
          </w:p>
        </w:tc>
        <w:tc>
          <w:tcPr>
            <w:tcW w:w="0" w:type="dxa"/>
            <w:vAlign w:val="bottom"/>
          </w:tcPr>
          <w:p>
            <w:pPr>
              <w:spacing w:after="0"/>
              <w:rPr>
                <w:sz w:val="1"/>
                <w:szCs w:val="1"/>
                <w:color w:val="auto"/>
              </w:rPr>
            </w:pPr>
          </w:p>
        </w:tc>
      </w:tr>
      <w:tr>
        <w:trPr>
          <w:trHeight w:val="207"/>
        </w:trPr>
        <w:tc>
          <w:tcPr>
            <w:tcW w:w="86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219,816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89,413</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21,372</w:t>
            </w:r>
          </w:p>
        </w:tc>
        <w:tc>
          <w:tcPr>
            <w:tcW w:w="0" w:type="dxa"/>
            <w:vAlign w:val="bottom"/>
          </w:tcPr>
          <w:p>
            <w:pPr>
              <w:spacing w:after="0"/>
              <w:rPr>
                <w:sz w:val="1"/>
                <w:szCs w:val="1"/>
                <w:color w:val="auto"/>
              </w:rPr>
            </w:pPr>
          </w:p>
        </w:tc>
      </w:tr>
      <w:tr>
        <w:trPr>
          <w:trHeight w:val="232"/>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851,710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729,644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10,092</w:t>
            </w:r>
          </w:p>
        </w:tc>
        <w:tc>
          <w:tcPr>
            <w:tcW w:w="12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67,909</w:t>
            </w:r>
          </w:p>
        </w:tc>
        <w:tc>
          <w:tcPr>
            <w:tcW w:w="0" w:type="dxa"/>
            <w:vAlign w:val="bottom"/>
          </w:tcPr>
          <w:p>
            <w:pPr>
              <w:spacing w:after="0"/>
              <w:rPr>
                <w:sz w:val="1"/>
                <w:szCs w:val="1"/>
                <w:color w:val="auto"/>
              </w:rPr>
            </w:pPr>
          </w:p>
        </w:tc>
      </w:tr>
      <w:tr>
        <w:trPr>
          <w:trHeight w:val="207"/>
        </w:trPr>
        <w:tc>
          <w:tcPr>
            <w:tcW w:w="8680" w:type="dxa"/>
            <w:vAlign w:val="bottom"/>
          </w:tcPr>
          <w:p>
            <w:pPr>
              <w:ind w:left="340"/>
              <w:spacing w:after="0"/>
              <w:rPr>
                <w:sz w:val="20"/>
                <w:szCs w:val="20"/>
                <w:color w:val="auto"/>
              </w:rPr>
            </w:pPr>
            <w:r>
              <w:rPr>
                <w:rFonts w:ascii="Arial" w:cs="Arial" w:eastAsia="Arial" w:hAnsi="Arial"/>
                <w:sz w:val="16"/>
                <w:szCs w:val="16"/>
                <w:color w:val="auto"/>
              </w:rPr>
              <w:t>Contributor royalties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26,336</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180,979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149,843</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256,929</w:t>
            </w:r>
          </w:p>
        </w:tc>
        <w:tc>
          <w:tcPr>
            <w:tcW w:w="0" w:type="dxa"/>
            <w:vAlign w:val="bottom"/>
          </w:tcPr>
          <w:p>
            <w:pPr>
              <w:spacing w:after="0"/>
              <w:rPr>
                <w:sz w:val="1"/>
                <w:szCs w:val="1"/>
                <w:color w:val="auto"/>
              </w:rPr>
            </w:pPr>
          </w:p>
        </w:tc>
      </w:tr>
      <w:tr>
        <w:trPr>
          <w:trHeight w:val="207"/>
        </w:trPr>
        <w:tc>
          <w:tcPr>
            <w:tcW w:w="868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9,170</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383,228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307,719</w:t>
            </w:r>
          </w:p>
        </w:tc>
        <w:tc>
          <w:tcPr>
            <w:tcW w:w="0" w:type="dxa"/>
            <w:vAlign w:val="bottom"/>
          </w:tcPr>
          <w:p>
            <w:pPr>
              <w:spacing w:after="0"/>
              <w:rPr>
                <w:sz w:val="1"/>
                <w:szCs w:val="1"/>
                <w:color w:val="auto"/>
              </w:rPr>
            </w:pPr>
          </w:p>
        </w:tc>
      </w:tr>
      <w:tr>
        <w:trPr>
          <w:trHeight w:val="197"/>
        </w:trPr>
        <w:tc>
          <w:tcPr>
            <w:tcW w:w="86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680" w:type="dxa"/>
            <w:vAlign w:val="bottom"/>
          </w:tcPr>
          <w:p>
            <w:pPr>
              <w:ind w:left="220"/>
              <w:spacing w:after="0" w:line="161" w:lineRule="exact"/>
              <w:rPr>
                <w:sz w:val="20"/>
                <w:szCs w:val="20"/>
                <w:color w:val="auto"/>
              </w:rPr>
            </w:pPr>
            <w:r>
              <w:rPr>
                <w:rFonts w:ascii="Arial" w:cs="Arial" w:eastAsia="Arial" w:hAnsi="Arial"/>
                <w:sz w:val="16"/>
                <w:szCs w:val="16"/>
                <w:color w:val="auto"/>
                <w:w w:val="94"/>
              </w:rPr>
              <w:t>Common stock, $0.01 par value; 200,000 shares authorized; 39,209 and 38,803 shares issued and 36,417 and 36,245 shares</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4"/>
        </w:trPr>
        <w:tc>
          <w:tcPr>
            <w:tcW w:w="8680" w:type="dxa"/>
            <w:vAlign w:val="bottom"/>
          </w:tcPr>
          <w:p>
            <w:pPr>
              <w:ind w:left="220"/>
              <w:spacing w:after="0"/>
              <w:rPr>
                <w:sz w:val="20"/>
                <w:szCs w:val="20"/>
                <w:color w:val="auto"/>
              </w:rPr>
            </w:pPr>
            <w:r>
              <w:rPr>
                <w:rFonts w:ascii="Arial" w:cs="Arial" w:eastAsia="Arial" w:hAnsi="Arial"/>
                <w:sz w:val="16"/>
                <w:szCs w:val="16"/>
                <w:color w:val="auto"/>
              </w:rPr>
              <w:t>outstanding as of December 31, 2021 and December 31, 2020, respectively</w:t>
            </w: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360,939</w:t>
            </w:r>
          </w:p>
        </w:tc>
        <w:tc>
          <w:tcPr>
            <w:tcW w:w="0" w:type="dxa"/>
            <w:vAlign w:val="bottom"/>
          </w:tcPr>
          <w:p>
            <w:pPr>
              <w:spacing w:after="0"/>
              <w:rPr>
                <w:sz w:val="1"/>
                <w:szCs w:val="1"/>
                <w:color w:val="auto"/>
              </w:rPr>
            </w:pPr>
          </w:p>
        </w:tc>
      </w:tr>
      <w:tr>
        <w:trPr>
          <w:trHeight w:val="207"/>
        </w:trPr>
        <w:tc>
          <w:tcPr>
            <w:tcW w:w="8680" w:type="dxa"/>
            <w:vAlign w:val="bottom"/>
          </w:tcPr>
          <w:p>
            <w:pPr>
              <w:ind w:left="220"/>
              <w:spacing w:after="0"/>
              <w:rPr>
                <w:sz w:val="20"/>
                <w:szCs w:val="20"/>
                <w:color w:val="auto"/>
              </w:rPr>
            </w:pPr>
            <w:r>
              <w:rPr>
                <w:rFonts w:ascii="Arial" w:cs="Arial" w:eastAsia="Arial" w:hAnsi="Arial"/>
                <w:sz w:val="16"/>
                <w:szCs w:val="16"/>
                <w:color w:val="auto"/>
              </w:rPr>
              <w:t>Treasury stock, at cost; 2,792 and 2,558 shares as of December 31, 2021 and December 31, 2020, respectively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(127,196)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(100,027)</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229,537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168,305</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468,482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421,925</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851,710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729,644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69" w:name="page70"/>
    <w:bookmarkEnd w:id="69"/>
    <w:p>
      <w:pPr>
        <w:ind w:left="3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773,415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666,686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650,523</w:t>
            </w:r>
          </w:p>
        </w:tc>
      </w:tr>
      <w:tr>
        <w:trPr>
          <w:trHeight w:val="207"/>
        </w:trPr>
        <w:tc>
          <w:tcPr>
            <w:tcW w:w="738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277,659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259,573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278,176</w:t>
            </w:r>
          </w:p>
        </w:tc>
      </w:tr>
      <w:tr>
        <w:trPr>
          <w:trHeight w:val="207"/>
        </w:trPr>
        <w:tc>
          <w:tcPr>
            <w:tcW w:w="738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204,878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159,241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181,730</w:t>
            </w:r>
          </w:p>
        </w:tc>
      </w:tr>
      <w:tr>
        <w:trPr>
          <w:trHeight w:val="214"/>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57,216</w:t>
            </w:r>
          </w:p>
        </w:tc>
      </w:tr>
      <w:tr>
        <w:trPr>
          <w:trHeight w:val="207"/>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130,758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116,568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113,246</w:t>
            </w:r>
          </w:p>
        </w:tc>
      </w:tr>
      <w:tr>
        <w:trPr>
          <w:trHeight w:val="207"/>
        </w:trPr>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665,309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581,420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630,368</w:t>
            </w:r>
          </w:p>
        </w:tc>
      </w:tr>
      <w:tr>
        <w:trPr>
          <w:trHeight w:val="200"/>
        </w:trPr>
        <w:tc>
          <w:tcPr>
            <w:tcW w:w="7380" w:type="dxa"/>
            <w:vAlign w:val="bottom"/>
          </w:tcPr>
          <w:p>
            <w:pPr>
              <w:ind w:left="120"/>
              <w:spacing w:after="0"/>
              <w:rPr>
                <w:sz w:val="20"/>
                <w:szCs w:val="20"/>
                <w:color w:val="auto"/>
              </w:rPr>
            </w:pPr>
            <w:r>
              <w:rPr>
                <w:rFonts w:ascii="Arial" w:cs="Arial" w:eastAsia="Arial" w:hAnsi="Arial"/>
                <w:sz w:val="16"/>
                <w:szCs w:val="16"/>
                <w:color w:val="auto"/>
              </w:rPr>
              <w:t>Income from operations</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108,106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85,266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20,155</w:t>
            </w:r>
          </w:p>
        </w:tc>
      </w:tr>
      <w:tr>
        <w:trPr>
          <w:trHeight w:val="214"/>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 / 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r>
      <w:tr>
        <w:trPr>
          <w:trHeight w:val="200"/>
        </w:trPr>
        <w:tc>
          <w:tcPr>
            <w:tcW w:w="7380" w:type="dxa"/>
            <w:vAlign w:val="bottom"/>
          </w:tcPr>
          <w:p>
            <w:pPr>
              <w:ind w:left="320"/>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104,736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89,523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24,916</w:t>
            </w:r>
          </w:p>
        </w:tc>
      </w:tr>
      <w:tr>
        <w:trPr>
          <w:trHeight w:val="214"/>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4,808</w:t>
            </w:r>
          </w:p>
        </w:tc>
      </w:tr>
      <w:tr>
        <w:trPr>
          <w:trHeight w:val="177"/>
        </w:trPr>
        <w:tc>
          <w:tcPr>
            <w:tcW w:w="7380" w:type="dxa"/>
            <w:vAlign w:val="bottom"/>
          </w:tcPr>
          <w:p>
            <w:pPr>
              <w:ind w:left="320"/>
              <w:spacing w:after="0" w:line="178" w:lineRule="exact"/>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91,883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71,766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20,108</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9"/>
        </w:trPr>
        <w:tc>
          <w:tcPr>
            <w:tcW w:w="7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6"/>
                <w:szCs w:val="16"/>
                <w:color w:val="auto"/>
              </w:rPr>
              <w:t>Earnings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738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738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36,509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35,844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35,285</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37,324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36,369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35,581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70" w:name="page71"/>
    <w:bookmarkEnd w:id="70"/>
    <w:p>
      <w:pPr>
        <w:ind w:left="3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8"/>
              </w:rPr>
              <w:t>91,883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8"/>
              </w:rPr>
              <w:t>71,766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r>
      <w:tr>
        <w:trPr>
          <w:trHeight w:val="207"/>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 currency translation (loss) / gain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4"/>
              </w:rPr>
              <w:t>(3,107)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4"/>
              </w:rPr>
              <w:t>(1,461)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 income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4"/>
              </w:rPr>
              <w:t>(3,107)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4"/>
              </w:rPr>
              <w:t>(1,461)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7"/>
        </w:trPr>
        <w:tc>
          <w:tcPr>
            <w:tcW w:w="7380" w:type="dxa"/>
            <w:vAlign w:val="bottom"/>
          </w:tcPr>
          <w:p>
            <w:pPr>
              <w:spacing w:after="0"/>
              <w:rPr>
                <w:sz w:val="20"/>
                <w:szCs w:val="20"/>
                <w:color w:val="auto"/>
              </w:rPr>
            </w:pPr>
            <w:r>
              <w:rPr>
                <w:rFonts w:ascii="Arial" w:cs="Arial" w:eastAsia="Arial" w:hAnsi="Arial"/>
                <w:sz w:val="16"/>
                <w:szCs w:val="16"/>
                <w:color w:val="auto"/>
              </w:rPr>
              <w:t>Comprehensive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8"/>
              </w:rPr>
              <w:t>88,776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8"/>
              </w:rPr>
              <w:t>70,305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20,359</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60" w:type="dxa"/>
            <w:vAlign w:val="bottom"/>
          </w:tcPr>
          <w:p>
            <w:pPr>
              <w:spacing w:after="0"/>
              <w:rPr>
                <w:sz w:val="10"/>
                <w:szCs w:val="10"/>
                <w:color w:val="auto"/>
              </w:rPr>
            </w:pPr>
          </w:p>
        </w:tc>
        <w:tc>
          <w:tcPr>
            <w:tcW w:w="1560" w:type="dxa"/>
            <w:vAlign w:val="bottom"/>
            <w:gridSpan w:val="5"/>
          </w:tcPr>
          <w:p>
            <w:pPr>
              <w:ind w:left="380"/>
              <w:spacing w:after="0" w:line="119" w:lineRule="exact"/>
              <w:rPr>
                <w:sz w:val="20"/>
                <w:szCs w:val="20"/>
                <w:color w:val="auto"/>
              </w:rPr>
            </w:pPr>
            <w:r>
              <w:rPr>
                <w:rFonts w:ascii="Arial" w:cs="Arial" w:eastAsia="Arial" w:hAnsi="Arial"/>
                <w:sz w:val="11"/>
                <w:szCs w:val="11"/>
                <w:b w:val="1"/>
                <w:bCs w:val="1"/>
                <w:color w:val="auto"/>
              </w:rPr>
              <w:t>Common Stock</w:t>
            </w:r>
          </w:p>
        </w:tc>
        <w:tc>
          <w:tcPr>
            <w:tcW w:w="1580" w:type="dxa"/>
            <w:vAlign w:val="bottom"/>
            <w:gridSpan w:val="4"/>
          </w:tcPr>
          <w:p>
            <w:pPr>
              <w:ind w:left="400"/>
              <w:spacing w:after="0" w:line="119"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89"/>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86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68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Retained</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1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3"/>
                <w:szCs w:val="13"/>
                <w:color w:val="auto"/>
              </w:rPr>
            </w:pPr>
          </w:p>
        </w:tc>
        <w:tc>
          <w:tcPr>
            <w:tcW w:w="580" w:type="dxa"/>
            <w:vAlign w:val="bottom"/>
          </w:tcPr>
          <w:p>
            <w:pPr>
              <w:jc w:val="right"/>
              <w:ind w:right="1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(100,027)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101,079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286,667</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22,815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22,815</w:t>
            </w:r>
          </w:p>
        </w:tc>
        <w:tc>
          <w:tcPr>
            <w:tcW w:w="0" w:type="dxa"/>
            <w:vAlign w:val="bottom"/>
          </w:tcPr>
          <w:p>
            <w:pPr>
              <w:spacing w:after="0"/>
              <w:rPr>
                <w:sz w:val="1"/>
                <w:szCs w:val="1"/>
                <w:color w:val="auto"/>
              </w:rPr>
            </w:pPr>
          </w:p>
        </w:tc>
      </w:tr>
      <w:tr>
        <w:trPr>
          <w:trHeight w:val="134"/>
        </w:trPr>
        <w:tc>
          <w:tcPr>
            <w:tcW w:w="40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1"/>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5,365</w:t>
            </w: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60" w:type="dxa"/>
            <w:vAlign w:val="bottom"/>
          </w:tcPr>
          <w:p>
            <w:pPr>
              <w:ind w:left="140"/>
              <w:spacing w:after="0" w:line="132" w:lineRule="exact"/>
              <w:rPr>
                <w:sz w:val="20"/>
                <w:szCs w:val="20"/>
                <w:color w:val="auto"/>
              </w:rPr>
            </w:pPr>
            <w:r>
              <w:rPr>
                <w:rFonts w:ascii="Arial" w:cs="Arial" w:eastAsia="Arial" w:hAnsi="Arial"/>
                <w:sz w:val="14"/>
                <w:szCs w:val="14"/>
                <w:color w:val="auto"/>
                <w:w w:val="94"/>
              </w:rPr>
              <w:t>Common shares withheld for settlement of taxes in connection with</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(7,061)</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8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121,187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328,145</w:t>
            </w:r>
          </w:p>
        </w:tc>
        <w:tc>
          <w:tcPr>
            <w:tcW w:w="0" w:type="dxa"/>
            <w:vAlign w:val="bottom"/>
          </w:tcPr>
          <w:p>
            <w:pPr>
              <w:spacing w:after="0"/>
              <w:rPr>
                <w:sz w:val="1"/>
                <w:szCs w:val="1"/>
                <w:color w:val="auto"/>
              </w:rPr>
            </w:pPr>
          </w:p>
        </w:tc>
      </w:tr>
      <w:tr>
        <w:trPr>
          <w:trHeight w:val="187"/>
        </w:trPr>
        <w:tc>
          <w:tcPr>
            <w:tcW w:w="4060" w:type="dxa"/>
            <w:vAlign w:val="bottom"/>
          </w:tcPr>
          <w:p>
            <w:pPr>
              <w:ind w:left="20"/>
              <w:spacing w:after="0"/>
              <w:rPr>
                <w:sz w:val="20"/>
                <w:szCs w:val="20"/>
                <w:color w:val="auto"/>
              </w:rPr>
            </w:pPr>
            <w:r>
              <w:rPr>
                <w:rFonts w:ascii="Arial" w:cs="Arial" w:eastAsia="Arial" w:hAnsi="Arial"/>
                <w:sz w:val="14"/>
                <w:szCs w:val="14"/>
                <w:color w:val="auto"/>
              </w:rPr>
              <w:t>Cumulative effect of accounting change (See Note 1)</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120,940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327,898</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28,309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28,309</w:t>
            </w:r>
          </w:p>
        </w:tc>
        <w:tc>
          <w:tcPr>
            <w:tcW w:w="0" w:type="dxa"/>
            <w:vAlign w:val="bottom"/>
          </w:tcPr>
          <w:p>
            <w:pPr>
              <w:spacing w:after="0"/>
              <w:rPr>
                <w:sz w:val="1"/>
                <w:szCs w:val="1"/>
                <w:color w:val="auto"/>
              </w:rPr>
            </w:pPr>
          </w:p>
        </w:tc>
      </w:tr>
      <w:tr>
        <w:trPr>
          <w:trHeight w:val="18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net of issuance costs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23,153</w:t>
            </w:r>
          </w:p>
        </w:tc>
        <w:tc>
          <w:tcPr>
            <w:tcW w:w="0" w:type="dxa"/>
            <w:vAlign w:val="bottom"/>
          </w:tcPr>
          <w:p>
            <w:pPr>
              <w:spacing w:after="0"/>
              <w:rPr>
                <w:sz w:val="1"/>
                <w:szCs w:val="1"/>
                <w:color w:val="auto"/>
              </w:rPr>
            </w:pPr>
          </w:p>
        </w:tc>
      </w:tr>
      <w:tr>
        <w:trPr>
          <w:trHeight w:val="132"/>
        </w:trPr>
        <w:tc>
          <w:tcPr>
            <w:tcW w:w="4060" w:type="dxa"/>
            <w:vAlign w:val="bottom"/>
          </w:tcPr>
          <w:p>
            <w:pPr>
              <w:ind w:left="140"/>
              <w:spacing w:after="0" w:line="132" w:lineRule="exact"/>
              <w:rPr>
                <w:sz w:val="20"/>
                <w:szCs w:val="20"/>
                <w:color w:val="auto"/>
              </w:rPr>
            </w:pPr>
            <w:r>
              <w:rPr>
                <w:rFonts w:ascii="Arial" w:cs="Arial" w:eastAsia="Arial" w:hAnsi="Arial"/>
                <w:sz w:val="14"/>
                <w:szCs w:val="14"/>
                <w:color w:val="auto"/>
                <w:w w:val="91"/>
              </w:rPr>
              <w:t>Issuance of common stock in connection with employee stock option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exercises and RSU vesting</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4"/>
              </w:rPr>
              <w:t>Common shares withheld for settlement of taxes in connection with</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(24,401)</w:t>
            </w:r>
          </w:p>
        </w:tc>
        <w:tc>
          <w:tcPr>
            <w:tcW w:w="0" w:type="dxa"/>
            <w:vAlign w:val="bottom"/>
          </w:tcPr>
          <w:p>
            <w:pPr>
              <w:spacing w:after="0"/>
              <w:rPr>
                <w:sz w:val="1"/>
                <w:szCs w:val="1"/>
                <w:color w:val="auto"/>
              </w:rPr>
            </w:pPr>
          </w:p>
        </w:tc>
      </w:tr>
      <w:tr>
        <w:trPr>
          <w:trHeight w:val="18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71,766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71,766</w:t>
            </w:r>
          </w:p>
        </w:tc>
        <w:tc>
          <w:tcPr>
            <w:tcW w:w="0" w:type="dxa"/>
            <w:vAlign w:val="bottom"/>
          </w:tcPr>
          <w:p>
            <w:pPr>
              <w:spacing w:after="0"/>
              <w:rPr>
                <w:sz w:val="1"/>
                <w:szCs w:val="1"/>
                <w:color w:val="auto"/>
              </w:rPr>
            </w:pPr>
          </w:p>
        </w:tc>
      </w:tr>
      <w:tr>
        <w:trPr>
          <w:trHeight w:val="18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360,939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168,305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421,925</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36,179</w:t>
            </w:r>
          </w:p>
        </w:tc>
        <w:tc>
          <w:tcPr>
            <w:tcW w:w="0" w:type="dxa"/>
            <w:vAlign w:val="bottom"/>
          </w:tcPr>
          <w:p>
            <w:pPr>
              <w:spacing w:after="0"/>
              <w:rPr>
                <w:sz w:val="1"/>
                <w:szCs w:val="1"/>
                <w:color w:val="auto"/>
              </w:rPr>
            </w:pPr>
          </w:p>
        </w:tc>
      </w:tr>
      <w:tr>
        <w:trPr>
          <w:trHeight w:val="134"/>
        </w:trPr>
        <w:tc>
          <w:tcPr>
            <w:tcW w:w="40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1"/>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60" w:type="dxa"/>
            <w:vAlign w:val="bottom"/>
          </w:tcPr>
          <w:p>
            <w:pPr>
              <w:ind w:left="140"/>
              <w:spacing w:after="0" w:line="132" w:lineRule="exact"/>
              <w:rPr>
                <w:sz w:val="20"/>
                <w:szCs w:val="20"/>
                <w:color w:val="auto"/>
              </w:rPr>
            </w:pPr>
            <w:r>
              <w:rPr>
                <w:rFonts w:ascii="Arial" w:cs="Arial" w:eastAsia="Arial" w:hAnsi="Arial"/>
                <w:sz w:val="14"/>
                <w:szCs w:val="14"/>
                <w:color w:val="auto"/>
                <w:w w:val="94"/>
              </w:rPr>
              <w:t>Common shares withheld for settlement of taxes in connection with</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(22,722)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(22,726)</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(27,169)</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(30,651)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(30,651)</w:t>
            </w:r>
          </w:p>
        </w:tc>
        <w:tc>
          <w:tcPr>
            <w:tcW w:w="0" w:type="dxa"/>
            <w:vAlign w:val="bottom"/>
          </w:tcPr>
          <w:p>
            <w:pPr>
              <w:spacing w:after="0"/>
              <w:rPr>
                <w:sz w:val="1"/>
                <w:szCs w:val="1"/>
                <w:color w:val="auto"/>
              </w:rPr>
            </w:pPr>
          </w:p>
        </w:tc>
      </w:tr>
      <w:tr>
        <w:trPr>
          <w:trHeight w:val="18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91,883</w:t>
            </w:r>
          </w:p>
        </w:tc>
        <w:tc>
          <w:tcPr>
            <w:tcW w:w="0" w:type="dxa"/>
            <w:vAlign w:val="bottom"/>
          </w:tcPr>
          <w:p>
            <w:pPr>
              <w:spacing w:after="0"/>
              <w:rPr>
                <w:sz w:val="1"/>
                <w:szCs w:val="1"/>
                <w:color w:val="auto"/>
              </w:rPr>
            </w:pPr>
          </w:p>
        </w:tc>
      </w:tr>
      <w:tr>
        <w:trPr>
          <w:trHeight w:val="205"/>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(127,196)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229,537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468,482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130810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20"/>
          </w:cols>
          <w:pgMar w:left="720" w:top="127" w:right="759" w:bottom="1440" w:gutter="0" w:footer="0" w:header="0"/>
        </w:sectPr>
      </w:pPr>
    </w:p>
    <w:bookmarkStart w:id="72" w:name="page73"/>
    <w:bookmarkEnd w:id="72"/>
    <w:p>
      <w:pPr>
        <w:ind w:left="3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178"/>
        </w:trPr>
        <w:tc>
          <w:tcPr>
            <w:tcW w:w="7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91,883</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71,766</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20,108</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738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48,771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49,915</w:t>
            </w:r>
          </w:p>
        </w:tc>
      </w:tr>
      <w:tr>
        <w:trPr>
          <w:trHeight w:val="187"/>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r>
      <w:tr>
        <w:trPr>
          <w:trHeight w:val="182"/>
        </w:trPr>
        <w:tc>
          <w:tcPr>
            <w:tcW w:w="7380" w:type="dxa"/>
            <w:vAlign w:val="bottom"/>
          </w:tcPr>
          <w:p>
            <w:pPr>
              <w:ind w:left="200"/>
              <w:spacing w:after="0"/>
              <w:rPr>
                <w:sz w:val="20"/>
                <w:szCs w:val="20"/>
                <w:color w:val="auto"/>
              </w:rPr>
            </w:pPr>
            <w:r>
              <w:rPr>
                <w:rFonts w:ascii="Arial" w:cs="Arial" w:eastAsia="Arial" w:hAnsi="Arial"/>
                <w:sz w:val="14"/>
                <w:szCs w:val="14"/>
                <w:color w:val="auto"/>
              </w:rPr>
              <w:t>Non-cash equity-based compensation</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36,179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22,815</w:t>
            </w:r>
          </w:p>
        </w:tc>
      </w:tr>
      <w:tr>
        <w:trPr>
          <w:trHeight w:val="187"/>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Bad debt expense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7"/>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w:t>
            </w:r>
          </w:p>
        </w:tc>
      </w:tr>
      <w:tr>
        <w:trPr>
          <w:trHeight w:val="182"/>
        </w:trPr>
        <w:tc>
          <w:tcPr>
            <w:tcW w:w="7380" w:type="dxa"/>
            <w:vAlign w:val="bottom"/>
          </w:tcPr>
          <w:p>
            <w:pPr>
              <w:ind w:left="200"/>
              <w:spacing w:after="0"/>
              <w:rPr>
                <w:sz w:val="20"/>
                <w:szCs w:val="20"/>
                <w:color w:val="auto"/>
              </w:rPr>
            </w:pPr>
            <w:r>
              <w:rPr>
                <w:rFonts w:ascii="Arial" w:cs="Arial" w:eastAsia="Arial" w:hAnsi="Arial"/>
                <w:sz w:val="14"/>
                <w:szCs w:val="14"/>
                <w:color w:val="auto"/>
              </w:rPr>
              <w:t>Prepaid expenses and other current and non-current assets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4,246</w:t>
            </w:r>
          </w:p>
        </w:tc>
      </w:tr>
      <w:tr>
        <w:trPr>
          <w:trHeight w:val="187"/>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 and other current and non-current liabilities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34,444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8,360</w:t>
            </w:r>
          </w:p>
        </w:tc>
      </w:tr>
      <w:tr>
        <w:trPr>
          <w:trHeight w:val="182"/>
        </w:trPr>
        <w:tc>
          <w:tcPr>
            <w:tcW w:w="7380" w:type="dxa"/>
            <w:vAlign w:val="bottom"/>
          </w:tcPr>
          <w:p>
            <w:pPr>
              <w:ind w:left="200"/>
              <w:spacing w:after="0"/>
              <w:rPr>
                <w:sz w:val="20"/>
                <w:szCs w:val="20"/>
                <w:color w:val="auto"/>
              </w:rPr>
            </w:pPr>
            <w:r>
              <w:rPr>
                <w:rFonts w:ascii="Arial" w:cs="Arial" w:eastAsia="Arial" w:hAnsi="Arial"/>
                <w:sz w:val="14"/>
                <w:szCs w:val="14"/>
                <w:color w:val="auto"/>
              </w:rPr>
              <w:t>Long-term incentives related to acquisitions</w:t>
            </w:r>
          </w:p>
        </w:tc>
        <w:tc>
          <w:tcPr>
            <w:tcW w:w="2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Contributor royalties payable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w:t>
            </w:r>
          </w:p>
        </w:tc>
      </w:tr>
      <w:tr>
        <w:trPr>
          <w:trHeight w:val="182"/>
        </w:trPr>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23,108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w:t>
            </w:r>
          </w:p>
        </w:tc>
      </w:tr>
      <w:tr>
        <w:trPr>
          <w:trHeight w:val="177"/>
        </w:trPr>
        <w:tc>
          <w:tcPr>
            <w:tcW w:w="7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216,372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165,072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102,646</w:t>
            </w:r>
          </w:p>
        </w:tc>
      </w:tr>
      <w:tr>
        <w:trPr>
          <w:trHeight w:val="127"/>
        </w:trPr>
        <w:tc>
          <w:tcPr>
            <w:tcW w:w="7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4"/>
        </w:trPr>
        <w:tc>
          <w:tcPr>
            <w:tcW w:w="7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(26,081)</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combination, net of cash acquired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(181,609)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Asset acquisitions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Webdam, net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Long term investments</w:t>
            </w:r>
          </w:p>
        </w:tc>
        <w:tc>
          <w:tcPr>
            <w:tcW w:w="2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content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w:t>
            </w:r>
          </w:p>
        </w:tc>
      </w:tr>
      <w:tr>
        <w:trPr>
          <w:trHeight w:val="182"/>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Security deposit release / (payment)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177"/>
        </w:trPr>
        <w:tc>
          <w:tcPr>
            <w:tcW w:w="7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(27,234)</w:t>
            </w:r>
          </w:p>
        </w:tc>
      </w:tr>
      <w:tr>
        <w:trPr>
          <w:trHeight w:val="127"/>
        </w:trPr>
        <w:tc>
          <w:tcPr>
            <w:tcW w:w="7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4"/>
        </w:trPr>
        <w:tc>
          <w:tcPr>
            <w:tcW w:w="7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Net proceeds from issuance of common stock</w:t>
            </w:r>
          </w:p>
        </w:tc>
        <w:tc>
          <w:tcPr>
            <w:tcW w:w="2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w:t>
            </w: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Cash paid related to settlement of employee taxes related to RSU vesting</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(7,061)</w:t>
            </w:r>
          </w:p>
        </w:tc>
      </w:tr>
      <w:tr>
        <w:trPr>
          <w:trHeight w:val="187"/>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cash dividends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Repurchase of treasury shares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73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w:t>
            </w:r>
          </w:p>
        </w:tc>
      </w:tr>
      <w:tr>
        <w:trPr>
          <w:trHeight w:val="88"/>
        </w:trPr>
        <w:tc>
          <w:tcPr>
            <w:tcW w:w="7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84"/>
        </w:trPr>
        <w:tc>
          <w:tcPr>
            <w:tcW w:w="73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Effect of foreign exchange rate changes on cash</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r>
      <w:tr>
        <w:trPr>
          <w:trHeight w:val="175"/>
        </w:trPr>
        <w:tc>
          <w:tcPr>
            <w:tcW w:w="7380" w:type="dxa"/>
            <w:vAlign w:val="bottom"/>
          </w:tcPr>
          <w:p>
            <w:pPr>
              <w:ind w:left="440"/>
              <w:spacing w:after="0"/>
              <w:rPr>
                <w:sz w:val="20"/>
                <w:szCs w:val="20"/>
                <w:color w:val="auto"/>
              </w:rPr>
            </w:pPr>
            <w:r>
              <w:rPr>
                <w:rFonts w:ascii="Arial" w:cs="Arial" w:eastAsia="Arial" w:hAnsi="Arial"/>
                <w:sz w:val="14"/>
                <w:szCs w:val="14"/>
                <w:color w:val="auto"/>
              </w:rPr>
              <w:t>Net (decrease) / increase in cash, cash equivalents and restricted cash</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(114,557)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122,700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72,409</w:t>
            </w:r>
          </w:p>
        </w:tc>
      </w:tr>
      <w:tr>
        <w:trPr>
          <w:trHeight w:val="184"/>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428,574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305,874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233,465</w:t>
            </w:r>
          </w:p>
        </w:tc>
      </w:tr>
      <w:tr>
        <w:trPr>
          <w:trHeight w:val="180"/>
        </w:trPr>
        <w:tc>
          <w:tcPr>
            <w:tcW w:w="7380" w:type="dxa"/>
            <w:vAlign w:val="bottom"/>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314,017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428,574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305,874</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4"/>
        </w:trPr>
        <w:tc>
          <w:tcPr>
            <w:tcW w:w="7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84"/>
        </w:trPr>
        <w:tc>
          <w:tcPr>
            <w:tcW w:w="7380" w:type="dxa"/>
            <w:vAlign w:val="bottom"/>
          </w:tcPr>
          <w:p>
            <w:pPr>
              <w:spacing w:after="0"/>
              <w:rPr>
                <w:sz w:val="20"/>
                <w:szCs w:val="20"/>
                <w:color w:val="auto"/>
              </w:rPr>
            </w:pPr>
            <w:r>
              <w:rPr>
                <w:rFonts w:ascii="Arial" w:cs="Arial" w:eastAsia="Arial" w:hAnsi="Arial"/>
                <w:sz w:val="14"/>
                <w:szCs w:val="14"/>
                <w:b w:val="1"/>
                <w:bCs w:val="1"/>
                <w:color w:val="auto"/>
              </w:rPr>
              <w:t>Supplemental Disclosure of Cash Information: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Cash paid for:</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9"/>
        </w:trPr>
        <w:tc>
          <w:tcPr>
            <w:tcW w:w="7380" w:type="dxa"/>
            <w:vAlign w:val="bottom"/>
          </w:tcPr>
          <w:p>
            <w:pPr>
              <w:ind w:left="12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19,092</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8,751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1,902</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73" w:name="page74"/>
    <w:bookmarkEnd w:id="7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35"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Shutterstock (the “Company” or “Shutterstock”) is a leading global creative platform offering full-service solutions, high-quality content, and creative workflow solutions for brands, businesses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key offerings include:</w:t>
      </w:r>
    </w:p>
    <w:p>
      <w:pPr>
        <w:spacing w:after="0" w:line="148" w:lineRule="exact"/>
        <w:rPr>
          <w:sz w:val="20"/>
          <w:szCs w:val="20"/>
          <w:color w:val="auto"/>
        </w:rPr>
      </w:pPr>
    </w:p>
    <w:p>
      <w:pPr>
        <w:ind w:left="800" w:hanging="321"/>
        <w:spacing w:after="0" w:line="261" w:lineRule="auto"/>
        <w:tabs>
          <w:tab w:leader="none" w:pos="7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6" w:lineRule="exact"/>
        <w:rPr>
          <w:rFonts w:ascii="Arial" w:cs="Arial" w:eastAsia="Arial" w:hAnsi="Arial"/>
          <w:sz w:val="18"/>
          <w:szCs w:val="18"/>
          <w:color w:val="auto"/>
        </w:rPr>
      </w:pPr>
    </w:p>
    <w:p>
      <w:pPr>
        <w:ind w:left="800" w:right="200" w:hanging="321"/>
        <w:spacing w:after="0" w:line="261" w:lineRule="auto"/>
        <w:tabs>
          <w:tab w:leader="none" w:pos="7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6" w:lineRule="exact"/>
        <w:rPr>
          <w:rFonts w:ascii="Arial" w:cs="Arial" w:eastAsia="Arial" w:hAnsi="Arial"/>
          <w:sz w:val="18"/>
          <w:szCs w:val="18"/>
          <w:color w:val="auto"/>
        </w:rPr>
      </w:pPr>
    </w:p>
    <w:p>
      <w:pPr>
        <w:ind w:left="800" w:hanging="32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08" w:lineRule="exact"/>
        <w:rPr>
          <w:rFonts w:ascii="Arial" w:cs="Arial" w:eastAsia="Arial" w:hAnsi="Arial"/>
          <w:sz w:val="18"/>
          <w:szCs w:val="18"/>
          <w:color w:val="auto"/>
        </w:rPr>
      </w:pPr>
    </w:p>
    <w:p>
      <w:pPr>
        <w:jc w:val="both"/>
        <w:ind w:left="800" w:right="160" w:hanging="321"/>
        <w:spacing w:after="0" w:line="324" w:lineRule="auto"/>
        <w:tabs>
          <w:tab w:leader="none" w:pos="7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3 Dimensional (“3D”) Models - consisting of 3D models, used in a variety of industries such as advertising, media and video production, gaming, retail, education, design and architecture, following the Company’s acquisition of TurboSquid, Inc. on February 1, 2021. See Note 3 Acquisitions.</w:t>
      </w:r>
    </w:p>
    <w:p>
      <w:pPr>
        <w:spacing w:after="0" w:line="29" w:lineRule="exact"/>
        <w:rPr>
          <w:rFonts w:ascii="Arial" w:cs="Arial" w:eastAsia="Arial" w:hAnsi="Arial"/>
          <w:sz w:val="16"/>
          <w:szCs w:val="16"/>
          <w:color w:val="auto"/>
        </w:rPr>
      </w:pPr>
    </w:p>
    <w:p>
      <w:pPr>
        <w:ind w:left="800" w:right="260" w:hanging="321"/>
        <w:spacing w:after="0" w:line="362" w:lineRule="auto"/>
        <w:tabs>
          <w:tab w:leader="none" w:pos="795"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Creative Design Software - consisting of the Company’s online graphic design and image editing platform. On September 3, 2021, the Company completed the acquisition of substantially all of the assets and assumption of certain liabilities from PicMonkey, LLC. See Note 3 Acquisitions.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0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85" w:lineRule="exact"/>
        <w:rPr>
          <w:sz w:val="20"/>
          <w:szCs w:val="20"/>
          <w:color w:val="auto"/>
        </w:rPr>
      </w:pPr>
    </w:p>
    <w:p>
      <w:pPr>
        <w:ind w:right="1820" w:firstLine="395"/>
        <w:spacing w:after="0" w:line="411" w:lineRule="auto"/>
        <w:rPr>
          <w:sz w:val="20"/>
          <w:szCs w:val="20"/>
          <w:color w:val="auto"/>
        </w:rPr>
      </w:pPr>
      <w:r>
        <w:rPr>
          <w:rFonts w:ascii="Arial" w:cs="Arial" w:eastAsia="Arial" w:hAnsi="Arial"/>
          <w:sz w:val="18"/>
          <w:szCs w:val="18"/>
          <w:color w:val="auto"/>
        </w:rPr>
        <w:t xml:space="preserve">Certain immaterial changes in presentation have been made to conform the prior period presentation to current period reporting. </w:t>
      </w:r>
      <w:r>
        <w:rPr>
          <w:rFonts w:ascii="Arial" w:cs="Arial" w:eastAsia="Arial" w:hAnsi="Arial"/>
          <w:sz w:val="18"/>
          <w:szCs w:val="18"/>
          <w:b w:val="1"/>
          <w:bCs w:val="1"/>
          <w:i w:val="1"/>
          <w:iCs w:val="1"/>
          <w:color w:val="auto"/>
        </w:rPr>
        <w:t>Use of Estimates</w:t>
      </w:r>
    </w:p>
    <w:p>
      <w:pPr>
        <w:spacing w:after="0" w:line="2"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74" w:name="page75"/>
    <w:bookmarkEnd w:id="7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Financial instruments that are exposed to concentration of credit risk consist primarily of cash and cash equivalents and accounts receivable balances.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are held with financial institutions of high quality. Balances may exceed the amount of insurance provided on such deposits.</w:t>
      </w:r>
    </w:p>
    <w:p>
      <w:pPr>
        <w:spacing w:after="0" w:line="146"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color w:val="auto"/>
        </w:rPr>
        <w:t>The majority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2021 and 2020, no single customer accounted for or exceeded 10% of accounts receivable.</w:t>
      </w:r>
    </w:p>
    <w:p>
      <w:pPr>
        <w:spacing w:after="0" w:line="128" w:lineRule="exact"/>
        <w:rPr>
          <w:sz w:val="20"/>
          <w:szCs w:val="20"/>
          <w:color w:val="auto"/>
        </w:rPr>
      </w:pPr>
    </w:p>
    <w:p>
      <w:pPr>
        <w:ind w:right="1620" w:firstLine="395"/>
        <w:spacing w:after="0" w:line="396" w:lineRule="auto"/>
        <w:rPr>
          <w:sz w:val="20"/>
          <w:szCs w:val="20"/>
          <w:color w:val="auto"/>
        </w:rPr>
      </w:pPr>
      <w:r>
        <w:rPr>
          <w:rFonts w:ascii="Arial" w:cs="Arial" w:eastAsia="Arial" w:hAnsi="Arial"/>
          <w:sz w:val="18"/>
          <w:szCs w:val="18"/>
          <w:color w:val="auto"/>
        </w:rPr>
        <w:t xml:space="preserve">Additionally, no single customer accounted for or exceeded 10% of revenue for the years ended December 31, 2021, 2020 or 2019.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As of December 31, 2021 and 2020, the Company’s cash and cash equivalents were $314.0 million and $428.6 million, respectively. The Company’s cash balance consist primarily of bank deposits. Cash equivalents consists primarily of money market accounts and are stated at cost, which approximates fair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9"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48"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111"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 xml:space="preserve">Historically, the Company used an incurred loss model to calculate its allowance for doubtful accounts. Upon the adoption of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of Financial Instruments </w:t>
      </w:r>
      <w:r>
        <w:rPr>
          <w:rFonts w:ascii="Arial" w:cs="Arial" w:eastAsia="Arial" w:hAnsi="Arial"/>
          <w:sz w:val="18"/>
          <w:szCs w:val="18"/>
          <w:color w:val="auto"/>
        </w:rPr>
        <w:t>(“ASU 2016-13”) on January 1, 2020, the Company shifted to</w:t>
      </w:r>
      <w:r>
        <w:rPr>
          <w:rFonts w:ascii="Arial" w:cs="Arial" w:eastAsia="Arial" w:hAnsi="Arial"/>
          <w:sz w:val="18"/>
          <w:szCs w:val="18"/>
          <w:i w:val="1"/>
          <w:iCs w:val="1"/>
          <w:color w:val="auto"/>
        </w:rPr>
        <w:t xml:space="preserve"> </w:t>
      </w:r>
      <w:r>
        <w:rPr>
          <w:rFonts w:ascii="Arial" w:cs="Arial" w:eastAsia="Arial" w:hAnsi="Arial"/>
          <w:sz w:val="18"/>
          <w:szCs w:val="18"/>
          <w:color w:val="auto"/>
        </w:rPr>
        <w:t>a current expected credit loss model.</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changes in the Company’s allowance for doubtful accounts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2"/>
        </w:trPr>
        <w:tc>
          <w:tcPr>
            <w:tcW w:w="6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r>
      <w:tr>
        <w:trPr>
          <w:trHeight w:val="20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Balance, beginning of period</w:t>
            </w: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89"/>
              </w:rPr>
              <w:t>3,579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r>
      <w:tr>
        <w:trPr>
          <w:trHeight w:val="207"/>
        </w:trPr>
        <w:tc>
          <w:tcPr>
            <w:tcW w:w="6340" w:type="dxa"/>
            <w:vAlign w:val="bottom"/>
          </w:tcPr>
          <w:p>
            <w:pPr>
              <w:ind w:left="540"/>
              <w:spacing w:after="0"/>
              <w:rPr>
                <w:sz w:val="20"/>
                <w:szCs w:val="20"/>
                <w:color w:val="auto"/>
              </w:rPr>
            </w:pPr>
            <w:r>
              <w:rPr>
                <w:rFonts w:ascii="Arial" w:cs="Arial" w:eastAsia="Arial" w:hAnsi="Arial"/>
                <w:sz w:val="16"/>
                <w:szCs w:val="16"/>
                <w:color w:val="auto"/>
              </w:rPr>
              <w:t>Add: bad debt expense</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center"/>
              <w:ind w:left="323"/>
              <w:spacing w:after="0"/>
              <w:rPr>
                <w:sz w:val="20"/>
                <w:szCs w:val="20"/>
                <w:color w:val="auto"/>
              </w:rPr>
            </w:pPr>
            <w:r>
              <w:rPr>
                <w:rFonts w:ascii="Arial" w:cs="Arial" w:eastAsia="Arial" w:hAnsi="Arial"/>
                <w:sz w:val="16"/>
                <w:szCs w:val="16"/>
                <w:color w:val="auto"/>
                <w:w w:val="89"/>
              </w:rPr>
              <w:t>2,580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4"/>
        </w:trPr>
        <w:tc>
          <w:tcPr>
            <w:tcW w:w="6340" w:type="dxa"/>
            <w:vAlign w:val="bottom"/>
            <w:shd w:val="clear" w:color="auto" w:fill="CCEEFF"/>
          </w:tcPr>
          <w:p>
            <w:pPr>
              <w:ind w:left="540"/>
              <w:spacing w:after="0" w:line="214" w:lineRule="exact"/>
              <w:rPr>
                <w:sz w:val="20"/>
                <w:szCs w:val="20"/>
                <w:color w:val="auto"/>
              </w:rPr>
            </w:pPr>
            <w:r>
              <w:rPr>
                <w:rFonts w:ascii="Arial" w:cs="Arial" w:eastAsia="Arial" w:hAnsi="Arial"/>
                <w:sz w:val="16"/>
                <w:szCs w:val="16"/>
                <w:color w:val="auto"/>
              </w:rPr>
              <w:t>Less: write-offs, net of recoveries and other adjustments</w:t>
            </w:r>
            <w:r>
              <w:rPr>
                <w:rFonts w:ascii="Arial" w:cs="Arial" w:eastAsia="Arial" w:hAnsi="Arial"/>
                <w:sz w:val="20"/>
                <w:szCs w:val="20"/>
                <w:color w:val="auto"/>
                <w:vertAlign w:val="superscript"/>
              </w:rPr>
              <w:t>1</w:t>
            </w: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303"/>
              <w:spacing w:after="0"/>
              <w:rPr>
                <w:sz w:val="20"/>
                <w:szCs w:val="20"/>
                <w:color w:val="auto"/>
              </w:rPr>
            </w:pPr>
            <w:r>
              <w:rPr>
                <w:rFonts w:ascii="Arial" w:cs="Arial" w:eastAsia="Arial" w:hAnsi="Arial"/>
                <w:sz w:val="16"/>
                <w:szCs w:val="16"/>
                <w:color w:val="auto"/>
                <w:w w:val="90"/>
              </w:rPr>
              <w:t>(1,217)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04"/>
        </w:trPr>
        <w:tc>
          <w:tcPr>
            <w:tcW w:w="6340" w:type="dxa"/>
            <w:vAlign w:val="bottom"/>
          </w:tcPr>
          <w:p>
            <w:pPr>
              <w:ind w:left="420"/>
              <w:spacing w:after="0"/>
              <w:rPr>
                <w:sz w:val="20"/>
                <w:szCs w:val="20"/>
                <w:color w:val="auto"/>
              </w:rPr>
            </w:pPr>
            <w:r>
              <w:rPr>
                <w:rFonts w:ascii="Arial" w:cs="Arial" w:eastAsia="Arial" w:hAnsi="Arial"/>
                <w:sz w:val="16"/>
                <w:szCs w:val="16"/>
                <w:color w:val="auto"/>
              </w:rPr>
              <w:t>Balance, end of period</w:t>
            </w: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center"/>
              <w:ind w:left="323"/>
              <w:spacing w:after="0"/>
              <w:rPr>
                <w:sz w:val="20"/>
                <w:szCs w:val="20"/>
                <w:color w:val="auto"/>
              </w:rPr>
            </w:pPr>
            <w:r>
              <w:rPr>
                <w:rFonts w:ascii="Arial" w:cs="Arial" w:eastAsia="Arial" w:hAnsi="Arial"/>
                <w:sz w:val="16"/>
                <w:szCs w:val="16"/>
                <w:color w:val="auto"/>
                <w:w w:val="89"/>
              </w:rPr>
              <w:t>4,942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w:t>
            </w:r>
          </w:p>
        </w:tc>
      </w:tr>
      <w:tr>
        <w:trPr>
          <w:trHeight w:val="20"/>
        </w:trPr>
        <w:tc>
          <w:tcPr>
            <w:tcW w:w="6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1 - Other adjustments includes the adoption of ASU 2016-13 on January 1, 2020, which increased the allowance for doubtful accounts by $0.3M.</w:t>
      </w: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75" w:name="page76"/>
    <w:bookmarkEnd w:id="7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09"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Company establishes a chargeback allowance and sales refund reserve allowance based on factors surrounding historical credit card chargeback trends, historical sales refund trends and other information. As of December 31, 2021 and December 31, 2020, the Company’s combined allowance for chargebacks and sales refunds was $0.4 million, and $0.5 million, respectively, which is included as a component of other current liabilities on the Consolidated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5" w:lineRule="exact"/>
        <w:rPr>
          <w:sz w:val="20"/>
          <w:szCs w:val="20"/>
          <w:color w:val="auto"/>
        </w:rPr>
      </w:pPr>
    </w:p>
    <w:p>
      <w:pPr>
        <w:ind w:right="560" w:firstLine="395"/>
        <w:spacing w:after="0" w:line="299"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Equipment</w:t>
            </w:r>
          </w:p>
        </w:tc>
        <w:tc>
          <w:tcPr>
            <w:tcW w:w="6220" w:type="dxa"/>
            <w:vAlign w:val="bottom"/>
            <w:shd w:val="clear" w:color="auto" w:fill="CCEEFF"/>
          </w:tcPr>
          <w:p>
            <w:pPr>
              <w:ind w:left="3000"/>
              <w:spacing w:after="0"/>
              <w:rPr>
                <w:sz w:val="20"/>
                <w:szCs w:val="20"/>
                <w:color w:val="auto"/>
              </w:rPr>
            </w:pPr>
            <w:r>
              <w:rPr>
                <w:rFonts w:ascii="Arial" w:cs="Arial" w:eastAsia="Arial" w:hAnsi="Arial"/>
                <w:sz w:val="16"/>
                <w:szCs w:val="16"/>
                <w:color w:val="auto"/>
              </w:rPr>
              <w:t>3 years</w:t>
            </w:r>
          </w:p>
        </w:tc>
      </w:tr>
      <w:tr>
        <w:trPr>
          <w:trHeight w:val="207"/>
        </w:trPr>
        <w:tc>
          <w:tcPr>
            <w:tcW w:w="5020" w:type="dxa"/>
            <w:vAlign w:val="bottom"/>
          </w:tcPr>
          <w:p>
            <w:pPr>
              <w:ind w:left="420"/>
              <w:spacing w:after="0"/>
              <w:rPr>
                <w:sz w:val="20"/>
                <w:szCs w:val="20"/>
                <w:color w:val="auto"/>
              </w:rPr>
            </w:pPr>
            <w:r>
              <w:rPr>
                <w:rFonts w:ascii="Arial" w:cs="Arial" w:eastAsia="Arial" w:hAnsi="Arial"/>
                <w:sz w:val="16"/>
                <w:szCs w:val="16"/>
                <w:color w:val="auto"/>
              </w:rPr>
              <w:t>Furniture and fixtures</w:t>
            </w:r>
          </w:p>
        </w:tc>
        <w:tc>
          <w:tcPr>
            <w:tcW w:w="6220" w:type="dxa"/>
            <w:vAlign w:val="bottom"/>
          </w:tcPr>
          <w:p>
            <w:pPr>
              <w:ind w:left="3000"/>
              <w:spacing w:after="0"/>
              <w:rPr>
                <w:sz w:val="20"/>
                <w:szCs w:val="20"/>
                <w:color w:val="auto"/>
              </w:rPr>
            </w:pPr>
            <w:r>
              <w:rPr>
                <w:rFonts w:ascii="Arial" w:cs="Arial" w:eastAsia="Arial" w:hAnsi="Arial"/>
                <w:sz w:val="16"/>
                <w:szCs w:val="16"/>
                <w:color w:val="auto"/>
              </w:rPr>
              <w:t>7 years</w:t>
            </w:r>
          </w:p>
        </w:tc>
      </w:tr>
      <w:tr>
        <w:trPr>
          <w:trHeight w:val="214"/>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Software</w:t>
            </w:r>
          </w:p>
        </w:tc>
        <w:tc>
          <w:tcPr>
            <w:tcW w:w="6220" w:type="dxa"/>
            <w:vAlign w:val="bottom"/>
            <w:shd w:val="clear" w:color="auto" w:fill="CCEEFF"/>
          </w:tcPr>
          <w:p>
            <w:pPr>
              <w:ind w:left="3000"/>
              <w:spacing w:after="0"/>
              <w:rPr>
                <w:sz w:val="20"/>
                <w:szCs w:val="20"/>
                <w:color w:val="auto"/>
              </w:rPr>
            </w:pPr>
            <w:r>
              <w:rPr>
                <w:rFonts w:ascii="Arial" w:cs="Arial" w:eastAsia="Arial" w:hAnsi="Arial"/>
                <w:sz w:val="16"/>
                <w:szCs w:val="16"/>
                <w:color w:val="auto"/>
              </w:rPr>
              <w:t>3 years</w:t>
            </w:r>
          </w:p>
        </w:tc>
      </w:tr>
      <w:tr>
        <w:trPr>
          <w:trHeight w:val="204"/>
        </w:trPr>
        <w:tc>
          <w:tcPr>
            <w:tcW w:w="5020" w:type="dxa"/>
            <w:vAlign w:val="bottom"/>
          </w:tcPr>
          <w:p>
            <w:pPr>
              <w:ind w:left="420"/>
              <w:spacing w:after="0"/>
              <w:rPr>
                <w:sz w:val="20"/>
                <w:szCs w:val="20"/>
                <w:color w:val="auto"/>
              </w:rPr>
            </w:pPr>
            <w:r>
              <w:rPr>
                <w:rFonts w:ascii="Arial" w:cs="Arial" w:eastAsia="Arial" w:hAnsi="Arial"/>
                <w:sz w:val="16"/>
                <w:szCs w:val="16"/>
                <w:color w:val="auto"/>
              </w:rPr>
              <w:t>Leasehold improvements</w:t>
            </w:r>
          </w:p>
        </w:tc>
        <w:tc>
          <w:tcPr>
            <w:tcW w:w="6220" w:type="dxa"/>
            <w:vAlign w:val="bottom"/>
          </w:tcPr>
          <w:p>
            <w:pPr>
              <w:ind w:left="3000"/>
              <w:spacing w:after="0"/>
              <w:rPr>
                <w:sz w:val="20"/>
                <w:szCs w:val="20"/>
                <w:color w:val="auto"/>
              </w:rPr>
            </w:pPr>
            <w:r>
              <w:rPr>
                <w:rFonts w:ascii="Arial" w:cs="Arial" w:eastAsia="Arial" w:hAnsi="Arial"/>
                <w:sz w:val="16"/>
                <w:szCs w:val="16"/>
                <w:color w:val="auto"/>
              </w:rPr>
              <w:t>Shorter of expected useful life or lease term</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 Use Software</w:t>
      </w:r>
    </w:p>
    <w:p>
      <w:pPr>
        <w:spacing w:after="0" w:line="148" w:lineRule="exact"/>
        <w:rPr>
          <w:sz w:val="20"/>
          <w:szCs w:val="20"/>
          <w:color w:val="auto"/>
        </w:rPr>
      </w:pPr>
    </w:p>
    <w:p>
      <w:pPr>
        <w:ind w:right="180" w:firstLine="395"/>
        <w:spacing w:after="0" w:line="247" w:lineRule="auto"/>
        <w:rPr>
          <w:sz w:val="20"/>
          <w:szCs w:val="20"/>
          <w:color w:val="auto"/>
        </w:rPr>
      </w:pPr>
      <w:r>
        <w:rPr>
          <w:rFonts w:ascii="Arial" w:cs="Arial" w:eastAsia="Arial" w:hAnsi="Arial"/>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35"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Long-lived assets, inclusive of definite-lived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long-lived asset impairment charges in 2021, 2020 or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48"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w:t>
      </w:r>
    </w:p>
    <w:p>
      <w:pPr>
        <w:spacing w:after="0" w:line="124"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In 2021, the Company’s goodwill balance was allocated to a single reporting unit. Since inception through December 31, 2021, the Company has not had any impairment of goodwill.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Subsequent to the acquisition of PicMonkey, the Company also generates revenue from the license of creative editing tools.</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76" w:name="page77"/>
    <w:bookmarkEnd w:id="7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95"/>
        <w:spacing w:after="0" w:line="304" w:lineRule="auto"/>
        <w:rPr>
          <w:sz w:val="20"/>
          <w:szCs w:val="20"/>
          <w:color w:val="auto"/>
        </w:rPr>
      </w:pPr>
      <w:r>
        <w:rPr>
          <w:rFonts w:ascii="Arial" w:cs="Arial" w:eastAsia="Arial" w:hAnsi="Arial"/>
          <w:sz w:val="15"/>
          <w:szCs w:val="15"/>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the Company’s creative editing tools, revenue is recognized on a straight-line basis over the subscription period. The Company expenses contract acquisition costs as incurred, to the extent that the amortization period would otherwise be one year or less.</w:t>
      </w:r>
    </w:p>
    <w:p>
      <w:pPr>
        <w:spacing w:after="0" w:line="76"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97"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48"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The Company’s cost of revenue includes royalties paid to contributors, credit card processing fees, content reviewer costs, customer service expenses, 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Costs of revenue also includes employee compensation, including non-cash equity-based compensation, bonuses and benefits associated with the maintenance of the Company’s creative platform and cloud-based software platform.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Contributor Royalties and Internal Sales Commissions</w:t>
      </w:r>
    </w:p>
    <w:p>
      <w:pPr>
        <w:spacing w:after="0" w:line="148" w:lineRule="exact"/>
        <w:rPr>
          <w:sz w:val="20"/>
          <w:szCs w:val="20"/>
          <w:color w:val="auto"/>
        </w:rPr>
      </w:pPr>
    </w:p>
    <w:p>
      <w:pPr>
        <w:ind w:right="40" w:firstLine="395"/>
        <w:spacing w:after="0" w:line="278" w:lineRule="auto"/>
        <w:rPr>
          <w:sz w:val="20"/>
          <w:szCs w:val="20"/>
          <w:color w:val="auto"/>
        </w:rPr>
      </w:pPr>
      <w:r>
        <w:rPr>
          <w:rFonts w:ascii="Arial" w:cs="Arial" w:eastAsia="Arial" w:hAnsi="Arial"/>
          <w:sz w:val="16"/>
          <w:szCs w:val="16"/>
          <w:color w:val="auto"/>
        </w:rPr>
        <w:t>The Company expenses contributor royalties in the period a customer download occurs and includes the corresponding contributor royalties in cost of revenue. Contributor royalties are generally paid monthly. The Company advances certain contributor royalties which are initially deferred and expensed based on the contractual royalty rate at the time of customer download or when the Company determines future recovery is not probable. For the years ended December 31, 2021, 2020 and 2019, the Company deferred $7.2 million, $3.6 million and $8.4 million, respectively, in royalty advances and amortized</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$5.8 million, $5.5 million and $9.2 million, respectively, in royalty advance expense which is included in cost of revenue. As of December 31, 2021, the Company has deferred contributor royalties of $1.4 million, which is included in prepaid expenses and other current assets in the Consolidated Balance Sheets. As of December 31, 2020, the balance of deferred contributor royalties was not significant.</w:t>
      </w:r>
    </w:p>
    <w:p>
      <w:pPr>
        <w:spacing w:after="0" w:line="128"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Internal sales commissions are generally paid in the month following collection or invoicing of the commissioned receivable and is reported in sales and marketing expense on the Consolidated Statements of Operations. The Company expenses contract acquisition costs, including internal sales commissions, as incurred, to the extent that the amortization period would otherwise be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5"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software and other IT equipment costs as well as allocated facility costs and related overhead.</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77" w:name="page78"/>
    <w:bookmarkEnd w:id="7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expenses the cost of advertising and promoting its products as incurred. Such costs totaled $112.9 million, $81.2 million and</w:t>
      </w:r>
    </w:p>
    <w:p>
      <w:pPr>
        <w:spacing w:after="0" w:line="3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$102.3 million for the years ended December 31, 2021, 2020 and 2019, respectively, which are included in sales and marketing expense in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w:t>
      </w:r>
    </w:p>
    <w:p>
      <w:pPr>
        <w:spacing w:after="0" w:line="148" w:lineRule="exact"/>
        <w:rPr>
          <w:sz w:val="20"/>
          <w:szCs w:val="20"/>
          <w:color w:val="auto"/>
        </w:rPr>
      </w:pPr>
    </w:p>
    <w:p>
      <w:pPr>
        <w:ind w:right="100" w:firstLine="395"/>
        <w:spacing w:after="0" w:line="247" w:lineRule="auto"/>
        <w:rPr>
          <w:sz w:val="20"/>
          <w:szCs w:val="20"/>
          <w:color w:val="auto"/>
        </w:rPr>
      </w:pPr>
      <w:r>
        <w:rPr>
          <w:rFonts w:ascii="Arial" w:cs="Arial" w:eastAsia="Arial" w:hAnsi="Arial"/>
          <w:sz w:val="18"/>
          <w:szCs w:val="18"/>
          <w:color w:val="auto"/>
        </w:rPr>
        <w:t>The Company records rent expense on a straight-line basis over the term of the related lease. At inception, the Company first determines if an arrangement contains a lease and the classification of that lease, if applicable. The Company recognizes right-of-use (“ROU”) assets and lease liabilities for its operating leases. For contracts with lease and non-lease components, the Company has elected not to allocate the contract consideration, and to account for the lease and non-lease components as a single lease component. The Company has also elected not to recognize a lease liability or ROU asset for leases with a term of 12 months or less, and recognize lease payments for those short-term leases on a straight-line basis over the lease term in the Consolidated Statements of Operations. Operating leases are included in ROU assets, other current liabilities and lease liabilities (net of current portion) on the Consolidated Balance Sheets.</w:t>
      </w:r>
    </w:p>
    <w:p>
      <w:pPr>
        <w:spacing w:after="0" w:line="127"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ROU assets and lease liabilities are recognized at the lease commencement date based on the present value of lease payments over the lease term. The implicit rate within the Company’s leases is generally not determinable and therefore the incremental borrowing rate at the lease commencement date is utilized to determine the present value of lease payments. The determination of the incremental borrowing rate requires judgment. Management determines the incremental borrowing rate for each lease using the Company’s estimated borrowing rate, adjusted for various factors including level of collateralization, term and currency to align with the terms of the lease. The ROU asset also includes any lease prepayments, offset by lease incentives. Certain of the Company’s leases include options to extend or terminate the lease. An option to extend the lease is considered in connection with determining the ROU asset and lease liability when the Company is reasonably certain that the option will be exercised. An option to terminate is considered unless the Company is reasonably certain the option will not be exercised.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grants Restricted Stock Units, Performance-based Restricted Stock Units (“PRSUs” and, collectively with Restricted Stock Units, “RSUs”) and Stock Options to directors and officers and certain other employees of the Company. All awards are granted pursuant to the 2012 Omnibus Equity Incentive Plan (the “2012 Plan”), which is discussed further in Note 9, Equity-Based Compensation.</w:t>
      </w:r>
    </w:p>
    <w:p>
      <w:pPr>
        <w:spacing w:after="0" w:line="124"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over the requisite service period regardless of the achievement of the market condition. Compensation expense related to awards with a performance condition is recognized over the requisite service period based on the expected levels of achievement. To the extent that the expected levels of achievement change, stock-based compensation expense is adjusted and recorded in the Consolidated Statements of Operations and the remaining unrecognized stock-based compensation is recognized over the remaining requisite service period.</w:t>
      </w:r>
    </w:p>
    <w:p>
      <w:pPr>
        <w:spacing w:after="0" w:line="108"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8"/>
          <w:szCs w:val="18"/>
          <w:color w:val="auto"/>
        </w:rPr>
        <w:t>The Company uses the closing price of the Company’s common stock on the date of grant to determine the fair value of RSUs. The Company uses the Black Scholes option pricing model, to determine the fair value of stock options on the date of grant. The Monte Carlo simulation model is used if the award has a market condition.</w:t>
      </w:r>
    </w:p>
    <w:p>
      <w:pPr>
        <w:spacing w:after="0" w:line="111" w:lineRule="exact"/>
        <w:rPr>
          <w:sz w:val="20"/>
          <w:szCs w:val="20"/>
          <w:color w:val="auto"/>
        </w:rPr>
      </w:pPr>
    </w:p>
    <w:p>
      <w:pPr>
        <w:ind w:right="140" w:firstLine="395"/>
        <w:spacing w:after="0" w:line="250" w:lineRule="auto"/>
        <w:rPr>
          <w:sz w:val="20"/>
          <w:szCs w:val="20"/>
          <w:color w:val="auto"/>
        </w:rPr>
      </w:pPr>
      <w:r>
        <w:rPr>
          <w:rFonts w:ascii="Arial" w:cs="Arial" w:eastAsia="Arial" w:hAnsi="Arial"/>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 which are estimated as follows:</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78" w:name="page79"/>
    <w:bookmarkEnd w:id="7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right="200" w:hanging="243"/>
        <w:spacing w:after="0" w:line="252"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Fair Value of Common Stock.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84" w:lineRule="exact"/>
        <w:rPr>
          <w:rFonts w:ascii="Arial" w:cs="Arial" w:eastAsia="Arial" w:hAnsi="Arial"/>
          <w:sz w:val="18"/>
          <w:szCs w:val="18"/>
          <w:color w:val="auto"/>
        </w:rPr>
      </w:pPr>
    </w:p>
    <w:p>
      <w:pPr>
        <w:ind w:left="880" w:right="100" w:hanging="243"/>
        <w:spacing w:after="0" w:line="252"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Term. The expected term is estimated using the simplified method allowed under Securities and Exchange Commission (“SEC”) guidance. In certain cases for market based awards, the Company’s expected term is based on a combination of historical data and estimates of the period of time the award will be outstanding.</w:t>
      </w:r>
    </w:p>
    <w:p>
      <w:pPr>
        <w:spacing w:after="0" w:line="84" w:lineRule="exact"/>
        <w:rPr>
          <w:rFonts w:ascii="Arial" w:cs="Arial" w:eastAsia="Arial" w:hAnsi="Arial"/>
          <w:sz w:val="18"/>
          <w:szCs w:val="18"/>
          <w:color w:val="auto"/>
        </w:rPr>
      </w:pPr>
    </w:p>
    <w:p>
      <w:pPr>
        <w:ind w:left="860" w:hanging="223"/>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The volatility is estimated based on historical price volatility of the Company’s common stock.</w:t>
      </w:r>
    </w:p>
    <w:p>
      <w:pPr>
        <w:spacing w:after="0" w:line="108" w:lineRule="exact"/>
        <w:rPr>
          <w:rFonts w:ascii="Arial" w:cs="Arial" w:eastAsia="Arial" w:hAnsi="Arial"/>
          <w:sz w:val="18"/>
          <w:szCs w:val="18"/>
          <w:color w:val="auto"/>
        </w:rPr>
      </w:pPr>
    </w:p>
    <w:p>
      <w:pPr>
        <w:ind w:left="880" w:right="120" w:hanging="243"/>
        <w:spacing w:after="0" w:line="261"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is based on the yields of U.S. Treasury securities with maturities similar to the expected term of each award group.</w:t>
      </w:r>
    </w:p>
    <w:p>
      <w:pPr>
        <w:spacing w:after="0" w:line="76" w:lineRule="exact"/>
        <w:rPr>
          <w:rFonts w:ascii="Arial" w:cs="Arial" w:eastAsia="Arial" w:hAnsi="Arial"/>
          <w:sz w:val="18"/>
          <w:szCs w:val="18"/>
          <w:color w:val="auto"/>
        </w:rPr>
      </w:pPr>
    </w:p>
    <w:p>
      <w:pPr>
        <w:ind w:left="880" w:right="660" w:hanging="243"/>
        <w:spacing w:after="0" w:line="261"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 Yield. The Company determines the dividend yield based on management’s expectations of future dividends. The Company has historically used an expected dividend yield of zero for options granted.</w:t>
      </w:r>
    </w:p>
    <w:p>
      <w:pPr>
        <w:spacing w:after="0" w:line="102"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are subject to a time-based vesting requirement and certain award grants may also include market based or performance based vesting conditions. While each PRSU corresponds to one target share of the Company’s stock, the number of shares that may eventually vest will be between 0% and 150% of a recipient’s target shares, depending on both the recipient’s continued service with the Company and the extent to which performance goals will have been achieved. Stock option awards granted under the 2012 Plan vest over three or four years while the majority of the restricted stock units granted under the 2012 Plan vest over three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48"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8"/>
          <w:szCs w:val="18"/>
          <w:color w:val="auto"/>
        </w:rPr>
        <w:t>The Company offers a 401(k) defined contribution plan and provides for discretionary employer matching contributions. All matching contributions are recognized as an expense in the Statement of Operations, as incurred. The Company recorded employer matching contributions of $4.4 million, $3.8 million and $3.7 million for the years ended December 31, 2021, 2020 and 2019,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9"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24" w:lineRule="exact"/>
        <w:rPr>
          <w:sz w:val="20"/>
          <w:szCs w:val="20"/>
          <w:color w:val="auto"/>
        </w:rPr>
      </w:pPr>
    </w:p>
    <w:p>
      <w:pPr>
        <w:ind w:right="80" w:firstLine="395"/>
        <w:spacing w:after="0" w:line="247"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114" w:lineRule="exact"/>
        <w:rPr>
          <w:sz w:val="20"/>
          <w:szCs w:val="20"/>
          <w:color w:val="auto"/>
        </w:rPr>
      </w:pPr>
    </w:p>
    <w:p>
      <w:pPr>
        <w:jc w:val="both"/>
        <w:ind w:right="20" w:firstLine="395"/>
        <w:spacing w:after="0" w:line="248" w:lineRule="auto"/>
        <w:rPr>
          <w:sz w:val="20"/>
          <w:szCs w:val="20"/>
          <w:color w:val="auto"/>
        </w:rPr>
      </w:pPr>
      <w:r>
        <w:rPr>
          <w:rFonts w:ascii="Arial" w:cs="Arial" w:eastAsia="Arial" w:hAnsi="Arial"/>
          <w:sz w:val="18"/>
          <w:szCs w:val="18"/>
          <w:color w:val="auto"/>
        </w:rPr>
        <w:t>On a quarterly basis, the Company assesses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28"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TCJA. The GILTI provisions impose a tax on foreign income in excess of a deemed return on tangible assets of foreign corporations. The Company treats any potential GILTI inclusions as a period cost.</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79" w:name="page80"/>
    <w:bookmarkEnd w:id="7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Non-income Taxes</w:t>
      </w:r>
    </w:p>
    <w:p>
      <w:pPr>
        <w:spacing w:after="0" w:line="135"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9" w:lineRule="exact"/>
        <w:rPr>
          <w:sz w:val="20"/>
          <w:szCs w:val="20"/>
          <w:color w:val="auto"/>
        </w:rPr>
      </w:pPr>
    </w:p>
    <w:p>
      <w:pPr>
        <w:ind w:right="280" w:firstLine="395"/>
        <w:spacing w:after="0" w:line="362" w:lineRule="auto"/>
        <w:rPr>
          <w:sz w:val="20"/>
          <w:szCs w:val="20"/>
          <w:color w:val="auto"/>
        </w:rPr>
      </w:pPr>
      <w:r>
        <w:rPr>
          <w:rFonts w:ascii="Arial" w:cs="Arial" w:eastAsia="Arial" w:hAnsi="Arial"/>
          <w:sz w:val="15"/>
          <w:szCs w:val="15"/>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09"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basic weighted average number of common shares outstanding.</w:t>
      </w:r>
    </w:p>
    <w:p>
      <w:pPr>
        <w:spacing w:after="0" w:line="85" w:lineRule="exact"/>
        <w:rPr>
          <w:sz w:val="20"/>
          <w:szCs w:val="20"/>
          <w:color w:val="auto"/>
        </w:rPr>
      </w:pPr>
    </w:p>
    <w:p>
      <w:pPr>
        <w:ind w:right="500" w:firstLine="395"/>
        <w:spacing w:after="0" w:line="261" w:lineRule="auto"/>
        <w:rPr>
          <w:sz w:val="20"/>
          <w:szCs w:val="20"/>
          <w:color w:val="auto"/>
        </w:rPr>
      </w:pPr>
      <w:r>
        <w:rPr>
          <w:rFonts w:ascii="Arial" w:cs="Arial" w:eastAsia="Arial" w:hAnsi="Arial"/>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0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For the year ended December 31, 2021, the Company has identified one operating segment, which has also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financial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9"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functional currency of the Company’s foreign subsidiaries is generally the respective local currency. Monetary assets and liabilities that 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denominated in currencies other than each entity’s functional currency are remeasured into the functional currency at the period-end exchange rates and result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transactional gains and losses. The net impact of foreign currency transactional gains and losses on the Company’s results of operations was a loss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$3.2 million in 2021 and gains of $2.4 million and $0.2 million in 2020 and 2019, respectively. Translation adjustments resulting from converting the foreign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subsidiaries financial statements into U.S. dollars using the period-end exchange rates for balance sheet accounts and the period average exchange rate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are recorded as a component of accumulated other comprehensive income / (loss) within stockholders’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148"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was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0" w:name="page81"/>
    <w:bookmarkEnd w:id="8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105"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2021-08”). ASU 2021-08 addresses inconsistency related to the recognition and measurement of contract assets and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liabilities acquired in a business combination. ASU 2021-08 requires that an acquirer recognize and measure contract assets and contract liabilities acquired in a business combination as if it had originated the contracts, in accordance with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guidance is effective for fiscal years beginning after December 15, 2022 and interim periods within those fiscal years. Early adoption of the amendments is permitted and an entity that early adopts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has early adopted ASU 2021-08 effective January 1, 2021, and the impact of adoption of this standard on the consolidated financial statements was not material.</w:t>
      </w:r>
    </w:p>
    <w:p>
      <w:pPr>
        <w:spacing w:after="0" w:line="200" w:lineRule="exact"/>
        <w:rPr>
          <w:sz w:val="20"/>
          <w:szCs w:val="20"/>
          <w:color w:val="auto"/>
        </w:rPr>
      </w:pPr>
    </w:p>
    <w:p>
      <w:pPr>
        <w:spacing w:after="0" w:line="375" w:lineRule="exact"/>
        <w:rPr>
          <w:sz w:val="20"/>
          <w:szCs w:val="20"/>
          <w:color w:val="auto"/>
        </w:rPr>
      </w:pPr>
    </w:p>
    <w:p>
      <w:pPr>
        <w:ind w:right="6440" w:firstLine="5"/>
        <w:spacing w:after="0" w:line="384" w:lineRule="auto"/>
        <w:tabs>
          <w:tab w:leader="none" w:pos="24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Other Long-term Investments Fair Value Measurements</w:t>
      </w:r>
    </w:p>
    <w:p>
      <w:pPr>
        <w:spacing w:after="0" w:line="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6"/>
          <w:szCs w:val="16"/>
          <w:color w:val="auto"/>
        </w:rPr>
        <w:t>The Company had no assets or liabilities requiring fair value hierarchy disclosures as of December 31, 2021 and 2020, except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Market Accounts</w:t>
      </w:r>
    </w:p>
    <w:p>
      <w:pPr>
        <w:spacing w:after="0" w:line="5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Cash equivalents include money market accounts and are classified as a level 1 measurement based on quoted prices in active markets for identical assets that the reporting entity can access at the measurement date. As of December 31, 2021 and 2020, the Company had a balance of $195.1 million and $250.0 million, respectively, in money market accounts.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56" w:lineRule="exact"/>
        <w:rPr>
          <w:sz w:val="20"/>
          <w:szCs w:val="20"/>
          <w:color w:val="auto"/>
        </w:rPr>
      </w:pPr>
    </w:p>
    <w:p>
      <w:pPr>
        <w:ind w:right="60" w:firstLine="395"/>
        <w:spacing w:after="0" w:line="316" w:lineRule="auto"/>
        <w:rPr>
          <w:sz w:val="20"/>
          <w:szCs w:val="20"/>
          <w:color w:val="auto"/>
        </w:rPr>
      </w:pPr>
      <w:r>
        <w:rPr>
          <w:rFonts w:ascii="Arial" w:cs="Arial" w:eastAsia="Arial" w:hAnsi="Arial"/>
          <w:sz w:val="15"/>
          <w:szCs w:val="15"/>
          <w:color w:val="auto"/>
        </w:rPr>
        <w:t>The carrying amounts of cash, accounts receivable, restricted cash,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1" w:name="page82"/>
    <w:bookmarkEnd w:id="8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41"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As of December 31, 2021 and 2020, the Company’s Long-Term Investments totaled $20.0 million, which is reported within other assets on the Consolidated Balance Sheets. The Company uses the measurement alternative for equity investments with no readily determinable fair value and are reported at cost, adjusted for impairments or any observable price changes in ordinary transactions with identical or similar investments.</w:t>
      </w:r>
    </w:p>
    <w:p>
      <w:pPr>
        <w:spacing w:after="0" w:line="89"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On a quarterly basis, the Company evaluates the carrying value of its Long-Term Investments for impairment, which includes an assessment of revenue growth, earnings performance, working capital and the general market conditions. For the years ended December 31, 2021 and 2020, no adjustments to the carrying values of the Company’s Long Term Investments were identified as a result of this assessment. Changes in performance negatively impacting operating results and cash flows of these investments could result in the Company recording an impairment charge in future periods.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ZCool Technologies Limited (“ZCool”)</w:t>
      </w:r>
    </w:p>
    <w:p>
      <w:pPr>
        <w:spacing w:after="0" w:line="135" w:lineRule="exact"/>
        <w:rPr>
          <w:sz w:val="20"/>
          <w:szCs w:val="20"/>
          <w:color w:val="auto"/>
        </w:rPr>
      </w:pPr>
    </w:p>
    <w:p>
      <w:pPr>
        <w:jc w:val="both"/>
        <w:ind w:right="40" w:firstLine="395"/>
        <w:spacing w:after="0" w:line="299" w:lineRule="auto"/>
        <w:rPr>
          <w:sz w:val="20"/>
          <w:szCs w:val="20"/>
          <w:color w:val="auto"/>
        </w:rPr>
      </w:pPr>
      <w:r>
        <w:rPr>
          <w:rFonts w:ascii="Arial" w:cs="Arial" w:eastAsia="Arial" w:hAnsi="Arial"/>
          <w:sz w:val="16"/>
          <w:szCs w:val="16"/>
          <w:color w:val="auto"/>
        </w:rPr>
        <w:t>In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and its affiliates have been the exclusive distributor of Shutterstock content in China since 2014.</w:t>
      </w:r>
    </w:p>
    <w:p>
      <w:pPr>
        <w:spacing w:after="0" w:line="49" w:lineRule="exact"/>
        <w:rPr>
          <w:sz w:val="20"/>
          <w:szCs w:val="20"/>
          <w:color w:val="auto"/>
        </w:rPr>
      </w:pPr>
    </w:p>
    <w:p>
      <w:pPr>
        <w:ind w:right="60" w:firstLine="395"/>
        <w:spacing w:after="0" w:line="324" w:lineRule="auto"/>
        <w:rPr>
          <w:sz w:val="20"/>
          <w:szCs w:val="20"/>
          <w:color w:val="auto"/>
        </w:rPr>
      </w:pPr>
      <w:r>
        <w:rPr>
          <w:rFonts w:ascii="Arial" w:cs="Arial" w:eastAsia="Arial" w:hAnsi="Arial"/>
          <w:sz w:val="16"/>
          <w:szCs w:val="16"/>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56"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In 2020, the Company invested $5.0 million in preferred shares of an entity with a creative production and analytics platform. These preferred shares do not have a readily determinable fair value, and give the Company less than a 2% fully diluted ownership interest.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PicMonkey, LLC</w:t>
      </w:r>
    </w:p>
    <w:p>
      <w:pPr>
        <w:spacing w:after="0" w:line="109"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On September 3, 2021, the Company completed the acquisition of substantially all of the assets and assumption of certain liabilities from PicMonkey, LLC (“PicMonkey”), for approximately $109.4 million. The total purchase price was paid with existing cash on hand in the three months ended September 30, 2021. In connection with the acquisition, the Company incurred approximately $2 million of transaction costs, which is included in general and administrative expenses in the Consolidated Statements of Operations.</w:t>
      </w:r>
    </w:p>
    <w:p>
      <w:pPr>
        <w:spacing w:after="0" w:line="85"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85"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The identifiable intangible assets, which include customer relationships, developed technology and trade names, have weighted average useful lives of approximately 12 years, 5 years and 10 years, respectively. The goodwill arising from the transaction is primarily attributable to expected operational synergies and is expected to be deductible for income tax purposes.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TurboSquid, Inc.</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February 1, 2021, the Company completed its acquisition of all of the outstanding shares of TurboSquid, Inc. (“TurboSquid”),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$77.3 million. The total purchase price was paid with existing cash on hand in the three months ended March 31, 2021. In connection with the acquisition,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Company incurred approximately $1.6 million of transaction costs, which is included in general and administrative expenses on the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9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TurboSquid is a Louisiana-based company that operates a marketplace offering more than one million 3D models, a marketplace for 2 dimensional (“2D”) images derived from 3D objects and a digital asset management solution. The Company</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2" w:name="page83"/>
    <w:bookmarkEnd w:id="8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believes this acquisition establishes Shutterstock as the premium destination for 3D models as well as 3D models in an easy-to-use 2D format.</w:t>
      </w:r>
    </w:p>
    <w:p>
      <w:pPr>
        <w:spacing w:after="0" w:line="132"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27"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The PicMonkey and TurboSquid transactions were accounted for using the acquisition method and, accordingly, the results of the acquired businesses have been included in the Company’s results of operations from the respective acquisition dates. For the year ended December 31, 2021, PicMonkey and TurboSquid revenues of $8.9 million and $25.9 million, respectively, are included in the Consolidated Statements of Operations.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 Determining the fair value requires management to use significant judgment and estimates, including estimates of future revenue growth rates, research and development expense adjustments, sales and marketing expense adjustments, the discount rate, earnings before interest, taxes, and amortization (“EBITA”) margins and the customer attrition rate, among others.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purchase price for these acquisitions have been allocated to the assets acquired and liabilities assumed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 (in thousands):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4"/>
                <w:szCs w:val="14"/>
                <w:b w:val="1"/>
                <w:bCs w:val="1"/>
                <w:color w:val="auto"/>
              </w:rPr>
              <w:t>PicMonkey</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4"/>
                <w:szCs w:val="14"/>
                <w:b w:val="1"/>
                <w:bCs w:val="1"/>
                <w:color w:val="auto"/>
              </w:rPr>
              <w:t>TurboSquid</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4"/>
                <w:szCs w:val="14"/>
                <w:b w:val="1"/>
                <w:bCs w:val="1"/>
                <w:color w:val="auto"/>
              </w:rPr>
              <w:t>Total</w:t>
            </w:r>
          </w:p>
        </w:tc>
      </w:tr>
      <w:tr>
        <w:trPr>
          <w:trHeight w:val="200"/>
        </w:trPr>
        <w:tc>
          <w:tcPr>
            <w:tcW w:w="666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5,165</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5,165</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 of use asset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07"/>
        </w:trPr>
        <w:tc>
          <w:tcPr>
            <w:tcW w:w="66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37,800</w:t>
            </w:r>
          </w:p>
        </w:tc>
      </w:tr>
      <w:tr>
        <w:trPr>
          <w:trHeight w:val="207"/>
        </w:trPr>
        <w:tc>
          <w:tcPr>
            <w:tcW w:w="6660" w:type="dxa"/>
            <w:vAlign w:val="bottom"/>
          </w:tcPr>
          <w:p>
            <w:pPr>
              <w:ind w:left="340"/>
              <w:spacing w:after="0"/>
              <w:rPr>
                <w:sz w:val="20"/>
                <w:szCs w:val="20"/>
                <w:color w:val="auto"/>
              </w:rPr>
            </w:pPr>
            <w:r>
              <w:rPr>
                <w:rFonts w:ascii="Arial" w:cs="Arial" w:eastAsia="Arial" w:hAnsi="Arial"/>
                <w:sz w:val="16"/>
                <w:szCs w:val="16"/>
                <w:color w:val="auto"/>
              </w:rPr>
              <w:t>Trade name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5,200</w:t>
            </w:r>
          </w:p>
        </w:tc>
      </w:tr>
      <w:tr>
        <w:trPr>
          <w:trHeight w:val="214"/>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Developed technology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20,700</w:t>
            </w:r>
          </w:p>
        </w:tc>
      </w:tr>
      <w:tr>
        <w:trPr>
          <w:trHeight w:val="207"/>
        </w:trPr>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Contributor content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r>
      <w:tr>
        <w:trPr>
          <w:trHeight w:val="207"/>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66,200</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71,607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59,491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131,098</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00"/>
        </w:trPr>
        <w:tc>
          <w:tcPr>
            <w:tcW w:w="6660" w:type="dxa"/>
            <w:vAlign w:val="bottom"/>
          </w:tcPr>
          <w:p>
            <w:pPr>
              <w:ind w:left="20"/>
              <w:spacing w:after="0"/>
              <w:rPr>
                <w:sz w:val="20"/>
                <w:szCs w:val="20"/>
                <w:color w:val="auto"/>
              </w:rPr>
            </w:pPr>
            <w:r>
              <w:rPr>
                <w:rFonts w:ascii="Arial" w:cs="Arial" w:eastAsia="Arial" w:hAnsi="Arial"/>
                <w:sz w:val="16"/>
                <w:szCs w:val="16"/>
                <w:color w:val="auto"/>
              </w:rPr>
              <w:t>Total assets acquired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120,685</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88,181</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208,866</w:t>
            </w:r>
          </w:p>
        </w:tc>
      </w:tr>
      <w:tr>
        <w:trPr>
          <w:trHeight w:val="36"/>
        </w:trPr>
        <w:tc>
          <w:tcPr>
            <w:tcW w:w="6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Contributor royalties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(2,243)</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(4,456)</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0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 assumed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(22,141)</w:t>
            </w:r>
          </w:p>
        </w:tc>
      </w:tr>
      <w:tr>
        <w:trPr>
          <w:trHeight w:val="23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109,395</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77,330</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3" w:name="page84"/>
    <w:bookmarkEnd w:id="8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The following unaudited pro forma consolidated financial information (in thousands) reflects the results of operations of the Company for the years ended December 31, 2021 and 2020, as if the PicMonkey and TurboSquid acquisitions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6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4"/>
                <w:szCs w:val="14"/>
                <w:b w:val="1"/>
                <w:bCs w:val="1"/>
                <w:color w:val="auto"/>
                <w:w w:val="83"/>
              </w:rPr>
              <w:t>2020</w:t>
            </w:r>
          </w:p>
        </w:tc>
      </w:tr>
      <w:tr>
        <w:trPr>
          <w:trHeight w:val="187"/>
        </w:trPr>
        <w:tc>
          <w:tcPr>
            <w:tcW w:w="7660" w:type="dxa"/>
            <w:vAlign w:val="bottom"/>
          </w:tcPr>
          <w:p>
            <w:pPr>
              <w:ind w:left="420"/>
              <w:spacing w:after="0"/>
              <w:rPr>
                <w:sz w:val="20"/>
                <w:szCs w:val="20"/>
                <w:color w:val="auto"/>
              </w:rPr>
            </w:pPr>
            <w:r>
              <w:rPr>
                <w:rFonts w:ascii="Arial" w:cs="Arial" w:eastAsia="Arial" w:hAnsi="Arial"/>
                <w:sz w:val="16"/>
                <w:szCs w:val="16"/>
                <w:color w:val="auto"/>
              </w:rPr>
              <w:t>Revenue</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7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As Reported</w:t>
            </w: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666,686</w:t>
            </w:r>
          </w:p>
        </w:tc>
      </w:tr>
      <w:tr>
        <w:trPr>
          <w:trHeight w:val="207"/>
        </w:trPr>
        <w:tc>
          <w:tcPr>
            <w:tcW w:w="7660" w:type="dxa"/>
            <w:vAlign w:val="bottom"/>
          </w:tcPr>
          <w:p>
            <w:pPr>
              <w:ind w:left="520"/>
              <w:spacing w:after="0"/>
              <w:rPr>
                <w:sz w:val="20"/>
                <w:szCs w:val="20"/>
                <w:color w:val="auto"/>
              </w:rPr>
            </w:pPr>
            <w:r>
              <w:rPr>
                <w:rFonts w:ascii="Arial" w:cs="Arial" w:eastAsia="Arial" w:hAnsi="Arial"/>
                <w:sz w:val="16"/>
                <w:szCs w:val="16"/>
                <w:color w:val="auto"/>
              </w:rPr>
              <w:t>Pro Forma</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795,498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720,302</w:t>
            </w:r>
          </w:p>
        </w:tc>
      </w:tr>
      <w:tr>
        <w:trPr>
          <w:trHeight w:val="214"/>
        </w:trPr>
        <w:tc>
          <w:tcPr>
            <w:tcW w:w="7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before income taxes</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7"/>
        </w:trPr>
        <w:tc>
          <w:tcPr>
            <w:tcW w:w="7660" w:type="dxa"/>
            <w:vAlign w:val="bottom"/>
          </w:tcPr>
          <w:p>
            <w:pPr>
              <w:ind w:left="520"/>
              <w:spacing w:after="0"/>
              <w:rPr>
                <w:sz w:val="20"/>
                <w:szCs w:val="20"/>
                <w:color w:val="auto"/>
              </w:rPr>
            </w:pPr>
            <w:r>
              <w:rPr>
                <w:rFonts w:ascii="Arial" w:cs="Arial" w:eastAsia="Arial" w:hAnsi="Arial"/>
                <w:sz w:val="16"/>
                <w:szCs w:val="16"/>
                <w:color w:val="auto"/>
              </w:rPr>
              <w:t>As Reported</w:t>
            </w: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104,736</w:t>
            </w:r>
          </w:p>
        </w:tc>
        <w:tc>
          <w:tcPr>
            <w:tcW w:w="100" w:type="dxa"/>
            <w:vAlign w:val="bottom"/>
          </w:tcPr>
          <w:p>
            <w:pPr>
              <w:spacing w:after="0"/>
              <w:rPr>
                <w:sz w:val="18"/>
                <w:szCs w:val="18"/>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89,523</w:t>
            </w:r>
          </w:p>
        </w:tc>
      </w:tr>
      <w:tr>
        <w:trPr>
          <w:trHeight w:val="214"/>
        </w:trPr>
        <w:tc>
          <w:tcPr>
            <w:tcW w:w="7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Pro Forma</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87,044</w:t>
            </w:r>
          </w:p>
        </w:tc>
      </w:tr>
    </w:tbl>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Asset Acquisitions</w:t>
      </w:r>
    </w:p>
    <w:p>
      <w:pPr>
        <w:spacing w:after="0" w:line="109"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In July 2021, the Company completed the acquisitions of Pattern89, Inc., Datasine Limited and assets from Shotzr, Inc. These three entities provide data driven insights through their artificial intelligence platforms. The aggregate purchase price for these transactions was approximately $35 million and is subject to customary working capital and other adjustments and was paid from existing cash on hand. Approximately $3.6 million of the total purchase consideration was subject to contractual holdback provisions and is expected to be paid within the next 12 months. The Company has accounted for these transactions as asset acquisitions and has recorded a total of $41 million of developed technology intangible assets, which are being amortized on a straight-line basis over a useful life of 3 years.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77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r>
      <w:tr>
        <w:trPr>
          <w:trHeight w:val="204"/>
        </w:trPr>
        <w:tc>
          <w:tcPr>
            <w:tcW w:w="7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Computer equipment and software</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221,429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193,141</w:t>
            </w:r>
          </w:p>
        </w:tc>
      </w:tr>
      <w:tr>
        <w:trPr>
          <w:trHeight w:val="207"/>
        </w:trPr>
        <w:tc>
          <w:tcPr>
            <w:tcW w:w="7740" w:type="dxa"/>
            <w:vAlign w:val="bottom"/>
          </w:tcPr>
          <w:p>
            <w:pPr>
              <w:ind w:left="420"/>
              <w:spacing w:after="0"/>
              <w:rPr>
                <w:sz w:val="20"/>
                <w:szCs w:val="20"/>
                <w:color w:val="auto"/>
              </w:rPr>
            </w:pPr>
            <w:r>
              <w:rPr>
                <w:rFonts w:ascii="Arial" w:cs="Arial" w:eastAsia="Arial" w:hAnsi="Arial"/>
                <w:sz w:val="16"/>
                <w:szCs w:val="16"/>
                <w:color w:val="auto"/>
              </w:rPr>
              <w:t>Furniture and fixtures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10,238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10,235</w:t>
            </w:r>
          </w:p>
        </w:tc>
      </w:tr>
      <w:tr>
        <w:trPr>
          <w:trHeight w:val="214"/>
        </w:trPr>
        <w:tc>
          <w:tcPr>
            <w:tcW w:w="7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Leasehold improvements</w:t>
            </w: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19,453</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19,382</w:t>
            </w:r>
          </w:p>
        </w:tc>
      </w:tr>
      <w:tr>
        <w:trPr>
          <w:trHeight w:val="200"/>
        </w:trPr>
        <w:tc>
          <w:tcPr>
            <w:tcW w:w="7740" w:type="dxa"/>
            <w:vAlign w:val="bottom"/>
          </w:tcPr>
          <w:p>
            <w:pPr>
              <w:ind w:left="420"/>
              <w:spacing w:after="0"/>
              <w:rPr>
                <w:sz w:val="20"/>
                <w:szCs w:val="20"/>
                <w:color w:val="auto"/>
              </w:rPr>
            </w:pPr>
            <w:r>
              <w:rPr>
                <w:rFonts w:ascii="Arial" w:cs="Arial" w:eastAsia="Arial" w:hAnsi="Arial"/>
                <w:sz w:val="16"/>
                <w:szCs w:val="16"/>
                <w:color w:val="auto"/>
              </w:rPr>
              <w:t>Property and equipment</w:t>
            </w: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251,120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222,758</w:t>
            </w:r>
          </w:p>
        </w:tc>
      </w:tr>
      <w:tr>
        <w:trPr>
          <w:trHeight w:val="211"/>
        </w:trPr>
        <w:tc>
          <w:tcPr>
            <w:tcW w:w="7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(203,046)</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w:t>
            </w:r>
          </w:p>
        </w:tc>
      </w:tr>
      <w:tr>
        <w:trPr>
          <w:trHeight w:val="207"/>
        </w:trPr>
        <w:tc>
          <w:tcPr>
            <w:tcW w:w="7740" w:type="dxa"/>
            <w:vAlign w:val="bottom"/>
          </w:tcPr>
          <w:p>
            <w:pPr>
              <w:ind w:left="420"/>
              <w:spacing w:after="0"/>
              <w:rPr>
                <w:sz w:val="20"/>
                <w:szCs w:val="20"/>
                <w:color w:val="auto"/>
              </w:rPr>
            </w:pPr>
            <w:r>
              <w:rPr>
                <w:rFonts w:ascii="Arial" w:cs="Arial" w:eastAsia="Arial" w:hAnsi="Arial"/>
                <w:sz w:val="16"/>
                <w:szCs w:val="16"/>
                <w:color w:val="auto"/>
              </w:rPr>
              <w:t>Property and equipment, net</w:t>
            </w: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50,906</w:t>
            </w:r>
          </w:p>
        </w:tc>
      </w:tr>
      <w:tr>
        <w:trPr>
          <w:trHeight w:val="20"/>
        </w:trPr>
        <w:tc>
          <w:tcPr>
            <w:tcW w:w="7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Depreciation and amortization expense related to property and equipment amounted to $31.7 million, $35.6 million and $42.9 million, for the years ended December 31, 2021, 2020 and 2019, respectively. Of these amounts, $28.4 million, $31.6 million and $38.1 million are included in cost of revenue for the years ended December 31, 2021, 2020 and 2019, respectively, and $3.3 million, $4.0 million and $4.8 million are included in general and administrative expense for the years ended December 31, 2021, 2020 and 2019, respectively.</w:t>
      </w:r>
    </w:p>
    <w:p>
      <w:pPr>
        <w:spacing w:after="0" w:line="124"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Depreciation and amortization expense is included in cost of revenue and general and administrative expense based on the nature of the asset. There was no loss on disposal for the years ended December 31, 2021, 2020 and 2019, respectively.</w:t>
      </w: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4" w:name="page85"/>
    <w:bookmarkEnd w:id="8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56"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The Company capitalized costs related to the development of internal-use software of $27.8 million, $25.1 million and $23.6 million for the years ended December 31, 2021, 2020 and 2019, respectively. Capitalized amounts are included as a component of property and equipment under computer equipment and software. During 2021, 2020 and 2019, the Company invested significantly in its product development and hosting infrastructure to enhance its customer experience and increase the efficiency with which management deploys new products and features.</w:t>
      </w:r>
    </w:p>
    <w:p>
      <w:pPr>
        <w:spacing w:after="0" w:line="55" w:lineRule="exact"/>
        <w:rPr>
          <w:sz w:val="20"/>
          <w:szCs w:val="20"/>
          <w:color w:val="auto"/>
        </w:rPr>
      </w:pPr>
    </w:p>
    <w:p>
      <w:pPr>
        <w:ind w:right="240" w:firstLine="395"/>
        <w:spacing w:after="0" w:line="252" w:lineRule="auto"/>
        <w:rPr>
          <w:sz w:val="20"/>
          <w:szCs w:val="20"/>
          <w:color w:val="auto"/>
        </w:rPr>
      </w:pPr>
      <w:r>
        <w:rPr>
          <w:rFonts w:ascii="Arial" w:cs="Arial" w:eastAsia="Arial" w:hAnsi="Arial"/>
          <w:sz w:val="18"/>
          <w:szCs w:val="18"/>
          <w:color w:val="auto"/>
        </w:rPr>
        <w:t>The portion of total depreciation expense related to capitalized internal-use software was $26.9 million, $28.9 million and $30.3 million for the years ended December 31, 2021, 2020 and 2019, respectively. Depreciation expense related to capitalized internal-use software is included in cost of revenue in the Consolidated Statement of Operations.</w:t>
      </w:r>
    </w:p>
    <w:p>
      <w:pPr>
        <w:spacing w:after="0" w:line="85" w:lineRule="exact"/>
        <w:rPr>
          <w:sz w:val="20"/>
          <w:szCs w:val="20"/>
          <w:color w:val="auto"/>
        </w:rPr>
      </w:pPr>
    </w:p>
    <w:p>
      <w:pPr>
        <w:ind w:right="880" w:firstLine="395"/>
        <w:spacing w:after="0" w:line="261" w:lineRule="auto"/>
        <w:rPr>
          <w:sz w:val="20"/>
          <w:szCs w:val="20"/>
          <w:color w:val="auto"/>
        </w:rPr>
      </w:pPr>
      <w:r>
        <w:rPr>
          <w:rFonts w:ascii="Arial" w:cs="Arial" w:eastAsia="Arial" w:hAnsi="Arial"/>
          <w:sz w:val="18"/>
          <w:szCs w:val="18"/>
          <w:color w:val="auto"/>
        </w:rPr>
        <w:t>As of December 31, 2021 and 2020, the Company had capitalized internal-use software of $39.0 million and $38.0 million, respectively, net of accumulated depreciation, which was included in property and equipment, net.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the Company’s goodwill balance for the year ended December 31, 2021 (in thousands):</w:t>
      </w:r>
    </w:p>
    <w:p>
      <w:pPr>
        <w:spacing w:after="0" w:line="82"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300"/>
          </w:cols>
          <w:pgMar w:left="320" w:top="272" w:right="279" w:bottom="1440" w:gutter="0" w:footer="0" w:header="0"/>
        </w:sectPr>
      </w:pPr>
    </w:p>
    <w:p>
      <w:pPr>
        <w:spacing w:after="0" w:line="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Balance as of December 31, 2020</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Goodwill related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5495" cy="133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Foreign currency translation adjustment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Balance as of December 31, 2021</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230" w:hanging="1230"/>
        <w:spacing w:after="0"/>
        <w:tabs>
          <w:tab w:leader="none" w:pos="1230" w:val="left"/>
        </w:tabs>
        <w:numPr>
          <w:ilvl w:val="0"/>
          <w:numId w:val="32"/>
        </w:numPr>
        <w:rPr>
          <w:rFonts w:ascii="Arial" w:cs="Arial" w:eastAsia="Arial" w:hAnsi="Arial"/>
          <w:sz w:val="15"/>
          <w:szCs w:val="15"/>
          <w:color w:val="auto"/>
        </w:rPr>
      </w:pPr>
      <w:r>
        <w:rPr>
          <w:rFonts w:ascii="Arial" w:cs="Arial" w:eastAsia="Arial" w:hAnsi="Arial"/>
          <w:sz w:val="15"/>
          <w:szCs w:val="15"/>
          <w:color w:val="auto"/>
        </w:rPr>
        <w:t>89,413</w:t>
      </w:r>
    </w:p>
    <w:p>
      <w:pPr>
        <w:spacing w:after="0" w:line="38" w:lineRule="exact"/>
        <w:rPr>
          <w:rFonts w:ascii="Arial" w:cs="Arial" w:eastAsia="Arial" w:hAnsi="Arial"/>
          <w:sz w:val="15"/>
          <w:szCs w:val="15"/>
          <w:color w:val="auto"/>
        </w:rPr>
      </w:pPr>
    </w:p>
    <w:p>
      <w:pPr>
        <w:ind w:left="1150"/>
        <w:spacing w:after="0"/>
        <w:rPr>
          <w:rFonts w:ascii="Arial" w:cs="Arial" w:eastAsia="Arial" w:hAnsi="Arial"/>
          <w:sz w:val="15"/>
          <w:szCs w:val="15"/>
          <w:color w:val="auto"/>
        </w:rPr>
      </w:pPr>
      <w:r>
        <w:rPr>
          <w:rFonts w:ascii="Arial" w:cs="Arial" w:eastAsia="Arial" w:hAnsi="Arial"/>
          <w:sz w:val="15"/>
          <w:szCs w:val="15"/>
          <w:color w:val="auto"/>
        </w:rPr>
        <w:t>131,098</w:t>
      </w:r>
    </w:p>
    <w:p>
      <w:pPr>
        <w:spacing w:after="0" w:line="38" w:lineRule="exact"/>
        <w:rPr>
          <w:rFonts w:ascii="Arial" w:cs="Arial" w:eastAsia="Arial" w:hAnsi="Arial"/>
          <w:sz w:val="15"/>
          <w:szCs w:val="15"/>
          <w:color w:val="auto"/>
        </w:rPr>
      </w:pPr>
    </w:p>
    <w:p>
      <w:pPr>
        <w:ind w:left="1370"/>
        <w:spacing w:after="0"/>
        <w:rPr>
          <w:rFonts w:ascii="Arial" w:cs="Arial" w:eastAsia="Arial" w:hAnsi="Arial"/>
          <w:sz w:val="15"/>
          <w:szCs w:val="15"/>
          <w:color w:val="auto"/>
        </w:rPr>
      </w:pPr>
      <w:r>
        <w:rPr>
          <w:rFonts w:ascii="Arial" w:cs="Arial" w:eastAsia="Arial" w:hAnsi="Arial"/>
          <w:sz w:val="14"/>
          <w:szCs w:val="14"/>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29210</wp:posOffset>
            </wp:positionV>
            <wp:extent cx="1362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43" w:lineRule="exact"/>
        <w:rPr>
          <w:sz w:val="20"/>
          <w:szCs w:val="20"/>
          <w:color w:val="auto"/>
        </w:rPr>
      </w:pPr>
    </w:p>
    <w:p>
      <w:pPr>
        <w:ind w:left="1150" w:hanging="1150"/>
        <w:spacing w:after="0"/>
        <w:tabs>
          <w:tab w:leader="none" w:pos="115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219,816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22225</wp:posOffset>
            </wp:positionV>
            <wp:extent cx="1362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62075"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46990</wp:posOffset>
            </wp:positionV>
            <wp:extent cx="13620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8790" w:space="720"/>
            <w:col w:w="1790"/>
          </w:cols>
          <w:pgMar w:left="320" w:top="272" w:right="279" w:bottom="1440" w:gutter="0" w:footer="0" w:header="0"/>
          <w:type w:val="continuous"/>
        </w:sectPr>
      </w:pPr>
    </w:p>
    <w:p>
      <w:pPr>
        <w:spacing w:after="0" w:line="74"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In 2021, the Company’s goodwill balance was allocated to a single reporting unit. The Company performed its annual goodwill assessment as of October 1, 2021 and concluded that the fair value of its reporting unit was greater than its carrying amount, and therefore, no adjustment to the carrying value of goodwill was necessary. The Company utilized a qualitative assessment of its content business reporting unit to determine whether a quantitative assessment was necessary and determined there were no indicators of potential impairment.</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impairments of goodwill in any of the periods presented in the consolidated financial statements.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all of which are subject to amortization, consist of the following as of December 31, 2021 and 2020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As of December 31, 2021</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As of December 31, 2020</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80"/>
              <w:spacing w:after="0" w:line="132"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1"/>
                <w:szCs w:val="11"/>
                <w:color w:val="auto"/>
              </w:rPr>
            </w:pPr>
          </w:p>
        </w:tc>
        <w:tc>
          <w:tcPr>
            <w:tcW w:w="13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980" w:type="dxa"/>
            <w:vAlign w:val="bottom"/>
          </w:tcPr>
          <w:p>
            <w:pPr>
              <w:jc w:val="right"/>
              <w:ind w:right="363"/>
              <w:spacing w:after="0" w:line="132"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1"/>
                <w:szCs w:val="11"/>
                <w:color w:val="auto"/>
              </w:rPr>
            </w:pPr>
          </w:p>
        </w:tc>
        <w:tc>
          <w:tcPr>
            <w:tcW w:w="1080" w:type="dxa"/>
            <w:vAlign w:val="bottom"/>
            <w:gridSpan w:val="2"/>
          </w:tcPr>
          <w:p>
            <w:pPr>
              <w:ind w:left="420"/>
              <w:spacing w:after="0" w:line="132" w:lineRule="exact"/>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11"/>
                <w:szCs w:val="11"/>
                <w:color w:val="auto"/>
              </w:rPr>
            </w:pPr>
          </w:p>
        </w:tc>
        <w:tc>
          <w:tcPr>
            <w:tcW w:w="880" w:type="dxa"/>
            <w:vAlign w:val="bottom"/>
            <w:gridSpan w:val="2"/>
          </w:tcPr>
          <w:p>
            <w:pPr>
              <w:ind w:left="120"/>
              <w:spacing w:after="0" w:line="132" w:lineRule="exact"/>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1"/>
                <w:szCs w:val="11"/>
                <w:color w:val="auto"/>
              </w:rPr>
            </w:pPr>
          </w:p>
        </w:tc>
        <w:tc>
          <w:tcPr>
            <w:tcW w:w="13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1"/>
                <w:szCs w:val="11"/>
                <w:color w:val="auto"/>
              </w:rPr>
            </w:pPr>
          </w:p>
        </w:tc>
        <w:tc>
          <w:tcPr>
            <w:tcW w:w="740" w:type="dxa"/>
            <w:vAlign w:val="bottom"/>
          </w:tcPr>
          <w:p>
            <w:pPr>
              <w:jc w:val="right"/>
              <w:ind w:right="302"/>
              <w:spacing w:after="0" w:line="13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1540" w:type="dxa"/>
            <w:vAlign w:val="bottom"/>
            <w:gridSpan w:val="3"/>
          </w:tcPr>
          <w:p>
            <w:pPr>
              <w:ind w:left="460"/>
              <w:spacing w:after="0" w:line="132"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00" w:type="dxa"/>
            <w:vAlign w:val="bottom"/>
            <w:gridSpan w:val="2"/>
          </w:tcPr>
          <w:p>
            <w:pPr>
              <w:jc w:val="right"/>
              <w:ind w:right="383"/>
              <w:spacing w:after="0" w:line="132"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4"/>
                <w:szCs w:val="14"/>
                <w:b w:val="1"/>
                <w:bCs w:val="1"/>
                <w:color w:val="auto"/>
              </w:rPr>
              <w:t>Average Life</w:t>
            </w:r>
          </w:p>
        </w:tc>
        <w:tc>
          <w:tcPr>
            <w:tcW w:w="1480" w:type="dxa"/>
            <w:vAlign w:val="bottom"/>
            <w:gridSpan w:val="3"/>
          </w:tcPr>
          <w:p>
            <w:pPr>
              <w:ind w:left="420"/>
              <w:spacing w:after="0" w:line="132"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120" w:type="dxa"/>
            <w:vAlign w:val="bottom"/>
            <w:gridSpan w:val="2"/>
          </w:tcPr>
          <w:p>
            <w:pPr>
              <w:ind w:left="160"/>
              <w:spacing w:after="0" w:line="13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4"/>
        </w:trPr>
        <w:tc>
          <w:tcPr>
            <w:tcW w:w="1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420"/>
              <w:spacing w:after="0" w:line="142" w:lineRule="exact"/>
              <w:rPr>
                <w:sz w:val="20"/>
                <w:szCs w:val="20"/>
                <w:color w:val="auto"/>
              </w:rPr>
            </w:pPr>
            <w:r>
              <w:rPr>
                <w:rFonts w:ascii="Arial" w:cs="Arial" w:eastAsia="Arial" w:hAnsi="Arial"/>
                <w:sz w:val="16"/>
                <w:szCs w:val="16"/>
                <w:color w:val="auto"/>
              </w:rPr>
              <w:t>Customer</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55,542</w:t>
            </w: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(13,906)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41,636</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18,132</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(11,032)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07"/>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relationships</w:t>
            </w:r>
          </w:p>
        </w:tc>
        <w:tc>
          <w:tcPr>
            <w:tcW w:w="4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420"/>
              <w:spacing w:after="0" w:line="161" w:lineRule="exact"/>
              <w:rPr>
                <w:sz w:val="20"/>
                <w:szCs w:val="20"/>
                <w:color w:val="auto"/>
              </w:rPr>
            </w:pPr>
            <w:r>
              <w:rPr>
                <w:rFonts w:ascii="Arial" w:cs="Arial" w:eastAsia="Arial" w:hAnsi="Arial"/>
                <w:sz w:val="16"/>
                <w:szCs w:val="16"/>
                <w:color w:val="auto"/>
              </w:rPr>
              <w:t>Trade</w:t>
            </w:r>
          </w:p>
        </w:tc>
        <w:tc>
          <w:tcPr>
            <w:tcW w:w="4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11,787</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(6,805)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4,982</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6,669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(6,328)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4"/>
        </w:trPr>
        <w:tc>
          <w:tcPr>
            <w:tcW w:w="1180" w:type="dxa"/>
            <w:vAlign w:val="bottom"/>
          </w:tcPr>
          <w:p>
            <w:pPr>
              <w:ind w:left="20"/>
              <w:spacing w:after="0"/>
              <w:rPr>
                <w:sz w:val="20"/>
                <w:szCs w:val="20"/>
                <w:color w:val="auto"/>
              </w:rPr>
            </w:pPr>
            <w:r>
              <w:rPr>
                <w:rFonts w:ascii="Arial" w:cs="Arial" w:eastAsia="Arial" w:hAnsi="Arial"/>
                <w:sz w:val="16"/>
                <w:szCs w:val="16"/>
                <w:color w:val="auto"/>
              </w:rPr>
              <w:t>name</w:t>
            </w: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180" w:type="dxa"/>
            <w:vAlign w:val="bottom"/>
            <w:shd w:val="clear" w:color="auto" w:fill="CCEEFF"/>
          </w:tcPr>
          <w:p>
            <w:pPr>
              <w:ind w:left="420"/>
              <w:spacing w:after="0" w:line="165" w:lineRule="exact"/>
              <w:rPr>
                <w:sz w:val="20"/>
                <w:szCs w:val="20"/>
                <w:color w:val="auto"/>
              </w:rPr>
            </w:pPr>
            <w:r>
              <w:rPr>
                <w:rFonts w:ascii="Arial" w:cs="Arial" w:eastAsia="Arial" w:hAnsi="Arial"/>
                <w:sz w:val="16"/>
                <w:szCs w:val="16"/>
                <w:color w:val="auto"/>
                <w:w w:val="96"/>
              </w:rPr>
              <w:t>Developed</w:t>
            </w: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67,940</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53,726</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6,930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07"/>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4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420"/>
              <w:spacing w:after="0" w:line="161" w:lineRule="exact"/>
              <w:rPr>
                <w:sz w:val="20"/>
                <w:szCs w:val="20"/>
                <w:color w:val="auto"/>
              </w:rPr>
            </w:pPr>
            <w:r>
              <w:rPr>
                <w:rFonts w:ascii="Arial" w:cs="Arial" w:eastAsia="Arial" w:hAnsi="Arial"/>
                <w:sz w:val="16"/>
                <w:szCs w:val="16"/>
                <w:color w:val="auto"/>
                <w:w w:val="93"/>
              </w:rPr>
              <w:t>Contributor</w:t>
            </w:r>
          </w:p>
        </w:tc>
        <w:tc>
          <w:tcPr>
            <w:tcW w:w="4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37,984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(14,632)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23,352</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26,669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(10,378)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16,291</w:t>
            </w:r>
          </w:p>
        </w:tc>
        <w:tc>
          <w:tcPr>
            <w:tcW w:w="0" w:type="dxa"/>
            <w:vAlign w:val="bottom"/>
          </w:tcPr>
          <w:p>
            <w:pPr>
              <w:spacing w:after="0"/>
              <w:rPr>
                <w:sz w:val="1"/>
                <w:szCs w:val="1"/>
                <w:color w:val="auto"/>
              </w:rPr>
            </w:pPr>
          </w:p>
        </w:tc>
      </w:tr>
      <w:tr>
        <w:trPr>
          <w:trHeight w:val="204"/>
        </w:trPr>
        <w:tc>
          <w:tcPr>
            <w:tcW w:w="1180" w:type="dxa"/>
            <w:vAlign w:val="bottom"/>
          </w:tcPr>
          <w:p>
            <w:pPr>
              <w:ind w:left="20"/>
              <w:spacing w:after="0"/>
              <w:rPr>
                <w:sz w:val="20"/>
                <w:szCs w:val="20"/>
                <w:color w:val="auto"/>
              </w:rPr>
            </w:pPr>
            <w:r>
              <w:rPr>
                <w:rFonts w:ascii="Arial" w:cs="Arial" w:eastAsia="Arial" w:hAnsi="Arial"/>
                <w:sz w:val="16"/>
                <w:szCs w:val="16"/>
                <w:color w:val="auto"/>
              </w:rPr>
              <w:t>content</w:t>
            </w: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Patents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259</w:t>
            </w:r>
          </w:p>
        </w:tc>
        <w:tc>
          <w:tcPr>
            <w:tcW w:w="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7"/>
        </w:trPr>
        <w:tc>
          <w:tcPr>
            <w:tcW w:w="1180" w:type="dxa"/>
            <w:vAlign w:val="bottom"/>
          </w:tcPr>
          <w:p>
            <w:pPr>
              <w:ind w:left="5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173,512</w:t>
            </w:r>
          </w:p>
        </w:tc>
        <w:tc>
          <w:tcPr>
            <w:tcW w:w="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(49,690)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123,822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58,659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Amortization expense related to the intangible assets was $17.1 million, $5.8 million and $7.0 million for the years ended December 31, 2021, 2020 and 2019, respectively. Of these amounts, $13.1 million, $3.4 million and $2.3 million are included</w:t>
      </w:r>
    </w:p>
    <w:p>
      <w:pPr>
        <w:sectPr>
          <w:pgSz w:w="11900" w:h="16838" w:orient="portrait"/>
          <w:cols w:equalWidth="0" w:num="1">
            <w:col w:w="11300"/>
          </w:cols>
          <w:pgMar w:left="320" w:top="272" w:right="27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00"/>
          </w:cols>
          <w:pgMar w:left="320" w:top="272" w:right="279" w:bottom="1440" w:gutter="0" w:footer="0" w:header="0"/>
          <w:type w:val="continuous"/>
        </w:sectPr>
      </w:pPr>
    </w:p>
    <w:bookmarkStart w:id="85" w:name="page86"/>
    <w:bookmarkEnd w:id="8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cost of revenue for the years ended December 31, 2021, 2020 and 2019, respectively, and $4.0 million, $2.4 million and $4.7 million are included in general and administrative expense for the years ended December 31, 2021, 2020 and 2019, respectively.</w:t>
      </w:r>
    </w:p>
    <w:p>
      <w:pPr>
        <w:spacing w:after="0" w:line="116" w:lineRule="exact"/>
        <w:rPr>
          <w:sz w:val="20"/>
          <w:szCs w:val="20"/>
          <w:color w:val="auto"/>
        </w:rPr>
      </w:pPr>
    </w:p>
    <w:p>
      <w:pPr>
        <w:jc w:val="both"/>
        <w:ind w:right="160" w:firstLine="395"/>
        <w:spacing w:after="0" w:line="252" w:lineRule="auto"/>
        <w:rPr>
          <w:sz w:val="20"/>
          <w:szCs w:val="20"/>
          <w:color w:val="auto"/>
        </w:rPr>
      </w:pPr>
      <w:r>
        <w:rPr>
          <w:rFonts w:ascii="Arial" w:cs="Arial" w:eastAsia="Arial" w:hAnsi="Arial"/>
          <w:sz w:val="18"/>
          <w:szCs w:val="18"/>
          <w:color w:val="auto"/>
        </w:rPr>
        <w:t>The Company determined that there was no indication of impairment for the intangible assets for all periods presented. Estimated amortization expense for the next five years is: $28.3 million in 2022, $28.0 million in 2023, $21.0 million in 2024, $10.2 million in 2025, $8.2 million in 2026 and $28.1 million thereafter.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2"/>
        </w:trPr>
        <w:tc>
          <w:tcPr>
            <w:tcW w:w="79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r>
      <w:tr>
        <w:trPr>
          <w:trHeight w:val="204"/>
        </w:trPr>
        <w:tc>
          <w:tcPr>
            <w:tcW w:w="7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Compensation</w:t>
            </w: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31,499</w:t>
            </w:r>
          </w:p>
        </w:tc>
      </w:tr>
      <w:tr>
        <w:trPr>
          <w:trHeight w:val="207"/>
        </w:trPr>
        <w:tc>
          <w:tcPr>
            <w:tcW w:w="7940" w:type="dxa"/>
            <w:vAlign w:val="bottom"/>
          </w:tcPr>
          <w:p>
            <w:pPr>
              <w:ind w:left="420"/>
              <w:spacing w:after="0"/>
              <w:rPr>
                <w:sz w:val="20"/>
                <w:szCs w:val="20"/>
                <w:color w:val="auto"/>
              </w:rPr>
            </w:pPr>
            <w:r>
              <w:rPr>
                <w:rFonts w:ascii="Arial" w:cs="Arial" w:eastAsia="Arial" w:hAnsi="Arial"/>
                <w:sz w:val="16"/>
                <w:szCs w:val="16"/>
                <w:color w:val="auto"/>
              </w:rPr>
              <w:t>Non-income taxes</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21,488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17,164</w:t>
            </w:r>
          </w:p>
        </w:tc>
      </w:tr>
      <w:tr>
        <w:trPr>
          <w:trHeight w:val="214"/>
        </w:trPr>
        <w:tc>
          <w:tcPr>
            <w:tcW w:w="7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Website hosting and marketing fees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9,991</w:t>
            </w:r>
          </w:p>
        </w:tc>
      </w:tr>
      <w:tr>
        <w:trPr>
          <w:trHeight w:val="207"/>
        </w:trPr>
        <w:tc>
          <w:tcPr>
            <w:tcW w:w="7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expenses</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16,198</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r>
      <w:tr>
        <w:trPr>
          <w:trHeight w:val="232"/>
        </w:trPr>
        <w:tc>
          <w:tcPr>
            <w:tcW w:w="7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accrued expenses</w:t>
            </w: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99,529</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48" w:lineRule="exact"/>
        <w:rPr>
          <w:sz w:val="20"/>
          <w:szCs w:val="20"/>
          <w:color w:val="auto"/>
        </w:rPr>
      </w:pPr>
    </w:p>
    <w:p>
      <w:pPr>
        <w:ind w:right="160" w:firstLine="395"/>
        <w:spacing w:after="0" w:line="282"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8"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81" w:lineRule="exact"/>
        <w:rPr>
          <w:sz w:val="20"/>
          <w:szCs w:val="20"/>
          <w:color w:val="auto"/>
        </w:rPr>
      </w:pPr>
    </w:p>
    <w:p>
      <w:pPr>
        <w:jc w:val="both"/>
        <w:ind w:right="60" w:firstLine="395"/>
        <w:spacing w:after="0" w:line="291"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2021, the Company has not issued and has no plans to issue any shares of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9"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purchase an additional $100 million of its common stock. As of December 31, 2021, the Company has repurchased approximately 2.8 million shares of its common stock under the share repurchase program at an average per-share cost of approximately $45.55.</w:t>
      </w: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86" w:name="page87"/>
    <w:bookmarkEnd w:id="8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During 2021, the Company repurchased approximately 233,700 shares of its common stock at an average per share cost of $116.26. During 2020, the Company did not repurchase any shares of its common stock under the share repurchase program. As of December 31, 2021, there is $73 million of remaining authorization for purchases under the share repurchase program.</w:t>
      </w:r>
    </w:p>
    <w:p>
      <w:pPr>
        <w:spacing w:after="0" w:line="111" w:lineRule="exact"/>
        <w:rPr>
          <w:sz w:val="20"/>
          <w:szCs w:val="20"/>
          <w:color w:val="auto"/>
        </w:rPr>
      </w:pPr>
    </w:p>
    <w:p>
      <w:pPr>
        <w:ind w:right="360" w:firstLine="395"/>
        <w:spacing w:after="0" w:line="316" w:lineRule="auto"/>
        <w:rPr>
          <w:sz w:val="20"/>
          <w:szCs w:val="20"/>
          <w:color w:val="auto"/>
        </w:rPr>
      </w:pPr>
      <w:r>
        <w:rPr>
          <w:rFonts w:ascii="Arial" w:cs="Arial" w:eastAsia="Arial" w:hAnsi="Arial"/>
          <w:sz w:val="15"/>
          <w:szCs w:val="15"/>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Offering</w:t>
      </w:r>
    </w:p>
    <w:p>
      <w:pPr>
        <w:spacing w:after="0" w:line="14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On August 14, 2020, the Company completed an offering (the “Stock Offering”), whereby 2,580,000 shares of its common stock were sold to the public at a price to the public of $48.50 per share. The Company sold 516,000 shares of common stock in the Stock Offering and the Company’s Founder and Executive Chairman of the Board sold 2,064,000 shares of common stock in the Stock Offering. The Company received net proceeds from the shares it sold, after deducting underwriting discounts and commissions and offering expenses payable by the Company, of approximately $23.2 million. The Company did not receive any proceeds from the shares sold by the Company’s Founder and Executive Chairman of the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9" w:lineRule="exact"/>
        <w:rPr>
          <w:sz w:val="20"/>
          <w:szCs w:val="20"/>
          <w:color w:val="auto"/>
        </w:rPr>
      </w:pPr>
    </w:p>
    <w:p>
      <w:pPr>
        <w:ind w:right="320" w:firstLine="395"/>
        <w:spacing w:after="0" w:line="362" w:lineRule="auto"/>
        <w:rPr>
          <w:sz w:val="20"/>
          <w:szCs w:val="20"/>
          <w:color w:val="auto"/>
        </w:rPr>
      </w:pPr>
      <w:r>
        <w:rPr>
          <w:rFonts w:ascii="Arial" w:cs="Arial" w:eastAsia="Arial" w:hAnsi="Arial"/>
          <w:sz w:val="15"/>
          <w:szCs w:val="15"/>
          <w:color w:val="auto"/>
        </w:rPr>
        <w:t>On February 11, 2020, the Board of Directors approved the initiation of a quarterly cash dividend. The Company declared and paid cash dividends totaling $0.84 and $0.68 per share of common stock, or $30.7 million and $24.4 million, during the years ended December 31, 2021 and 2020, respectively.</w:t>
      </w:r>
    </w:p>
    <w:p>
      <w:pPr>
        <w:spacing w:after="0" w:line="111"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On January 24, 2022, the Company’s Board of Directors declared a quarterly cash dividend of $0.24 per share of outstanding common stock payable on March 17, 2022 to stockholders of record at the close of business on March 3, 2022.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distributes its content offerings through two primary channels:</w:t>
      </w:r>
    </w:p>
    <w:p>
      <w:pPr>
        <w:spacing w:after="0" w:line="109" w:lineRule="exact"/>
        <w:rPr>
          <w:sz w:val="20"/>
          <w:szCs w:val="20"/>
          <w:color w:val="auto"/>
        </w:rPr>
      </w:pPr>
    </w:p>
    <w:p>
      <w:pPr>
        <w:ind w:right="160" w:firstLine="395"/>
        <w:spacing w:after="0" w:line="316" w:lineRule="auto"/>
        <w:rPr>
          <w:sz w:val="20"/>
          <w:szCs w:val="20"/>
          <w:color w:val="auto"/>
        </w:rPr>
      </w:pPr>
      <w:r>
        <w:rPr>
          <w:rFonts w:ascii="Arial" w:cs="Arial" w:eastAsia="Arial" w:hAnsi="Arial"/>
          <w:sz w:val="15"/>
          <w:szCs w:val="15"/>
          <w:i w:val="1"/>
          <w:iCs w:val="1"/>
          <w:color w:val="auto"/>
        </w:rPr>
        <w:t xml:space="preserve">E-commerce: </w:t>
      </w:r>
      <w:r>
        <w:rPr>
          <w:rFonts w:ascii="Arial" w:cs="Arial" w:eastAsia="Arial" w:hAnsi="Arial"/>
          <w:sz w:val="15"/>
          <w:szCs w:val="15"/>
          <w:color w:val="auto"/>
        </w:rPr>
        <w:t>The majority of the Company’s customers license content directly through the Company’s self-service web properties. E-commerce</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have the flexibility to purchase a subscription-based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3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The Company also has a base of customers with unique content, licensing and workflow needs. These customers benefit from 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7" w:name="page88"/>
    <w:bookmarkEnd w:id="87"/>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Company’s revenue by distribution channel for the years ended December 31, 2021, 2020 and 2019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6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6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9"/>
        </w:trPr>
        <w:tc>
          <w:tcPr>
            <w:tcW w:w="6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E-commerce</w:t>
            </w: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412,521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392,241</w:t>
            </w:r>
          </w:p>
        </w:tc>
      </w:tr>
      <w:tr>
        <w:trPr>
          <w:trHeight w:val="207"/>
        </w:trPr>
        <w:tc>
          <w:tcPr>
            <w:tcW w:w="61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Enterprise</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283,203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254,165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258,282</w:t>
            </w:r>
          </w:p>
        </w:tc>
      </w:tr>
      <w:tr>
        <w:trPr>
          <w:trHeight w:val="232"/>
        </w:trPr>
        <w:tc>
          <w:tcPr>
            <w:tcW w:w="6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Revenues</w:t>
            </w: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773,415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666,686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650,523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The December 31, 2021 deferred revenue balance will be earned as content is downloaded or upon the expiration of subscription-based products, and nearly all is expected to be earned within the next twelve months. $145.2 million of total revenue recognized for the year ended December 31, 2021 was reflected in deferred revenue as of January 1, 2021.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Equity-Based Compensation</w:t>
      </w:r>
    </w:p>
    <w:p>
      <w:pPr>
        <w:spacing w:after="0" w:line="115"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color w:val="auto"/>
        </w:rPr>
        <w:t>The Company recognizes stock-based compensation expense for all share-based payment awards including employee stock options and RSUs granted under the 2012 Plan based on the fair value of each award on the grant date.</w:t>
      </w:r>
    </w:p>
    <w:p>
      <w:pPr>
        <w:spacing w:after="0" w:line="116"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following table summarizes non-cash equity-based compensation expense, net of forfeitures, by line item included in the Company’s Consolidated Statements of Operations for the years ended December 31, 2021, 2020 and 2019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4"/>
        </w:trPr>
        <w:tc>
          <w:tcPr>
            <w:tcW w:w="63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r>
      <w:tr>
        <w:trPr>
          <w:trHeight w:val="207"/>
        </w:trPr>
        <w:tc>
          <w:tcPr>
            <w:tcW w:w="6380" w:type="dxa"/>
            <w:vAlign w:val="bottom"/>
          </w:tcPr>
          <w:p>
            <w:pPr>
              <w:ind w:left="4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1,934</w:t>
            </w:r>
          </w:p>
        </w:tc>
      </w:tr>
      <w:tr>
        <w:trPr>
          <w:trHeight w:val="214"/>
        </w:trPr>
        <w:tc>
          <w:tcPr>
            <w:tcW w:w="63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development</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4,737</w:t>
            </w:r>
          </w:p>
        </w:tc>
      </w:tr>
      <w:tr>
        <w:trPr>
          <w:trHeight w:val="207"/>
        </w:trPr>
        <w:tc>
          <w:tcPr>
            <w:tcW w:w="63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26,208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15,924</w:t>
            </w:r>
          </w:p>
        </w:tc>
      </w:tr>
      <w:tr>
        <w:trPr>
          <w:trHeight w:val="232"/>
        </w:trPr>
        <w:tc>
          <w:tcPr>
            <w:tcW w:w="6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36,179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22,815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The following table summarizes non-cash equity-based compensation expense, net of forfeitures, by award type included in the Company’s Consolidated Statements of Operations for the years ended December 31, 2021, 2020 and 2019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6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r>
      <w:tr>
        <w:trPr>
          <w:trHeight w:val="20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Stock options</w:t>
            </w: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w:t>
            </w:r>
          </w:p>
        </w:tc>
      </w:tr>
      <w:tr>
        <w:trPr>
          <w:trHeight w:val="207"/>
        </w:trPr>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RSUs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17,094</w:t>
            </w:r>
          </w:p>
        </w:tc>
      </w:tr>
      <w:tr>
        <w:trPr>
          <w:trHeight w:val="232"/>
        </w:trPr>
        <w:tc>
          <w:tcPr>
            <w:tcW w:w="6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Omnibus Equity Incentive Plan</w:t>
      </w:r>
    </w:p>
    <w:p>
      <w:pPr>
        <w:spacing w:after="0" w:line="148"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1,087,000 and 1,065,000 shares on January 1, 2021 and 2020, respectively, pursuant to the automatic increase provisions of the 2012 Plan.</w:t>
      </w: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8" w:name="page89"/>
    <w:bookmarkEnd w:id="8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stock option awards and weighted average exercise price per option: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600" w:type="dxa"/>
            <w:vAlign w:val="bottom"/>
          </w:tcPr>
          <w:p>
            <w:pPr>
              <w:ind w:left="86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Weighted Average</w:t>
            </w:r>
          </w:p>
        </w:tc>
      </w:tr>
      <w:tr>
        <w:trPr>
          <w:trHeight w:val="184"/>
        </w:trPr>
        <w:tc>
          <w:tcPr>
            <w:tcW w:w="75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w w:val="89"/>
              </w:rPr>
              <w:t>Exercise Price</w:t>
            </w:r>
          </w:p>
        </w:tc>
      </w:tr>
      <w:tr>
        <w:trPr>
          <w:trHeight w:val="204"/>
        </w:trPr>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Options outstanding at December 31, 2020</w:t>
            </w:r>
          </w:p>
        </w:tc>
        <w:tc>
          <w:tcPr>
            <w:tcW w:w="1600" w:type="dxa"/>
            <w:vAlign w:val="bottom"/>
            <w:shd w:val="clear" w:color="auto" w:fill="CCEEFF"/>
          </w:tcPr>
          <w:p>
            <w:pPr>
              <w:ind w:left="1020"/>
              <w:spacing w:after="0"/>
              <w:rPr>
                <w:sz w:val="20"/>
                <w:szCs w:val="20"/>
                <w:color w:val="auto"/>
              </w:rPr>
            </w:pPr>
            <w:r>
              <w:rPr>
                <w:rFonts w:ascii="Arial" w:cs="Arial" w:eastAsia="Arial" w:hAnsi="Arial"/>
                <w:sz w:val="16"/>
                <w:szCs w:val="16"/>
                <w:color w:val="auto"/>
                <w:w w:val="96"/>
              </w:rPr>
              <w:t>977,033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w:t>
            </w:r>
          </w:p>
        </w:tc>
      </w:tr>
      <w:tr>
        <w:trPr>
          <w:trHeight w:val="207"/>
        </w:trPr>
        <w:tc>
          <w:tcPr>
            <w:tcW w:w="75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Options exercised</w:t>
            </w:r>
          </w:p>
        </w:tc>
        <w:tc>
          <w:tcPr>
            <w:tcW w:w="16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90"/>
              </w:rPr>
              <w:t>(56,476)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37.93</w:t>
            </w:r>
          </w:p>
        </w:tc>
      </w:tr>
      <w:tr>
        <w:trPr>
          <w:trHeight w:val="232"/>
        </w:trPr>
        <w:tc>
          <w:tcPr>
            <w:tcW w:w="7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Options outstanding at December 31, 2021</w:t>
            </w:r>
          </w:p>
        </w:tc>
        <w:tc>
          <w:tcPr>
            <w:tcW w:w="16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6"/>
              </w:rPr>
              <w:t>920,557</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52"/>
        </w:trPr>
        <w:tc>
          <w:tcPr>
            <w:tcW w:w="75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11"/>
        </w:trPr>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Options exercisable at December 31, 2021</w:t>
            </w:r>
          </w:p>
        </w:tc>
        <w:tc>
          <w:tcPr>
            <w:tcW w:w="1600" w:type="dxa"/>
            <w:vAlign w:val="bottom"/>
            <w:shd w:val="clear" w:color="auto" w:fill="CCEEFF"/>
          </w:tcPr>
          <w:p>
            <w:pPr>
              <w:ind w:left="1020"/>
              <w:spacing w:after="0"/>
              <w:rPr>
                <w:sz w:val="20"/>
                <w:szCs w:val="20"/>
                <w:color w:val="auto"/>
              </w:rPr>
            </w:pPr>
            <w:r>
              <w:rPr>
                <w:rFonts w:ascii="Arial" w:cs="Arial" w:eastAsia="Arial" w:hAnsi="Arial"/>
                <w:sz w:val="16"/>
                <w:szCs w:val="16"/>
                <w:color w:val="auto"/>
                <w:w w:val="96"/>
              </w:rPr>
              <w:t>316,000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r>
    </w:tbl>
    <w:p>
      <w:pPr>
        <w:spacing w:after="0" w:line="224" w:lineRule="exact"/>
        <w:rPr>
          <w:sz w:val="20"/>
          <w:szCs w:val="20"/>
          <w:color w:val="auto"/>
        </w:rPr>
      </w:pPr>
    </w:p>
    <w:p>
      <w:pPr>
        <w:ind w:right="420" w:firstLine="395"/>
        <w:spacing w:after="0" w:line="293" w:lineRule="auto"/>
        <w:rPr>
          <w:sz w:val="20"/>
          <w:szCs w:val="20"/>
          <w:color w:val="auto"/>
        </w:rPr>
      </w:pPr>
      <w:r>
        <w:rPr>
          <w:rFonts w:ascii="Arial" w:cs="Arial" w:eastAsia="Arial" w:hAnsi="Arial"/>
          <w:sz w:val="16"/>
          <w:szCs w:val="16"/>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Pr>
          <w:p>
            <w:pPr>
              <w:spacing w:after="0"/>
              <w:rPr>
                <w:sz w:val="15"/>
                <w:szCs w:val="15"/>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r>
      <w:tr>
        <w:trPr>
          <w:trHeight w:val="209"/>
        </w:trPr>
        <w:tc>
          <w:tcPr>
            <w:tcW w:w="7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Stock options outstanding</w:t>
            </w:r>
          </w:p>
        </w:tc>
        <w:tc>
          <w:tcPr>
            <w:tcW w:w="7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29,600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r>
      <w:tr>
        <w:trPr>
          <w:trHeight w:val="207"/>
        </w:trPr>
        <w:tc>
          <w:tcPr>
            <w:tcW w:w="7160" w:type="dxa"/>
            <w:vAlign w:val="bottom"/>
          </w:tcPr>
          <w:p>
            <w:pPr>
              <w:ind w:left="420"/>
              <w:spacing w:after="0"/>
              <w:rPr>
                <w:sz w:val="20"/>
                <w:szCs w:val="20"/>
                <w:color w:val="auto"/>
              </w:rPr>
            </w:pPr>
            <w:r>
              <w:rPr>
                <w:rFonts w:ascii="Arial" w:cs="Arial" w:eastAsia="Arial" w:hAnsi="Arial"/>
                <w:sz w:val="16"/>
                <w:szCs w:val="16"/>
                <w:color w:val="auto"/>
              </w:rPr>
              <w:t>Stock options exercisable</w:t>
            </w:r>
          </w:p>
        </w:tc>
        <w:tc>
          <w:tcPr>
            <w:tcW w:w="7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24,200</w:t>
            </w:r>
          </w:p>
        </w:tc>
        <w:tc>
          <w:tcPr>
            <w:tcW w:w="10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12,600</w:t>
            </w:r>
          </w:p>
        </w:tc>
      </w:tr>
      <w:tr>
        <w:trPr>
          <w:trHeight w:val="214"/>
        </w:trPr>
        <w:tc>
          <w:tcPr>
            <w:tcW w:w="7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Stock options vested and expected to vest</w:t>
            </w:r>
          </w:p>
        </w:tc>
        <w:tc>
          <w:tcPr>
            <w:tcW w:w="7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29,600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r>
    </w:tbl>
    <w:p>
      <w:pPr>
        <w:spacing w:after="0" w:line="211"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The intrinsic value of stock options exercised for the years ended December 31, 2021, 2020 and 2019 was approximately $3.0 million, $0.5 million and $1.1 million, respectively.</w:t>
      </w:r>
    </w:p>
    <w:p>
      <w:pPr>
        <w:spacing w:after="0" w:line="116"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following weighted average assumptions were used in the fair value calculation for the years ended December 31, 2020 and 2019. No stock option awards were granted during the year ended December 31, 2021.</w:t>
      </w: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2"/>
        </w:trPr>
        <w:tc>
          <w:tcPr>
            <w:tcW w:w="70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r>
      <w:tr>
        <w:trPr>
          <w:trHeight w:val="204"/>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Expected term (in years)</w:t>
            </w: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7"/>
        </w:trPr>
        <w:tc>
          <w:tcPr>
            <w:tcW w:w="7080" w:type="dxa"/>
            <w:vAlign w:val="bottom"/>
          </w:tcPr>
          <w:p>
            <w:pPr>
              <w:ind w:left="420"/>
              <w:spacing w:after="0"/>
              <w:rPr>
                <w:sz w:val="20"/>
                <w:szCs w:val="20"/>
                <w:color w:val="auto"/>
              </w:rPr>
            </w:pPr>
            <w:r>
              <w:rPr>
                <w:rFonts w:ascii="Arial" w:cs="Arial" w:eastAsia="Arial" w:hAnsi="Arial"/>
                <w:sz w:val="16"/>
                <w:szCs w:val="16"/>
                <w:color w:val="auto"/>
              </w:rPr>
              <w:t>Volatility</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43.8</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03"/>
              <w:spacing w:after="0"/>
              <w:rPr>
                <w:sz w:val="20"/>
                <w:szCs w:val="20"/>
                <w:color w:val="auto"/>
              </w:rPr>
            </w:pPr>
            <w:r>
              <w:rPr>
                <w:rFonts w:ascii="Arial" w:cs="Arial" w:eastAsia="Arial" w:hAnsi="Arial"/>
                <w:sz w:val="16"/>
                <w:szCs w:val="16"/>
                <w:color w:val="auto"/>
              </w:rPr>
              <w:t>45.4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Risk-free interest rate</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1.83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080" w:type="dxa"/>
            <w:vAlign w:val="bottom"/>
          </w:tcPr>
          <w:p>
            <w:pPr>
              <w:ind w:left="420"/>
              <w:spacing w:after="0"/>
              <w:rPr>
                <w:sz w:val="20"/>
                <w:szCs w:val="20"/>
                <w:color w:val="auto"/>
              </w:rPr>
            </w:pPr>
            <w:r>
              <w:rPr>
                <w:rFonts w:ascii="Arial" w:cs="Arial" w:eastAsia="Arial" w:hAnsi="Arial"/>
                <w:sz w:val="16"/>
                <w:szCs w:val="16"/>
                <w:color w:val="auto"/>
              </w:rPr>
              <w:t>Dividend yield</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r>
      <w:tr>
        <w:trPr>
          <w:trHeight w:val="214"/>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Valuation Data:</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4"/>
        </w:trPr>
        <w:tc>
          <w:tcPr>
            <w:tcW w:w="7080" w:type="dxa"/>
            <w:vAlign w:val="bottom"/>
          </w:tcPr>
          <w:p>
            <w:pPr>
              <w:ind w:left="420"/>
              <w:spacing w:after="0"/>
              <w:rPr>
                <w:sz w:val="20"/>
                <w:szCs w:val="20"/>
                <w:color w:val="auto"/>
              </w:rPr>
            </w:pPr>
            <w:r>
              <w:rPr>
                <w:rFonts w:ascii="Arial" w:cs="Arial" w:eastAsia="Arial" w:hAnsi="Arial"/>
                <w:sz w:val="16"/>
                <w:szCs w:val="16"/>
                <w:color w:val="auto"/>
              </w:rPr>
              <w:t>Weighted average fair value per share granted</w:t>
            </w:r>
          </w:p>
        </w:tc>
        <w:tc>
          <w:tcPr>
            <w:tcW w:w="7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18.86</w:t>
            </w:r>
          </w:p>
        </w:tc>
        <w:tc>
          <w:tcPr>
            <w:tcW w:w="168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3"/>
              <w:spacing w:after="0"/>
              <w:rPr>
                <w:sz w:val="20"/>
                <w:szCs w:val="20"/>
                <w:color w:val="auto"/>
              </w:rPr>
            </w:pPr>
            <w:r>
              <w:rPr>
                <w:rFonts w:ascii="Arial" w:cs="Arial" w:eastAsia="Arial" w:hAnsi="Arial"/>
                <w:sz w:val="16"/>
                <w:szCs w:val="16"/>
                <w:color w:val="auto"/>
              </w:rPr>
              <w:t>18.05</w:t>
            </w:r>
          </w:p>
        </w:tc>
        <w:tc>
          <w:tcPr>
            <w:tcW w:w="400" w:type="dxa"/>
            <w:vAlign w:val="bottom"/>
          </w:tcPr>
          <w:p>
            <w:pPr>
              <w:spacing w:after="0"/>
              <w:rPr>
                <w:sz w:val="17"/>
                <w:szCs w:val="17"/>
                <w:color w:val="auto"/>
              </w:rPr>
            </w:pPr>
          </w:p>
        </w:tc>
      </w:tr>
    </w:tbl>
    <w:p>
      <w:pPr>
        <w:spacing w:after="0" w:line="200" w:lineRule="exact"/>
        <w:rPr>
          <w:sz w:val="20"/>
          <w:szCs w:val="20"/>
          <w:color w:val="auto"/>
        </w:rPr>
      </w:pPr>
    </w:p>
    <w:p>
      <w:pPr>
        <w:spacing w:after="0" w:line="400" w:lineRule="exact"/>
        <w:rPr>
          <w:sz w:val="20"/>
          <w:szCs w:val="20"/>
          <w:color w:val="auto"/>
        </w:rPr>
      </w:pPr>
    </w:p>
    <w:p>
      <w:pPr>
        <w:ind w:right="100" w:firstLine="395"/>
        <w:spacing w:after="0" w:line="297" w:lineRule="auto"/>
        <w:rPr>
          <w:sz w:val="20"/>
          <w:szCs w:val="20"/>
          <w:color w:val="auto"/>
        </w:rPr>
      </w:pPr>
      <w:r>
        <w:rPr>
          <w:rFonts w:ascii="Arial" w:cs="Arial" w:eastAsia="Arial" w:hAnsi="Arial"/>
          <w:sz w:val="15"/>
          <w:szCs w:val="15"/>
          <w:color w:val="auto"/>
        </w:rPr>
        <w:t>On April 24, 2014, the Company granted 500,000 stock options with a market-based condition to its Founder and Executive Chairman. In 2018, the number of stock options was adjusted from 500,000 stock options to approximately 527,000 and the exercise price of each option was adjusted from $80.94 to $76.73, in connection with a special dividend and pursuant to the anti-dilution provisions of the 2012 Plan. The stock options will not vest or become exercisable unless (i) the Founder and Executive Chairman remains continuously employed by the Company until the fifth anniversary of the date of grant and</w:t>
      </w:r>
    </w:p>
    <w:p>
      <w:pPr>
        <w:ind w:right="140" w:firstLine="5"/>
        <w:spacing w:after="0" w:line="306" w:lineRule="auto"/>
        <w:tabs>
          <w:tab w:leader="none" w:pos="258"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Founder and Executive Chairman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w:t>
      </w:r>
    </w:p>
    <w:p>
      <w:pPr>
        <w:spacing w:after="0" w:line="73"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As of December 31, 2021, the total unrecognized compensation charge related to 2012 Plan non-vested options is approximately $0.9 million, which is expected to be recognized through fiscal year 2023.</w:t>
      </w: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9" w:name="page90"/>
    <w:bookmarkEnd w:id="89"/>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Awards (including PRSUs)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 summary of the Company’s RSUs activity for the year ended December 31,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23"/>
              <w:spacing w:after="0"/>
              <w:rPr>
                <w:sz w:val="20"/>
                <w:szCs w:val="20"/>
                <w:color w:val="auto"/>
              </w:rPr>
            </w:pPr>
            <w:r>
              <w:rPr>
                <w:rFonts w:ascii="Arial" w:cs="Arial" w:eastAsia="Arial" w:hAnsi="Arial"/>
                <w:sz w:val="14"/>
                <w:szCs w:val="14"/>
                <w:b w:val="1"/>
                <w:bCs w:val="1"/>
                <w:color w:val="auto"/>
                <w:w w:val="88"/>
              </w:rPr>
              <w:t>Weighted Average</w:t>
            </w:r>
          </w:p>
        </w:tc>
      </w:tr>
      <w:tr>
        <w:trPr>
          <w:trHeight w:val="184"/>
        </w:trPr>
        <w:tc>
          <w:tcPr>
            <w:tcW w:w="8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w w:val="95"/>
              </w:rPr>
              <w:t>Fair Value</w:t>
            </w:r>
          </w:p>
        </w:tc>
      </w:tr>
      <w:tr>
        <w:trPr>
          <w:trHeight w:val="204"/>
        </w:trPr>
        <w:tc>
          <w:tcPr>
            <w:tcW w:w="8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Non-vested balance at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1,408,023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w:t>
            </w:r>
          </w:p>
        </w:tc>
      </w:tr>
      <w:tr>
        <w:trPr>
          <w:trHeight w:val="207"/>
        </w:trPr>
        <w:tc>
          <w:tcPr>
            <w:tcW w:w="8140" w:type="dxa"/>
            <w:vAlign w:val="bottom"/>
          </w:tcPr>
          <w:p>
            <w:pPr>
              <w:ind w:left="540"/>
              <w:spacing w:after="0"/>
              <w:rPr>
                <w:sz w:val="20"/>
                <w:szCs w:val="20"/>
                <w:color w:val="auto"/>
              </w:rPr>
            </w:pPr>
            <w:r>
              <w:rPr>
                <w:rFonts w:ascii="Arial" w:cs="Arial" w:eastAsia="Arial" w:hAnsi="Arial"/>
                <w:sz w:val="16"/>
                <w:szCs w:val="16"/>
                <w:color w:val="auto"/>
              </w:rPr>
              <w:t>Units 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622,387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85.40</w:t>
            </w:r>
          </w:p>
        </w:tc>
      </w:tr>
      <w:tr>
        <w:trPr>
          <w:trHeight w:val="214"/>
        </w:trPr>
        <w:tc>
          <w:tcPr>
            <w:tcW w:w="8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Units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r>
      <w:tr>
        <w:trPr>
          <w:trHeight w:val="207"/>
        </w:trPr>
        <w:tc>
          <w:tcPr>
            <w:tcW w:w="81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Units canceled or 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52.96</w:t>
            </w:r>
          </w:p>
        </w:tc>
      </w:tr>
      <w:tr>
        <w:trPr>
          <w:trHeight w:val="232"/>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Non-vested balance at December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1,178,658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91"/>
        </w:trPr>
        <w:tc>
          <w:tcPr>
            <w:tcW w:w="8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1"/>
        </w:trPr>
        <w:tc>
          <w:tcPr>
            <w:tcW w:w="8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Non-vested and deferred balance at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w:t>
            </w:r>
          </w:p>
        </w:tc>
      </w:tr>
    </w:tbl>
    <w:p>
      <w:pPr>
        <w:spacing w:after="0" w:line="200" w:lineRule="exact"/>
        <w:rPr>
          <w:sz w:val="20"/>
          <w:szCs w:val="20"/>
          <w:color w:val="auto"/>
        </w:rPr>
      </w:pPr>
    </w:p>
    <w:p>
      <w:pPr>
        <w:spacing w:after="0" w:line="393"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On April 24, 2014, the Company granted 100,000 restricted stock units with a market-based condition to its Founder and Executive Chairman. In 2018, the number of RSUs was adjusted to approximately 105,000, in connection with a special dividend and pursuant to the anti-dilution provisions of the 2012 Plan. The restricted stock units will vest only if (i) the reporting person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Company until the date of satisfaction of such condition. The derived requisite service period was determined to be six years based on a valuation technique. The total fair value of the grant is $5.8 million and is being recognized over the derived requisite service period. In the event that the market condition remains unsatisfied upon completion of the requisite service period, no charge will be reversed.</w:t>
      </w:r>
    </w:p>
    <w:p>
      <w:pPr>
        <w:spacing w:after="0" w:line="106"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As of December 31, 2021, the total unrecognized compensation charge related to the restricted stock units is approximately $44.7 million, which is expected to be recognized through fiscal 2024.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(Expense) / Income, net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summary of the Company’s other (expense) / income activity included in the accompanying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9"/>
              </w:rPr>
              <w:t>Year Ended December 31,</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57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r>
      <w:tr>
        <w:trPr>
          <w:trHeight w:val="204"/>
        </w:trPr>
        <w:tc>
          <w:tcPr>
            <w:tcW w:w="5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Foreign currency (loss) / gain</w:t>
            </w:r>
          </w:p>
        </w:tc>
        <w:tc>
          <w:tcPr>
            <w:tcW w:w="12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(3,303)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07"/>
        </w:trPr>
        <w:tc>
          <w:tcPr>
            <w:tcW w:w="5740" w:type="dxa"/>
            <w:vAlign w:val="bottom"/>
          </w:tcPr>
          <w:p>
            <w:pPr>
              <w:ind w:left="420"/>
              <w:spacing w:after="0"/>
              <w:rPr>
                <w:sz w:val="20"/>
                <w:szCs w:val="20"/>
                <w:color w:val="auto"/>
              </w:rPr>
            </w:pPr>
            <w:r>
              <w:rPr>
                <w:rFonts w:ascii="Arial" w:cs="Arial" w:eastAsia="Arial" w:hAnsi="Arial"/>
                <w:sz w:val="16"/>
                <w:szCs w:val="16"/>
                <w:color w:val="auto"/>
              </w:rPr>
              <w:t>Interest income</w:t>
            </w:r>
          </w:p>
        </w:tc>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4,221</w:t>
            </w:r>
          </w:p>
        </w:tc>
      </w:tr>
      <w:tr>
        <w:trPr>
          <w:trHeight w:val="211"/>
        </w:trPr>
        <w:tc>
          <w:tcPr>
            <w:tcW w:w="5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740" w:type="dxa"/>
            <w:vAlign w:val="bottom"/>
          </w:tcPr>
          <w:p>
            <w:pPr>
              <w:ind w:left="540"/>
              <w:spacing w:after="0"/>
              <w:rPr>
                <w:sz w:val="20"/>
                <w:szCs w:val="20"/>
                <w:color w:val="auto"/>
              </w:rPr>
            </w:pPr>
            <w:r>
              <w:rPr>
                <w:rFonts w:ascii="Arial" w:cs="Arial" w:eastAsia="Arial" w:hAnsi="Arial"/>
                <w:sz w:val="16"/>
                <w:szCs w:val="16"/>
                <w:color w:val="auto"/>
              </w:rPr>
              <w:t>Other (expense) / income, net</w:t>
            </w:r>
          </w:p>
        </w:tc>
        <w:tc>
          <w:tcPr>
            <w:tcW w:w="126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(3,370)</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w:t>
            </w: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geographical breakdown of its income / (loss) before income taxes is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0"/>
              </w:rPr>
              <w:t>Year Ended December 31,</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57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r>
      <w:tr>
        <w:trPr>
          <w:trHeight w:val="204"/>
        </w:trPr>
        <w:tc>
          <w:tcPr>
            <w:tcW w:w="5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Domestic</w:t>
            </w: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104,241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83,255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25,549</w:t>
            </w:r>
          </w:p>
        </w:tc>
      </w:tr>
      <w:tr>
        <w:trPr>
          <w:trHeight w:val="207"/>
        </w:trPr>
        <w:tc>
          <w:tcPr>
            <w:tcW w:w="57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Foreign</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6,268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32"/>
        </w:trPr>
        <w:tc>
          <w:tcPr>
            <w:tcW w:w="5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Income before income taxes</w:t>
            </w:r>
          </w:p>
        </w:tc>
        <w:tc>
          <w:tcPr>
            <w:tcW w:w="7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104,736</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89,523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0" w:name="page91"/>
    <w:bookmarkEnd w:id="90"/>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consolidated provision for income taxes (in thousands):</w:t>
      </w:r>
    </w:p>
    <w:p>
      <w:pPr>
        <w:spacing w:after="0" w:line="59"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204"/>
        </w:trPr>
        <w:tc>
          <w:tcPr>
            <w:tcW w:w="5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Current provision:</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5740" w:type="dxa"/>
            <w:vAlign w:val="bottom"/>
          </w:tcPr>
          <w:p>
            <w:pPr>
              <w:ind w:left="540"/>
              <w:spacing w:after="0"/>
              <w:rPr>
                <w:sz w:val="20"/>
                <w:szCs w:val="20"/>
                <w:color w:val="auto"/>
              </w:rPr>
            </w:pPr>
            <w:r>
              <w:rPr>
                <w:rFonts w:ascii="Arial" w:cs="Arial" w:eastAsia="Arial" w:hAnsi="Arial"/>
                <w:sz w:val="16"/>
                <w:szCs w:val="16"/>
                <w:color w:val="auto"/>
              </w:rPr>
              <w:t>Federal</w:t>
            </w:r>
          </w:p>
        </w:tc>
        <w:tc>
          <w:tcPr>
            <w:tcW w:w="124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7,834</w:t>
            </w:r>
          </w:p>
        </w:tc>
        <w:tc>
          <w:tcPr>
            <w:tcW w:w="120" w:type="dxa"/>
            <w:vAlign w:val="bottom"/>
          </w:tcPr>
          <w:p>
            <w:pPr>
              <w:spacing w:after="0"/>
              <w:rPr>
                <w:sz w:val="18"/>
                <w:szCs w:val="18"/>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11,287</w:t>
            </w:r>
          </w:p>
        </w:tc>
        <w:tc>
          <w:tcPr>
            <w:tcW w:w="120" w:type="dxa"/>
            <w:vAlign w:val="bottom"/>
          </w:tcPr>
          <w:p>
            <w:pPr>
              <w:spacing w:after="0"/>
              <w:rPr>
                <w:sz w:val="18"/>
                <w:szCs w:val="18"/>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2,824</w:t>
            </w:r>
          </w:p>
        </w:tc>
      </w:tr>
      <w:tr>
        <w:trPr>
          <w:trHeight w:val="214"/>
        </w:trPr>
        <w:tc>
          <w:tcPr>
            <w:tcW w:w="5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State and local</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07"/>
        </w:trPr>
        <w:tc>
          <w:tcPr>
            <w:tcW w:w="5740" w:type="dxa"/>
            <w:vAlign w:val="bottom"/>
          </w:tcPr>
          <w:p>
            <w:pPr>
              <w:ind w:left="540"/>
              <w:spacing w:after="0"/>
              <w:rPr>
                <w:sz w:val="20"/>
                <w:szCs w:val="20"/>
                <w:color w:val="auto"/>
              </w:rPr>
            </w:pPr>
            <w:r>
              <w:rPr>
                <w:rFonts w:ascii="Arial" w:cs="Arial" w:eastAsia="Arial" w:hAnsi="Arial"/>
                <w:sz w:val="16"/>
                <w:szCs w:val="16"/>
                <w:color w:val="auto"/>
              </w:rPr>
              <w:t>Foreign</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4,096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14"/>
        </w:trPr>
        <w:tc>
          <w:tcPr>
            <w:tcW w:w="5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provision (benefit):</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7"/>
        </w:trPr>
        <w:tc>
          <w:tcPr>
            <w:tcW w:w="5740" w:type="dxa"/>
            <w:vAlign w:val="bottom"/>
          </w:tcPr>
          <w:p>
            <w:pPr>
              <w:ind w:left="540"/>
              <w:spacing w:after="0"/>
              <w:rPr>
                <w:sz w:val="20"/>
                <w:szCs w:val="20"/>
                <w:color w:val="auto"/>
              </w:rPr>
            </w:pPr>
            <w:r>
              <w:rPr>
                <w:rFonts w:ascii="Arial" w:cs="Arial" w:eastAsia="Arial" w:hAnsi="Arial"/>
                <w:sz w:val="16"/>
                <w:szCs w:val="16"/>
                <w:color w:val="auto"/>
              </w:rPr>
              <w:t>Federal</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(1,715)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(2,337)</w:t>
            </w:r>
          </w:p>
        </w:tc>
      </w:tr>
      <w:tr>
        <w:trPr>
          <w:trHeight w:val="214"/>
        </w:trPr>
        <w:tc>
          <w:tcPr>
            <w:tcW w:w="5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State and local</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57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Foreign</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232"/>
        </w:trPr>
        <w:tc>
          <w:tcPr>
            <w:tcW w:w="5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Provision for income taxes</w:t>
            </w:r>
          </w:p>
        </w:tc>
        <w:tc>
          <w:tcPr>
            <w:tcW w:w="12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12,853</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17,757</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 for income taxes differs from statutory income tax rate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0"/>
              </w:rPr>
              <w:t>Year Ended December 31,</w:t>
            </w:r>
          </w:p>
        </w:tc>
        <w:tc>
          <w:tcPr>
            <w:tcW w:w="1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82"/>
        </w:trPr>
        <w:tc>
          <w:tcPr>
            <w:tcW w:w="55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ind w:left="662"/>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r>
      <w:tr>
        <w:trPr>
          <w:trHeight w:val="204"/>
        </w:trPr>
        <w:tc>
          <w:tcPr>
            <w:tcW w:w="5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U.S. income tax at federal statutory rate</w:t>
            </w:r>
          </w:p>
        </w:tc>
        <w:tc>
          <w:tcPr>
            <w:tcW w:w="14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500" w:type="dxa"/>
            <w:vAlign w:val="bottom"/>
          </w:tcPr>
          <w:p>
            <w:pPr>
              <w:ind w:left="420"/>
              <w:spacing w:after="0"/>
              <w:rPr>
                <w:sz w:val="20"/>
                <w:szCs w:val="20"/>
                <w:color w:val="auto"/>
              </w:rPr>
            </w:pPr>
            <w:r>
              <w:rPr>
                <w:rFonts w:ascii="Arial" w:cs="Arial" w:eastAsia="Arial" w:hAnsi="Arial"/>
                <w:sz w:val="16"/>
                <w:szCs w:val="16"/>
                <w:color w:val="auto"/>
              </w:rPr>
              <w:t>Tax credits</w:t>
            </w: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left="682"/>
              <w:spacing w:after="0"/>
              <w:rPr>
                <w:sz w:val="20"/>
                <w:szCs w:val="20"/>
                <w:color w:val="auto"/>
              </w:rPr>
            </w:pPr>
            <w:r>
              <w:rPr>
                <w:rFonts w:ascii="Arial" w:cs="Arial" w:eastAsia="Arial" w:hAnsi="Arial"/>
                <w:sz w:val="16"/>
                <w:szCs w:val="16"/>
                <w:color w:val="auto"/>
                <w:w w:val="91"/>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22"/>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18"/>
                <w:szCs w:val="18"/>
                <w:color w:val="auto"/>
              </w:rPr>
            </w:pPr>
          </w:p>
        </w:tc>
      </w:tr>
      <w:tr>
        <w:trPr>
          <w:trHeight w:val="214"/>
        </w:trPr>
        <w:tc>
          <w:tcPr>
            <w:tcW w:w="5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State and local taxes, net of federal benefit</w:t>
            </w:r>
          </w:p>
        </w:tc>
        <w:tc>
          <w:tcPr>
            <w:tcW w:w="14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CEEFF"/>
          </w:tcPr>
          <w:p>
            <w:pPr>
              <w:spacing w:after="0"/>
              <w:rPr>
                <w:sz w:val="18"/>
                <w:szCs w:val="18"/>
                <w:color w:val="auto"/>
              </w:rPr>
            </w:pPr>
          </w:p>
        </w:tc>
      </w:tr>
      <w:tr>
        <w:trPr>
          <w:trHeight w:val="207"/>
        </w:trPr>
        <w:tc>
          <w:tcPr>
            <w:tcW w:w="5500" w:type="dxa"/>
            <w:vAlign w:val="bottom"/>
          </w:tcPr>
          <w:p>
            <w:pPr>
              <w:ind w:left="420"/>
              <w:spacing w:after="0"/>
              <w:rPr>
                <w:sz w:val="20"/>
                <w:szCs w:val="20"/>
                <w:color w:val="auto"/>
              </w:rPr>
            </w:pPr>
            <w:r>
              <w:rPr>
                <w:rFonts w:ascii="Arial" w:cs="Arial" w:eastAsia="Arial" w:hAnsi="Arial"/>
                <w:sz w:val="16"/>
                <w:szCs w:val="16"/>
                <w:color w:val="auto"/>
              </w:rPr>
              <w:t>Equity-based compensation</w:t>
            </w: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62"/>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62"/>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r>
      <w:tr>
        <w:trPr>
          <w:trHeight w:val="214"/>
        </w:trPr>
        <w:tc>
          <w:tcPr>
            <w:tcW w:w="5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Foreign rate differential</w:t>
            </w:r>
          </w:p>
        </w:tc>
        <w:tc>
          <w:tcPr>
            <w:tcW w:w="14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0.3</w:t>
            </w:r>
          </w:p>
        </w:tc>
        <w:tc>
          <w:tcPr>
            <w:tcW w:w="340" w:type="dxa"/>
            <w:vAlign w:val="bottom"/>
            <w:shd w:val="clear" w:color="auto" w:fill="CCEEFF"/>
          </w:tcPr>
          <w:p>
            <w:pPr>
              <w:spacing w:after="0"/>
              <w:rPr>
                <w:sz w:val="18"/>
                <w:szCs w:val="18"/>
                <w:color w:val="auto"/>
              </w:rPr>
            </w:pPr>
          </w:p>
        </w:tc>
      </w:tr>
      <w:tr>
        <w:trPr>
          <w:trHeight w:val="207"/>
        </w:trPr>
        <w:tc>
          <w:tcPr>
            <w:tcW w:w="5500" w:type="dxa"/>
            <w:vAlign w:val="bottom"/>
          </w:tcPr>
          <w:p>
            <w:pPr>
              <w:ind w:left="420"/>
              <w:spacing w:after="0"/>
              <w:rPr>
                <w:sz w:val="20"/>
                <w:szCs w:val="20"/>
                <w:color w:val="auto"/>
              </w:rPr>
            </w:pPr>
            <w:r>
              <w:rPr>
                <w:rFonts w:ascii="Arial" w:cs="Arial" w:eastAsia="Arial" w:hAnsi="Arial"/>
                <w:sz w:val="16"/>
                <w:szCs w:val="16"/>
                <w:color w:val="auto"/>
              </w:rPr>
              <w:t>Foreign-derived intangible income deduction</w:t>
            </w: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left="682"/>
              <w:spacing w:after="0"/>
              <w:rPr>
                <w:sz w:val="20"/>
                <w:szCs w:val="20"/>
                <w:color w:val="auto"/>
              </w:rPr>
            </w:pPr>
            <w:r>
              <w:rPr>
                <w:rFonts w:ascii="Arial" w:cs="Arial" w:eastAsia="Arial" w:hAnsi="Arial"/>
                <w:sz w:val="16"/>
                <w:szCs w:val="16"/>
                <w:color w:val="auto"/>
                <w:w w:val="91"/>
              </w:rPr>
              <w:t>(6.0)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22"/>
              <w:spacing w:after="0"/>
              <w:rPr>
                <w:sz w:val="20"/>
                <w:szCs w:val="20"/>
                <w:color w:val="auto"/>
              </w:rPr>
            </w:pPr>
            <w:r>
              <w:rPr>
                <w:rFonts w:ascii="Arial" w:cs="Arial" w:eastAsia="Arial" w:hAnsi="Arial"/>
                <w:sz w:val="16"/>
                <w:szCs w:val="16"/>
                <w:color w:val="auto"/>
              </w:rPr>
              <w:t>(12.0)</w:t>
            </w:r>
          </w:p>
        </w:tc>
        <w:tc>
          <w:tcPr>
            <w:tcW w:w="340" w:type="dxa"/>
            <w:vAlign w:val="bottom"/>
          </w:tcPr>
          <w:p>
            <w:pPr>
              <w:spacing w:after="0"/>
              <w:rPr>
                <w:sz w:val="18"/>
                <w:szCs w:val="18"/>
                <w:color w:val="auto"/>
              </w:rPr>
            </w:pPr>
          </w:p>
        </w:tc>
      </w:tr>
      <w:tr>
        <w:trPr>
          <w:trHeight w:val="214"/>
        </w:trPr>
        <w:tc>
          <w:tcPr>
            <w:tcW w:w="5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Uncertain tax positions</w:t>
            </w:r>
          </w:p>
        </w:tc>
        <w:tc>
          <w:tcPr>
            <w:tcW w:w="14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12.4</w:t>
            </w:r>
          </w:p>
        </w:tc>
        <w:tc>
          <w:tcPr>
            <w:tcW w:w="340" w:type="dxa"/>
            <w:vAlign w:val="bottom"/>
            <w:shd w:val="clear" w:color="auto" w:fill="CCEEFF"/>
          </w:tcPr>
          <w:p>
            <w:pPr>
              <w:spacing w:after="0"/>
              <w:rPr>
                <w:sz w:val="18"/>
                <w:szCs w:val="18"/>
                <w:color w:val="auto"/>
              </w:rPr>
            </w:pPr>
          </w:p>
        </w:tc>
      </w:tr>
      <w:tr>
        <w:trPr>
          <w:trHeight w:val="207"/>
        </w:trPr>
        <w:tc>
          <w:tcPr>
            <w:tcW w:w="5500" w:type="dxa"/>
            <w:vAlign w:val="bottom"/>
          </w:tcPr>
          <w:p>
            <w:pPr>
              <w:ind w:left="420"/>
              <w:spacing w:after="0"/>
              <w:rPr>
                <w:sz w:val="20"/>
                <w:szCs w:val="20"/>
                <w:color w:val="auto"/>
              </w:rPr>
            </w:pPr>
            <w:r>
              <w:rPr>
                <w:rFonts w:ascii="Arial" w:cs="Arial" w:eastAsia="Arial" w:hAnsi="Arial"/>
                <w:sz w:val="16"/>
                <w:szCs w:val="16"/>
                <w:color w:val="auto"/>
              </w:rPr>
              <w:t>Valuation allowance</w:t>
            </w:r>
          </w:p>
        </w:tc>
        <w:tc>
          <w:tcPr>
            <w:tcW w:w="1480" w:type="dxa"/>
            <w:vAlign w:val="bottom"/>
          </w:tcPr>
          <w:p>
            <w:pPr>
              <w:jc w:val="right"/>
              <w:ind w:right="162"/>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62"/>
              <w:spacing w:after="0"/>
              <w:rPr>
                <w:sz w:val="20"/>
                <w:szCs w:val="20"/>
                <w:color w:val="auto"/>
              </w:rPr>
            </w:pPr>
            <w:r>
              <w:rPr>
                <w:rFonts w:ascii="Arial" w:cs="Arial" w:eastAsia="Arial" w:hAnsi="Arial"/>
                <w:sz w:val="16"/>
                <w:szCs w:val="16"/>
                <w:color w:val="auto"/>
              </w:rPr>
              <w:t>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62"/>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r>
      <w:tr>
        <w:trPr>
          <w:trHeight w:val="214"/>
        </w:trPr>
        <w:tc>
          <w:tcPr>
            <w:tcW w:w="5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Capital loss</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r>
      <w:tr>
        <w:trPr>
          <w:trHeight w:val="207"/>
        </w:trPr>
        <w:tc>
          <w:tcPr>
            <w:tcW w:w="55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Non-deductible—other</w:t>
            </w:r>
          </w:p>
        </w:tc>
        <w:tc>
          <w:tcPr>
            <w:tcW w:w="14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auto"/>
            </w:tcBorders>
          </w:tcPr>
          <w:p>
            <w:pPr>
              <w:spacing w:after="0"/>
              <w:rPr>
                <w:sz w:val="18"/>
                <w:szCs w:val="18"/>
                <w:color w:val="auto"/>
              </w:rPr>
            </w:pPr>
          </w:p>
        </w:tc>
      </w:tr>
      <w:tr>
        <w:trPr>
          <w:trHeight w:val="232"/>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provision for income taxes</w:t>
            </w:r>
          </w:p>
        </w:tc>
        <w:tc>
          <w:tcPr>
            <w:tcW w:w="14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19.8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19.3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1" w:name="page92"/>
    <w:bookmarkEnd w:id="9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tax effect of the Company’s temporary differences that give rise to deferred tax assets and liabilities are presented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r>
      <w:tr>
        <w:trPr>
          <w:trHeight w:val="184"/>
        </w:trPr>
        <w:tc>
          <w:tcPr>
            <w:tcW w:w="75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7"/>
        </w:trPr>
        <w:tc>
          <w:tcPr>
            <w:tcW w:w="75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04"/>
        </w:trPr>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tax assets: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7540" w:type="dxa"/>
            <w:vAlign w:val="bottom"/>
          </w:tcPr>
          <w:p>
            <w:pPr>
              <w:ind w:left="540"/>
              <w:spacing w:after="0"/>
              <w:rPr>
                <w:sz w:val="20"/>
                <w:szCs w:val="20"/>
                <w:color w:val="auto"/>
              </w:rPr>
            </w:pPr>
            <w:r>
              <w:rPr>
                <w:rFonts w:ascii="Arial" w:cs="Arial" w:eastAsia="Arial" w:hAnsi="Arial"/>
                <w:sz w:val="16"/>
                <w:szCs w:val="16"/>
                <w:color w:val="auto"/>
              </w:rPr>
              <w:t>Non-cash equity-based compensation</w:t>
            </w:r>
          </w:p>
        </w:tc>
        <w:tc>
          <w:tcPr>
            <w:tcW w:w="1240" w:type="dxa"/>
            <w:vAlign w:val="bottom"/>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13,612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11,508</w:t>
            </w:r>
          </w:p>
        </w:tc>
      </w:tr>
      <w:tr>
        <w:trPr>
          <w:trHeight w:val="214"/>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Intangible amortization</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07"/>
        </w:trPr>
        <w:tc>
          <w:tcPr>
            <w:tcW w:w="7540" w:type="dxa"/>
            <w:vAlign w:val="bottom"/>
          </w:tcPr>
          <w:p>
            <w:pPr>
              <w:ind w:left="540"/>
              <w:spacing w:after="0"/>
              <w:rPr>
                <w:sz w:val="20"/>
                <w:szCs w:val="20"/>
                <w:color w:val="auto"/>
              </w:rPr>
            </w:pPr>
            <w:r>
              <w:rPr>
                <w:rFonts w:ascii="Arial" w:cs="Arial" w:eastAsia="Arial" w:hAnsi="Arial"/>
                <w:sz w:val="16"/>
                <w:szCs w:val="16"/>
                <w:color w:val="auto"/>
              </w:rPr>
              <w:t>Accruals and reserves</w:t>
            </w:r>
          </w:p>
        </w:tc>
        <w:tc>
          <w:tcPr>
            <w:tcW w:w="12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6,016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3,542</w:t>
            </w:r>
          </w:p>
        </w:tc>
      </w:tr>
      <w:tr>
        <w:trPr>
          <w:trHeight w:val="214"/>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 liabilities</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10,995</w:t>
            </w:r>
          </w:p>
        </w:tc>
      </w:tr>
      <w:tr>
        <w:trPr>
          <w:trHeight w:val="207"/>
        </w:trPr>
        <w:tc>
          <w:tcPr>
            <w:tcW w:w="7540" w:type="dxa"/>
            <w:vAlign w:val="bottom"/>
          </w:tcPr>
          <w:p>
            <w:pPr>
              <w:ind w:left="540"/>
              <w:spacing w:after="0"/>
              <w:rPr>
                <w:sz w:val="20"/>
                <w:szCs w:val="20"/>
                <w:color w:val="auto"/>
              </w:rPr>
            </w:pPr>
            <w:r>
              <w:rPr>
                <w:rFonts w:ascii="Arial" w:cs="Arial" w:eastAsia="Arial" w:hAnsi="Arial"/>
                <w:sz w:val="16"/>
                <w:szCs w:val="16"/>
                <w:color w:val="auto"/>
              </w:rPr>
              <w:t>Net operating losses</w:t>
            </w:r>
          </w:p>
        </w:tc>
        <w:tc>
          <w:tcPr>
            <w:tcW w:w="12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3,204</w:t>
            </w:r>
          </w:p>
        </w:tc>
      </w:tr>
      <w:tr>
        <w:trPr>
          <w:trHeight w:val="214"/>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r>
      <w:tr>
        <w:trPr>
          <w:trHeight w:val="200"/>
        </w:trPr>
        <w:tc>
          <w:tcPr>
            <w:tcW w:w="7540" w:type="dxa"/>
            <w:vAlign w:val="bottom"/>
          </w:tcPr>
          <w:p>
            <w:pPr>
              <w:ind w:left="620"/>
              <w:spacing w:after="0"/>
              <w:rPr>
                <w:sz w:val="20"/>
                <w:szCs w:val="20"/>
                <w:color w:val="auto"/>
              </w:rPr>
            </w:pPr>
            <w:r>
              <w:rPr>
                <w:rFonts w:ascii="Arial" w:cs="Arial" w:eastAsia="Arial" w:hAnsi="Arial"/>
                <w:sz w:val="16"/>
                <w:szCs w:val="16"/>
                <w:color w:val="auto"/>
              </w:rPr>
              <w:t>Gross deferred tax assets</w:t>
            </w:r>
          </w:p>
        </w:tc>
        <w:tc>
          <w:tcPr>
            <w:tcW w:w="12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38,924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31,656</w:t>
            </w:r>
          </w:p>
        </w:tc>
      </w:tr>
      <w:tr>
        <w:trPr>
          <w:trHeight w:val="214"/>
        </w:trPr>
        <w:tc>
          <w:tcPr>
            <w:tcW w:w="7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Valuation allowance</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(3,632)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200"/>
        </w:trPr>
        <w:tc>
          <w:tcPr>
            <w:tcW w:w="7540" w:type="dxa"/>
            <w:vAlign w:val="bottom"/>
          </w:tcPr>
          <w:p>
            <w:pPr>
              <w:ind w:left="620"/>
              <w:spacing w:after="0"/>
              <w:rPr>
                <w:sz w:val="20"/>
                <w:szCs w:val="20"/>
                <w:color w:val="auto"/>
              </w:rPr>
            </w:pPr>
            <w:r>
              <w:rPr>
                <w:rFonts w:ascii="Arial" w:cs="Arial" w:eastAsia="Arial" w:hAnsi="Arial"/>
                <w:sz w:val="16"/>
                <w:szCs w:val="16"/>
                <w:color w:val="auto"/>
              </w:rPr>
              <w:t>Net deferred tax assets</w:t>
            </w:r>
          </w:p>
        </w:tc>
        <w:tc>
          <w:tcPr>
            <w:tcW w:w="12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35,292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29,795</w:t>
            </w:r>
          </w:p>
        </w:tc>
      </w:tr>
      <w:tr>
        <w:trPr>
          <w:trHeight w:val="214"/>
        </w:trPr>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tax liabilities:</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7"/>
        </w:trPr>
        <w:tc>
          <w:tcPr>
            <w:tcW w:w="7540" w:type="dxa"/>
            <w:vAlign w:val="bottom"/>
          </w:tcPr>
          <w:p>
            <w:pPr>
              <w:ind w:left="540"/>
              <w:spacing w:after="0"/>
              <w:rPr>
                <w:sz w:val="20"/>
                <w:szCs w:val="20"/>
                <w:color w:val="auto"/>
              </w:rPr>
            </w:pPr>
            <w:r>
              <w:rPr>
                <w:rFonts w:ascii="Arial" w:cs="Arial" w:eastAsia="Arial" w:hAnsi="Arial"/>
                <w:sz w:val="16"/>
                <w:szCs w:val="16"/>
                <w:color w:val="auto"/>
              </w:rPr>
              <w:t>Right-of-use assets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(7,260)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(8,557)</w:t>
            </w:r>
          </w:p>
        </w:tc>
      </w:tr>
      <w:tr>
        <w:trPr>
          <w:trHeight w:val="211"/>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(20,301)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(7,672)</w:t>
            </w:r>
          </w:p>
        </w:tc>
      </w:tr>
      <w:tr>
        <w:trPr>
          <w:trHeight w:val="207"/>
        </w:trPr>
        <w:tc>
          <w:tcPr>
            <w:tcW w:w="7540" w:type="dxa"/>
            <w:vAlign w:val="bottom"/>
          </w:tcPr>
          <w:p>
            <w:pPr>
              <w:ind w:left="420"/>
              <w:spacing w:after="0"/>
              <w:rPr>
                <w:sz w:val="20"/>
                <w:szCs w:val="20"/>
                <w:color w:val="auto"/>
              </w:rPr>
            </w:pPr>
            <w:r>
              <w:rPr>
                <w:rFonts w:ascii="Arial" w:cs="Arial" w:eastAsia="Arial" w:hAnsi="Arial"/>
                <w:sz w:val="16"/>
                <w:szCs w:val="16"/>
                <w:color w:val="auto"/>
              </w:rPr>
              <w:t>Net deferred tax assets</w:t>
            </w:r>
          </w:p>
        </w:tc>
        <w:tc>
          <w:tcPr>
            <w:tcW w:w="124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7,731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w:t>
            </w:r>
          </w:p>
        </w:tc>
      </w:tr>
      <w:tr>
        <w:trPr>
          <w:trHeight w:val="20"/>
        </w:trPr>
        <w:tc>
          <w:tcPr>
            <w:tcW w:w="7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The non-cash equity-based compensation for the Company includes a deferred tax asset of $6.2 million associated with the performance-based grant of stock options and restricted stock units to the Company’s Founder and Executive Chairman. In addition, the $3.6 million valuation allowance relates to certain foreign net operating loss carryforwards, where the Company has determined that there is sufficient uncertainty regarding the future realization of these net operating losses.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changes to the Company’s unrecognized tax benefits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8"/>
              </w:rPr>
              <w:t>Year Ended December 31,</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6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r>
      <w:tr>
        <w:trPr>
          <w:trHeight w:val="204"/>
        </w:trPr>
        <w:tc>
          <w:tcPr>
            <w:tcW w:w="6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Balance of unrecognized tax benefits at January 1</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5,846</w:t>
            </w:r>
          </w:p>
        </w:tc>
      </w:tr>
      <w:tr>
        <w:trPr>
          <w:trHeight w:val="207"/>
        </w:trPr>
        <w:tc>
          <w:tcPr>
            <w:tcW w:w="6300" w:type="dxa"/>
            <w:vAlign w:val="bottom"/>
          </w:tcPr>
          <w:p>
            <w:pPr>
              <w:ind w:left="540"/>
              <w:spacing w:after="0"/>
              <w:rPr>
                <w:sz w:val="20"/>
                <w:szCs w:val="20"/>
                <w:color w:val="auto"/>
              </w:rPr>
            </w:pPr>
            <w:r>
              <w:rPr>
                <w:rFonts w:ascii="Arial" w:cs="Arial" w:eastAsia="Arial" w:hAnsi="Arial"/>
                <w:sz w:val="16"/>
                <w:szCs w:val="16"/>
                <w:color w:val="auto"/>
              </w:rPr>
              <w:t>Gross additions for tax positions for prior years</w:t>
            </w:r>
          </w:p>
        </w:tc>
        <w:tc>
          <w:tcPr>
            <w:tcW w:w="6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173</w:t>
            </w:r>
          </w:p>
        </w:tc>
      </w:tr>
      <w:tr>
        <w:trPr>
          <w:trHeight w:val="214"/>
        </w:trPr>
        <w:tc>
          <w:tcPr>
            <w:tcW w:w="6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Gross additions for tax positions for current year</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3,842</w:t>
            </w:r>
          </w:p>
        </w:tc>
      </w:tr>
      <w:tr>
        <w:trPr>
          <w:trHeight w:val="207"/>
        </w:trPr>
        <w:tc>
          <w:tcPr>
            <w:tcW w:w="6300" w:type="dxa"/>
            <w:vAlign w:val="bottom"/>
          </w:tcPr>
          <w:p>
            <w:pPr>
              <w:ind w:left="540"/>
              <w:spacing w:after="0"/>
              <w:rPr>
                <w:sz w:val="20"/>
                <w:szCs w:val="20"/>
                <w:color w:val="auto"/>
              </w:rPr>
            </w:pPr>
            <w:r>
              <w:rPr>
                <w:rFonts w:ascii="Arial" w:cs="Arial" w:eastAsia="Arial" w:hAnsi="Arial"/>
                <w:sz w:val="16"/>
                <w:szCs w:val="16"/>
                <w:color w:val="auto"/>
              </w:rPr>
              <w:t>Gross reductions for tax positions of prior years</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6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Gross expirations</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07"/>
        </w:trPr>
        <w:tc>
          <w:tcPr>
            <w:tcW w:w="6300" w:type="dxa"/>
            <w:vAlign w:val="bottom"/>
          </w:tcPr>
          <w:p>
            <w:pPr>
              <w:ind w:left="420"/>
              <w:spacing w:after="0"/>
              <w:rPr>
                <w:sz w:val="20"/>
                <w:szCs w:val="20"/>
                <w:color w:val="auto"/>
              </w:rPr>
            </w:pPr>
            <w:r>
              <w:rPr>
                <w:rFonts w:ascii="Arial" w:cs="Arial" w:eastAsia="Arial" w:hAnsi="Arial"/>
                <w:sz w:val="16"/>
                <w:szCs w:val="16"/>
                <w:color w:val="auto"/>
              </w:rPr>
              <w:t>Balance of unrecognized tax benefits at December 31</w:t>
            </w:r>
          </w:p>
        </w:tc>
        <w:tc>
          <w:tcPr>
            <w:tcW w:w="6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9,592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8,949</w:t>
            </w:r>
          </w:p>
        </w:tc>
      </w:tr>
      <w:tr>
        <w:trPr>
          <w:trHeight w:val="20"/>
        </w:trPr>
        <w:tc>
          <w:tcPr>
            <w:tcW w:w="6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total amount of unrecognized tax benefits as of December 31, 2021 was $9.3 million, which, if recognized, would impact the Company’s effective tax rate in future periods. Unrecognized tax benefits is included within prepaid expenses and other current assets and other non-current liabilities on the Consolidated Balance Sheets. The Company has determined that it is reasonably possible that there will be a reversal of unrecognized tax benefits by as much as $1.4 million in the next fiscal year due to the expected resolution of prior year tax matters.</w:t>
      </w:r>
    </w:p>
    <w:p>
      <w:pPr>
        <w:spacing w:after="0" w:line="95" w:lineRule="exact"/>
        <w:rPr>
          <w:sz w:val="20"/>
          <w:szCs w:val="20"/>
          <w:color w:val="auto"/>
        </w:rPr>
      </w:pPr>
    </w:p>
    <w:p>
      <w:pPr>
        <w:ind w:right="580" w:firstLine="395"/>
        <w:spacing w:after="0" w:line="252" w:lineRule="auto"/>
        <w:rPr>
          <w:sz w:val="20"/>
          <w:szCs w:val="20"/>
          <w:color w:val="auto"/>
        </w:rPr>
      </w:pPr>
      <w:r>
        <w:rPr>
          <w:rFonts w:ascii="Arial" w:cs="Arial" w:eastAsia="Arial" w:hAnsi="Arial"/>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24" w:lineRule="exact"/>
        <w:rPr>
          <w:sz w:val="20"/>
          <w:szCs w:val="20"/>
          <w:color w:val="auto"/>
        </w:rPr>
      </w:pPr>
    </w:p>
    <w:p>
      <w:pPr>
        <w:ind w:right="220" w:firstLine="395"/>
        <w:spacing w:after="0" w:line="299" w:lineRule="auto"/>
        <w:rPr>
          <w:sz w:val="20"/>
          <w:szCs w:val="20"/>
          <w:color w:val="auto"/>
        </w:rPr>
      </w:pPr>
      <w:r>
        <w:rPr>
          <w:rFonts w:ascii="Arial" w:cs="Arial" w:eastAsia="Arial" w:hAnsi="Arial"/>
          <w:sz w:val="16"/>
          <w:szCs w:val="16"/>
          <w:color w:val="auto"/>
        </w:rPr>
        <w:t>The Company and its subsidiaries file income tax returns in the U.S. and various foreign jurisdictions. The Company is currently under examination by the U.S. Internal Revenue Service for tax year 2017 and 2018 and Wisconsin for years 2015 - 2018. The Company is no longer subject to U.S. federal tax examinations for years before 2017, or state and local tax examinations by tax authorities for years before 2015.</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2" w:name="page93"/>
    <w:bookmarkEnd w:id="9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95"/>
        <w:spacing w:after="0" w:line="324" w:lineRule="auto"/>
        <w:rPr>
          <w:sz w:val="20"/>
          <w:szCs w:val="20"/>
          <w:color w:val="auto"/>
        </w:rPr>
      </w:pPr>
      <w:r>
        <w:rPr>
          <w:rFonts w:ascii="Arial" w:cs="Arial" w:eastAsia="Arial" w:hAnsi="Arial"/>
          <w:sz w:val="16"/>
          <w:szCs w:val="16"/>
          <w:color w:val="auto"/>
        </w:rPr>
        <w:t>As of December 31, 2021, the Company has $38.2 million in tax net operating loss carryforwards in US and foreign tax jurisdictions which are available to reduce future income taxes and the majority of this amount relates to jurisdictions with an indefinite carryforward period.</w:t>
      </w:r>
    </w:p>
    <w:p>
      <w:pPr>
        <w:spacing w:after="0" w:line="56" w:lineRule="exact"/>
        <w:rPr>
          <w:sz w:val="20"/>
          <w:szCs w:val="20"/>
          <w:color w:val="auto"/>
        </w:rPr>
      </w:pPr>
    </w:p>
    <w:p>
      <w:pPr>
        <w:ind w:right="180" w:firstLine="395"/>
        <w:spacing w:after="0" w:line="291" w:lineRule="auto"/>
        <w:rPr>
          <w:sz w:val="20"/>
          <w:szCs w:val="20"/>
          <w:color w:val="auto"/>
        </w:rPr>
      </w:pPr>
      <w:r>
        <w:rPr>
          <w:rFonts w:ascii="Arial" w:cs="Arial" w:eastAsia="Arial" w:hAnsi="Arial"/>
          <w:sz w:val="16"/>
          <w:szCs w:val="16"/>
          <w:color w:val="auto"/>
        </w:rPr>
        <w:t>As of December 31, 2021, the Company had approximately $15.2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United States. An estimate of the associated unrecognized deferred tax liability related to these undistributed earnings is not material.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41"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computation of basic and diluted net income per share for fiscal years 2021, 2020 and 2019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income</w:t>
            </w: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91,883</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20,108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6"/>
                <w:szCs w:val="16"/>
                <w:color w:val="auto"/>
              </w:rPr>
              <w:t>Shares used to compute basic net income per share</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36,509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35,844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Arial" w:cs="Arial" w:eastAsia="Arial" w:hAnsi="Arial"/>
                <w:sz w:val="16"/>
                <w:szCs w:val="16"/>
                <w:color w:val="auto"/>
              </w:rPr>
              <w:t>35,285</w:t>
            </w:r>
          </w:p>
        </w:tc>
        <w:tc>
          <w:tcPr>
            <w:tcW w:w="0" w:type="dxa"/>
            <w:vAlign w:val="bottom"/>
          </w:tcPr>
          <w:p>
            <w:pPr>
              <w:spacing w:after="0"/>
              <w:rPr>
                <w:sz w:val="1"/>
                <w:szCs w:val="1"/>
                <w:color w:val="auto"/>
              </w:rPr>
            </w:pPr>
          </w:p>
        </w:tc>
      </w:tr>
      <w:tr>
        <w:trPr>
          <w:trHeight w:val="214"/>
        </w:trPr>
        <w:tc>
          <w:tcPr>
            <w:tcW w:w="6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Dilutive potential common shares: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540"/>
              <w:spacing w:after="0"/>
              <w:rPr>
                <w:sz w:val="20"/>
                <w:szCs w:val="20"/>
                <w:color w:val="auto"/>
              </w:rPr>
            </w:pPr>
            <w:r>
              <w:rPr>
                <w:rFonts w:ascii="Arial" w:cs="Arial" w:eastAsia="Arial" w:hAnsi="Arial"/>
                <w:sz w:val="16"/>
                <w:szCs w:val="16"/>
                <w:color w:val="auto"/>
              </w:rPr>
              <w:t>Stock options and employee stock purchase plan shares</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Unvested restricted stock awards</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7"/>
        </w:trPr>
        <w:tc>
          <w:tcPr>
            <w:tcW w:w="6280" w:type="dxa"/>
            <w:vAlign w:val="bottom"/>
          </w:tcPr>
          <w:p>
            <w:pPr>
              <w:ind w:left="420"/>
              <w:spacing w:after="0"/>
              <w:rPr>
                <w:sz w:val="20"/>
                <w:szCs w:val="20"/>
                <w:color w:val="auto"/>
              </w:rPr>
            </w:pPr>
            <w:r>
              <w:rPr>
                <w:rFonts w:ascii="Arial" w:cs="Arial" w:eastAsia="Arial" w:hAnsi="Arial"/>
                <w:sz w:val="16"/>
                <w:szCs w:val="16"/>
                <w:color w:val="auto"/>
              </w:rPr>
              <w:t>Shares used to compute diluted net income per share</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37,324</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35,581</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Basic net income per share</w:t>
            </w: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ind w:left="420"/>
              <w:spacing w:after="0"/>
              <w:rPr>
                <w:sz w:val="20"/>
                <w:szCs w:val="20"/>
                <w:color w:val="auto"/>
              </w:rPr>
            </w:pPr>
            <w:r>
              <w:rPr>
                <w:rFonts w:ascii="Arial" w:cs="Arial" w:eastAsia="Arial" w:hAnsi="Arial"/>
                <w:sz w:val="16"/>
                <w:szCs w:val="16"/>
                <w:color w:val="auto"/>
              </w:rPr>
              <w:t>Diluted net income per share</w:t>
            </w: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420"/>
              <w:spacing w:after="0"/>
              <w:rPr>
                <w:sz w:val="20"/>
                <w:szCs w:val="20"/>
                <w:color w:val="auto"/>
              </w:rPr>
            </w:pPr>
            <w:r>
              <w:rPr>
                <w:rFonts w:ascii="Arial" w:cs="Arial" w:eastAsia="Arial" w:hAnsi="Arial"/>
                <w:sz w:val="16"/>
                <w:szCs w:val="16"/>
                <w:color w:val="auto"/>
              </w:rPr>
              <w:t>Potentially dilutive shares included in the calculation</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4"/>
        </w:trPr>
        <w:tc>
          <w:tcPr>
            <w:tcW w:w="6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Anti-dilutive shares excluded from the calculation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Financial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represents the Company’s geographic revenue based on customer location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9"/>
              </w:rPr>
              <w:t>Year Ended December 31,</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2"/>
        </w:trPr>
        <w:tc>
          <w:tcPr>
            <w:tcW w:w="59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r>
      <w:tr>
        <w:trPr>
          <w:trHeight w:val="204"/>
        </w:trPr>
        <w:tc>
          <w:tcPr>
            <w:tcW w:w="5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North America</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290,979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236,599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228,185</w:t>
            </w:r>
          </w:p>
        </w:tc>
      </w:tr>
      <w:tr>
        <w:trPr>
          <w:trHeight w:val="207"/>
        </w:trPr>
        <w:tc>
          <w:tcPr>
            <w:tcW w:w="5940" w:type="dxa"/>
            <w:vAlign w:val="bottom"/>
          </w:tcPr>
          <w:p>
            <w:pPr>
              <w:ind w:left="420"/>
              <w:spacing w:after="0"/>
              <w:rPr>
                <w:sz w:val="20"/>
                <w:szCs w:val="20"/>
                <w:color w:val="auto"/>
              </w:rPr>
            </w:pPr>
            <w:r>
              <w:rPr>
                <w:rFonts w:ascii="Arial" w:cs="Arial" w:eastAsia="Arial" w:hAnsi="Arial"/>
                <w:sz w:val="16"/>
                <w:szCs w:val="16"/>
                <w:color w:val="auto"/>
              </w:rPr>
              <w:t>Europe</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253,479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220,665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217,397</w:t>
            </w:r>
          </w:p>
        </w:tc>
      </w:tr>
      <w:tr>
        <w:trPr>
          <w:trHeight w:val="211"/>
        </w:trPr>
        <w:tc>
          <w:tcPr>
            <w:tcW w:w="5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Rest of the world</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228,957</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209,422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204,941</w:t>
            </w:r>
          </w:p>
        </w:tc>
      </w:tr>
      <w:tr>
        <w:trPr>
          <w:trHeight w:val="207"/>
        </w:trPr>
        <w:tc>
          <w:tcPr>
            <w:tcW w:w="594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773,415</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666,686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650,523</w:t>
            </w:r>
          </w:p>
        </w:tc>
      </w:tr>
      <w:tr>
        <w:trPr>
          <w:trHeight w:val="20"/>
        </w:trPr>
        <w:tc>
          <w:tcPr>
            <w:tcW w:w="5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firstLine="395"/>
        <w:spacing w:after="0" w:line="324" w:lineRule="auto"/>
        <w:rPr>
          <w:sz w:val="20"/>
          <w:szCs w:val="20"/>
          <w:color w:val="auto"/>
        </w:rPr>
      </w:pPr>
      <w:r>
        <w:rPr>
          <w:rFonts w:ascii="Arial" w:cs="Arial" w:eastAsia="Arial" w:hAnsi="Arial"/>
          <w:sz w:val="16"/>
          <w:szCs w:val="16"/>
          <w:color w:val="auto"/>
        </w:rPr>
        <w:t>Included in North America is the United States which comprises approximately 34%, 33% and 32% of total revenue for the years ended December 31, 2021, 2020 and 2019, respectively. No other country accounts for more than 10% of the Company’s revenue in any period presented.</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93" w:name="page94"/>
    <w:bookmarkEnd w:id="93"/>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1"/>
        </w:trPr>
        <w:tc>
          <w:tcPr>
            <w:tcW w:w="77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r>
      <w:tr>
        <w:trPr>
          <w:trHeight w:val="209"/>
        </w:trPr>
        <w:tc>
          <w:tcPr>
            <w:tcW w:w="7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North America</w:t>
            </w:r>
          </w:p>
        </w:tc>
        <w:tc>
          <w:tcPr>
            <w:tcW w:w="118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40,465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43,451</w:t>
            </w:r>
          </w:p>
        </w:tc>
      </w:tr>
      <w:tr>
        <w:trPr>
          <w:trHeight w:val="207"/>
        </w:trPr>
        <w:tc>
          <w:tcPr>
            <w:tcW w:w="7720" w:type="dxa"/>
            <w:vAlign w:val="bottom"/>
          </w:tcPr>
          <w:p>
            <w:pPr>
              <w:ind w:left="420"/>
              <w:spacing w:after="0"/>
              <w:rPr>
                <w:sz w:val="20"/>
                <w:szCs w:val="20"/>
                <w:color w:val="auto"/>
              </w:rPr>
            </w:pPr>
            <w:r>
              <w:rPr>
                <w:rFonts w:ascii="Arial" w:cs="Arial" w:eastAsia="Arial" w:hAnsi="Arial"/>
                <w:sz w:val="16"/>
                <w:szCs w:val="16"/>
                <w:color w:val="auto"/>
              </w:rPr>
              <w:t>Europe</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7,460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7,192</w:t>
            </w:r>
          </w:p>
        </w:tc>
      </w:tr>
      <w:tr>
        <w:trPr>
          <w:trHeight w:val="211"/>
        </w:trPr>
        <w:tc>
          <w:tcPr>
            <w:tcW w:w="7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Rest of world</w:t>
            </w:r>
          </w:p>
        </w:tc>
        <w:tc>
          <w:tcPr>
            <w:tcW w:w="1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7"/>
        </w:trPr>
        <w:tc>
          <w:tcPr>
            <w:tcW w:w="7720" w:type="dxa"/>
            <w:vAlign w:val="bottom"/>
          </w:tcPr>
          <w:p>
            <w:pPr>
              <w:ind w:left="540"/>
              <w:spacing w:after="0"/>
              <w:rPr>
                <w:sz w:val="20"/>
                <w:szCs w:val="20"/>
                <w:color w:val="auto"/>
              </w:rPr>
            </w:pPr>
            <w:r>
              <w:rPr>
                <w:rFonts w:ascii="Arial" w:cs="Arial" w:eastAsia="Arial" w:hAnsi="Arial"/>
                <w:sz w:val="16"/>
                <w:szCs w:val="16"/>
                <w:color w:val="auto"/>
              </w:rPr>
              <w:t>Total long-lived tangible assets</w:t>
            </w:r>
          </w:p>
        </w:tc>
        <w:tc>
          <w:tcPr>
            <w:tcW w:w="1180" w:type="dxa"/>
            <w:vAlign w:val="bottom"/>
            <w:tcBorders>
              <w:bottom w:val="single" w:sz="8" w:color="auto"/>
            </w:tcBorders>
          </w:tcPr>
          <w:p>
            <w:pPr>
              <w:jc w:val="right"/>
              <w:ind w:right="62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48,074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50,906</w:t>
            </w: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40" w:firstLine="395"/>
        <w:spacing w:after="0" w:line="252" w:lineRule="auto"/>
        <w:rPr>
          <w:sz w:val="20"/>
          <w:szCs w:val="20"/>
          <w:color w:val="auto"/>
        </w:rPr>
      </w:pPr>
      <w:r>
        <w:rPr>
          <w:rFonts w:ascii="Arial" w:cs="Arial" w:eastAsia="Arial" w:hAnsi="Arial"/>
          <w:sz w:val="18"/>
          <w:szCs w:val="18"/>
          <w:color w:val="auto"/>
        </w:rPr>
        <w:t>Included in North America is the United States, which comprises 76% and 75% of total long-lived tangible assets as of December 31, 2021 and 2020, respectively. Ireland, included in Europe in the above table, accounted for 11% of total long-lived tangible assets as of December 31, 2021. No other country accounts for more than 10% of the Company’s long-lived tangible assets in any period presented.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Leasing</w:t>
      </w:r>
    </w:p>
    <w:p>
      <w:pPr>
        <w:spacing w:after="0" w:line="115"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Company’s leases relate primarily to office facilities that expire on various dates from 2022 through 2029, some of which include one or more options to renew. All of the Company’s leases are classified as operating leases. Operating lease costs, including insignificant costs related to short-term leases, were $10.2 million, $10.5 million and $11.1 million for the years ended December 31, 2021, 2020 and 2019, respectively.</w:t>
      </w:r>
    </w:p>
    <w:p>
      <w:pPr>
        <w:spacing w:after="0" w:line="7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Company made cash payments for operating leases of $9.7 million for the year ended December 31, 2021, which were included in cash flows from operating activities within the Consolidated Statements of Cash Flows. In addition, for the year ended December 31, 2021, the Company also recorded right-of-use assets of $1.4 million obtained in exchange for lease obligations. The Company’s operating leases have a weighted average remaining lease term of 6.75 years and a weighted average discount rate of 6.1%.</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Balance sheet information for the Company’s leases as of December 31, 2021,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207"/>
        </w:trPr>
        <w:tc>
          <w:tcPr>
            <w:tcW w:w="7780" w:type="dxa"/>
            <w:vAlign w:val="bottom"/>
          </w:tcPr>
          <w:p>
            <w:pPr>
              <w:ind w:left="420"/>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r>
      <w:tr>
        <w:trPr>
          <w:trHeight w:val="207"/>
        </w:trPr>
        <w:tc>
          <w:tcPr>
            <w:tcW w:w="7780" w:type="dxa"/>
            <w:vAlign w:val="bottom"/>
          </w:tcPr>
          <w:p>
            <w:pPr>
              <w:ind w:left="420"/>
              <w:spacing w:after="0"/>
              <w:rPr>
                <w:sz w:val="20"/>
                <w:szCs w:val="20"/>
                <w:color w:val="auto"/>
              </w:rPr>
            </w:pPr>
            <w:r>
              <w:rPr>
                <w:rFonts w:ascii="Arial" w:cs="Arial" w:eastAsia="Arial" w:hAnsi="Arial"/>
                <w:sz w:val="16"/>
                <w:szCs w:val="16"/>
                <w:color w:val="auto"/>
              </w:rPr>
              <w:t>Right-of-use assets</w:t>
            </w: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34,570</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39,552</w:t>
            </w:r>
          </w:p>
        </w:tc>
      </w:tr>
      <w:tr>
        <w:trPr>
          <w:trHeight w:val="39"/>
        </w:trPr>
        <w:tc>
          <w:tcPr>
            <w:tcW w:w="77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7"/>
        </w:trPr>
        <w:tc>
          <w:tcPr>
            <w:tcW w:w="7780" w:type="dxa"/>
            <w:vAlign w:val="bottom"/>
          </w:tcPr>
          <w:p>
            <w:pPr>
              <w:ind w:left="540"/>
              <w:spacing w:after="0"/>
              <w:rPr>
                <w:sz w:val="20"/>
                <w:szCs w:val="20"/>
                <w:color w:val="auto"/>
              </w:rPr>
            </w:pPr>
            <w:r>
              <w:rPr>
                <w:rFonts w:ascii="Arial" w:cs="Arial" w:eastAsia="Arial" w:hAnsi="Arial"/>
                <w:sz w:val="16"/>
                <w:szCs w:val="16"/>
                <w:color w:val="auto"/>
              </w:rPr>
              <w:t>Lease liabilities, current</w:t>
            </w: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8,364</w:t>
            </w:r>
          </w:p>
        </w:tc>
        <w:tc>
          <w:tcPr>
            <w:tcW w:w="100" w:type="dxa"/>
            <w:vAlign w:val="bottom"/>
          </w:tcPr>
          <w:p>
            <w:pPr>
              <w:spacing w:after="0"/>
              <w:rPr>
                <w:sz w:val="18"/>
                <w:szCs w:val="18"/>
                <w:color w:val="auto"/>
              </w:rPr>
            </w:pPr>
          </w:p>
        </w:tc>
        <w:tc>
          <w:tcPr>
            <w:tcW w:w="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9,097</w:t>
            </w:r>
          </w:p>
        </w:tc>
      </w:tr>
      <w:tr>
        <w:trPr>
          <w:trHeight w:val="211"/>
        </w:trPr>
        <w:tc>
          <w:tcPr>
            <w:tcW w:w="7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 liabilities, non-current</w:t>
            </w: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36,966</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41,620</w:t>
            </w:r>
          </w:p>
        </w:tc>
      </w:tr>
      <w:tr>
        <w:trPr>
          <w:trHeight w:val="207"/>
        </w:trPr>
        <w:tc>
          <w:tcPr>
            <w:tcW w:w="7780" w:type="dxa"/>
            <w:vAlign w:val="bottom"/>
          </w:tcPr>
          <w:p>
            <w:pPr>
              <w:ind w:left="420"/>
              <w:spacing w:after="0"/>
              <w:rPr>
                <w:sz w:val="20"/>
                <w:szCs w:val="20"/>
                <w:color w:val="auto"/>
              </w:rPr>
            </w:pPr>
            <w:r>
              <w:rPr>
                <w:rFonts w:ascii="Arial" w:cs="Arial" w:eastAsia="Arial" w:hAnsi="Arial"/>
                <w:sz w:val="16"/>
                <w:szCs w:val="16"/>
                <w:color w:val="auto"/>
              </w:rPr>
              <w:t>Total lease liabilities</w:t>
            </w: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45,330</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50,717</w:t>
            </w:r>
          </w:p>
        </w:tc>
      </w:tr>
      <w:tr>
        <w:trPr>
          <w:trHeight w:val="20"/>
        </w:trPr>
        <w:tc>
          <w:tcPr>
            <w:tcW w:w="7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4" w:name="page95"/>
    <w:bookmarkEnd w:id="94"/>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900" w:firstLine="395"/>
        <w:spacing w:after="0" w:line="261" w:lineRule="auto"/>
        <w:rPr>
          <w:sz w:val="20"/>
          <w:szCs w:val="20"/>
          <w:color w:val="auto"/>
        </w:rPr>
      </w:pPr>
      <w:r>
        <w:rPr>
          <w:rFonts w:ascii="Arial" w:cs="Arial" w:eastAsia="Arial" w:hAnsi="Arial"/>
          <w:sz w:val="18"/>
          <w:szCs w:val="18"/>
          <w:color w:val="auto"/>
        </w:rPr>
        <w:t>Future undiscounted lease payments for the Company’s operating lease liabilities and a reconciliation of these payments to its lease liabilities at December 31, 2021 are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b w:val="1"/>
                <w:bCs w:val="1"/>
                <w:color w:val="auto"/>
              </w:rPr>
              <w:t>Reconciliation of future undiscounted lease payments to lease liabilities</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Lease Commitments</w:t>
            </w:r>
          </w:p>
        </w:tc>
      </w:tr>
      <w:tr>
        <w:trPr>
          <w:trHeight w:val="194"/>
        </w:trPr>
        <w:tc>
          <w:tcPr>
            <w:tcW w:w="9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Year ending December 31,</w:t>
            </w:r>
          </w:p>
        </w:tc>
        <w:tc>
          <w:tcPr>
            <w:tcW w:w="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07"/>
        </w:trPr>
        <w:tc>
          <w:tcPr>
            <w:tcW w:w="9120" w:type="dxa"/>
            <w:vAlign w:val="bottom"/>
          </w:tcPr>
          <w:p>
            <w:pPr>
              <w:ind w:left="54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8,694</w:t>
            </w:r>
          </w:p>
        </w:tc>
      </w:tr>
      <w:tr>
        <w:trPr>
          <w:trHeight w:val="214"/>
        </w:trPr>
        <w:tc>
          <w:tcPr>
            <w:tcW w:w="9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r>
      <w:tr>
        <w:trPr>
          <w:trHeight w:val="207"/>
        </w:trPr>
        <w:tc>
          <w:tcPr>
            <w:tcW w:w="9120" w:type="dxa"/>
            <w:vAlign w:val="bottom"/>
          </w:tcPr>
          <w:p>
            <w:pPr>
              <w:ind w:left="54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7,253</w:t>
            </w:r>
          </w:p>
        </w:tc>
      </w:tr>
      <w:tr>
        <w:trPr>
          <w:trHeight w:val="214"/>
        </w:trPr>
        <w:tc>
          <w:tcPr>
            <w:tcW w:w="9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r>
      <w:tr>
        <w:trPr>
          <w:trHeight w:val="207"/>
        </w:trPr>
        <w:tc>
          <w:tcPr>
            <w:tcW w:w="9120" w:type="dxa"/>
            <w:vAlign w:val="bottom"/>
          </w:tcPr>
          <w:p>
            <w:pPr>
              <w:ind w:left="54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7,299</w:t>
            </w:r>
          </w:p>
        </w:tc>
      </w:tr>
      <w:tr>
        <w:trPr>
          <w:trHeight w:val="214"/>
        </w:trPr>
        <w:tc>
          <w:tcPr>
            <w:tcW w:w="9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18,119</w:t>
            </w:r>
          </w:p>
        </w:tc>
      </w:tr>
      <w:tr>
        <w:trPr>
          <w:trHeight w:val="200"/>
        </w:trPr>
        <w:tc>
          <w:tcPr>
            <w:tcW w:w="9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b w:val="1"/>
                <w:bCs w:val="1"/>
                <w:color w:val="auto"/>
              </w:rPr>
              <w:t>Total undiscounted lease payments</w:t>
            </w: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56,187</w:t>
            </w:r>
          </w:p>
        </w:tc>
      </w:tr>
      <w:tr>
        <w:trPr>
          <w:trHeight w:val="204"/>
        </w:trPr>
        <w:tc>
          <w:tcPr>
            <w:tcW w:w="9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Less: imputed interest</w:t>
            </w:r>
          </w:p>
        </w:tc>
        <w:tc>
          <w:tcPr>
            <w:tcW w:w="5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w:t>
            </w:r>
          </w:p>
        </w:tc>
      </w:tr>
      <w:tr>
        <w:trPr>
          <w:trHeight w:val="207"/>
        </w:trPr>
        <w:tc>
          <w:tcPr>
            <w:tcW w:w="9120" w:type="dxa"/>
            <w:vAlign w:val="bottom"/>
          </w:tcPr>
          <w:p>
            <w:pPr>
              <w:ind w:left="420"/>
              <w:spacing w:after="0"/>
              <w:rPr>
                <w:sz w:val="20"/>
                <w:szCs w:val="20"/>
                <w:color w:val="auto"/>
              </w:rPr>
            </w:pPr>
            <w:r>
              <w:rPr>
                <w:rFonts w:ascii="Arial" w:cs="Arial" w:eastAsia="Arial" w:hAnsi="Arial"/>
                <w:sz w:val="16"/>
                <w:szCs w:val="16"/>
                <w:b w:val="1"/>
                <w:bCs w:val="1"/>
                <w:color w:val="auto"/>
              </w:rPr>
              <w:t>Total lease liabilities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45,330</w:t>
            </w:r>
          </w:p>
        </w:tc>
      </w:tr>
      <w:tr>
        <w:trPr>
          <w:trHeight w:val="20"/>
        </w:trPr>
        <w:tc>
          <w:tcPr>
            <w:tcW w:w="9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Company’s most significant lease is for its headquarters in New York City, which was entered into in March 2013 and was amended in January 2016 (“ESB Lease”). As amended, the ESB Lease will expire in 2029, and the undiscounted remaining future minimum lease payments are approximately $50.4 million. The Company is also party to a letter of credit as a security deposit for this leased facility, in the amount of $1.7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Non-Lease Obligations</w:t>
      </w:r>
    </w:p>
    <w:p>
      <w:pPr>
        <w:spacing w:after="0" w:line="10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As of December 31, 2021, the Company’s other unconditional cash obligations, consisting primarily of unconditional purchase obligations related to contracts for cloud-based services, infrastructure and other business services as well as minimum royalty guarantees in connection with certain content licenses,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60" w:type="dxa"/>
            <w:vAlign w:val="bottom"/>
            <w:tcBorders>
              <w:bottom w:val="single" w:sz="8" w:color="CCEEFF"/>
            </w:tcBorders>
          </w:tcPr>
          <w:p>
            <w:pPr>
              <w:ind w:left="420"/>
              <w:spacing w:after="0"/>
              <w:rPr>
                <w:sz w:val="20"/>
                <w:szCs w:val="20"/>
                <w:color w:val="auto"/>
              </w:rPr>
            </w:pPr>
            <w:r>
              <w:rPr>
                <w:rFonts w:ascii="Arial" w:cs="Arial" w:eastAsia="Arial" w:hAnsi="Arial"/>
                <w:sz w:val="16"/>
                <w:szCs w:val="16"/>
                <w:b w:val="1"/>
                <w:bCs w:val="1"/>
                <w:color w:val="auto"/>
              </w:rPr>
              <w:t>Year Ending December 31,</w:t>
            </w: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6"/>
              </w:rPr>
              <w:t>Other Obligations</w:t>
            </w:r>
          </w:p>
        </w:tc>
      </w:tr>
      <w:tr>
        <w:trPr>
          <w:trHeight w:val="207"/>
        </w:trPr>
        <w:tc>
          <w:tcPr>
            <w:tcW w:w="9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28,600</w:t>
            </w:r>
          </w:p>
        </w:tc>
      </w:tr>
      <w:tr>
        <w:trPr>
          <w:trHeight w:val="207"/>
        </w:trPr>
        <w:tc>
          <w:tcPr>
            <w:tcW w:w="9260" w:type="dxa"/>
            <w:vAlign w:val="bottom"/>
          </w:tcPr>
          <w:p>
            <w:pPr>
              <w:ind w:left="420"/>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12,400</w:t>
            </w:r>
          </w:p>
        </w:tc>
      </w:tr>
      <w:tr>
        <w:trPr>
          <w:trHeight w:val="214"/>
        </w:trPr>
        <w:tc>
          <w:tcPr>
            <w:tcW w:w="9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2024</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r>
      <w:tr>
        <w:trPr>
          <w:trHeight w:val="207"/>
        </w:trPr>
        <w:tc>
          <w:tcPr>
            <w:tcW w:w="9260" w:type="dxa"/>
            <w:vAlign w:val="bottom"/>
          </w:tcPr>
          <w:p>
            <w:pPr>
              <w:ind w:left="420"/>
              <w:spacing w:after="0"/>
              <w:rPr>
                <w:sz w:val="20"/>
                <w:szCs w:val="20"/>
                <w:color w:val="auto"/>
              </w:rPr>
            </w:pPr>
            <w:r>
              <w:rPr>
                <w:rFonts w:ascii="Arial" w:cs="Arial" w:eastAsia="Arial" w:hAnsi="Arial"/>
                <w:sz w:val="16"/>
                <w:szCs w:val="16"/>
                <w:color w:val="auto"/>
              </w:rPr>
              <w:t>2025</w:t>
            </w: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2,100</w:t>
            </w:r>
          </w:p>
        </w:tc>
      </w:tr>
      <w:tr>
        <w:trPr>
          <w:trHeight w:val="214"/>
        </w:trPr>
        <w:tc>
          <w:tcPr>
            <w:tcW w:w="9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2026</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7"/>
        </w:trPr>
        <w:tc>
          <w:tcPr>
            <w:tcW w:w="92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9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non-lease unconditional obligations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95" w:name="page96"/>
    <w:bookmarkEnd w:id="95"/>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35"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Indemnifications</w:t>
      </w:r>
    </w:p>
    <w:p>
      <w:pPr>
        <w:spacing w:after="0" w:line="148"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2021,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Indemnification Agreements</w:t>
      </w:r>
    </w:p>
    <w:p>
      <w:pPr>
        <w:spacing w:after="0" w:line="148" w:lineRule="exact"/>
        <w:rPr>
          <w:sz w:val="20"/>
          <w:szCs w:val="20"/>
          <w:color w:val="auto"/>
        </w:rPr>
      </w:pPr>
    </w:p>
    <w:p>
      <w:pPr>
        <w:jc w:val="both"/>
        <w:ind w:right="280" w:firstLine="395"/>
        <w:spacing w:after="0" w:line="252" w:lineRule="auto"/>
        <w:rPr>
          <w:sz w:val="20"/>
          <w:szCs w:val="20"/>
          <w:color w:val="auto"/>
        </w:rPr>
      </w:pPr>
      <w:r>
        <w:rPr>
          <w:rFonts w:ascii="Arial" w:cs="Arial" w:eastAsia="Arial" w:hAnsi="Arial"/>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96" w:name="page97"/>
    <w:bookmarkEnd w:id="9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25"/>
          </w:tcPr>
          <w:p>
            <w:pPr>
              <w:ind w:left="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64"/>
        </w:trPr>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60" w:type="dxa"/>
            <w:vAlign w:val="bottom"/>
            <w:gridSpan w:val="34"/>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3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2.1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43"/>
          </w:tcPr>
          <w:p>
            <w:pPr>
              <w:spacing w:after="0" w:line="139" w:lineRule="exact"/>
              <w:rPr>
                <w:rFonts w:ascii="Arial" w:cs="Arial" w:eastAsia="Arial" w:hAnsi="Arial"/>
                <w:sz w:val="14"/>
                <w:szCs w:val="14"/>
                <w:color w:val="0000FF"/>
              </w:rPr>
            </w:pPr>
            <w:hyperlink r:id="rId113">
              <w:r>
                <w:rPr>
                  <w:rFonts w:ascii="Arial" w:cs="Arial" w:eastAsia="Arial" w:hAnsi="Arial"/>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top w:val="single" w:sz="8" w:color="0000FF"/>
              <w:bottom w:val="single" w:sz="8" w:color="0000FF"/>
            </w:tcBorders>
            <w:gridSpan w:val="7"/>
          </w:tcPr>
          <w:p>
            <w:pPr>
              <w:spacing w:after="0" w:line="112" w:lineRule="exact"/>
              <w:rPr>
                <w:rFonts w:ascii="Arial" w:cs="Arial" w:eastAsia="Arial" w:hAnsi="Arial"/>
                <w:sz w:val="12"/>
                <w:szCs w:val="12"/>
                <w:color w:val="0000FF"/>
              </w:rPr>
            </w:pPr>
            <w:hyperlink r:id="rId113">
              <w:r>
                <w:rPr>
                  <w:rFonts w:ascii="Arial" w:cs="Arial" w:eastAsia="Arial" w:hAnsi="Arial"/>
                  <w:sz w:val="12"/>
                  <w:szCs w:val="12"/>
                  <w:color w:val="0000FF"/>
                </w:rPr>
                <w:t>Shutterstock Images LLC.</w:t>
              </w:r>
            </w:hyperlink>
          </w:p>
        </w:tc>
        <w:tc>
          <w:tcPr>
            <w:tcW w:w="348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2"/>
              </w:rPr>
            </w:pPr>
            <w:hyperlink r:id="rId114">
              <w:r>
                <w:rPr>
                  <w:rFonts w:ascii="Arial" w:cs="Arial" w:eastAsia="Arial" w:hAnsi="Arial"/>
                  <w:sz w:val="14"/>
                  <w:szCs w:val="14"/>
                  <w:color w:val="0000FF"/>
                  <w:w w:val="92"/>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40" w:type="dxa"/>
            <w:vAlign w:val="bottom"/>
            <w:tcBorders>
              <w:top w:val="single" w:sz="8" w:color="0000FF"/>
            </w:tcBorders>
            <w:gridSpan w:val="38"/>
          </w:tcPr>
          <w:p>
            <w:pPr>
              <w:spacing w:after="0" w:line="112" w:lineRule="exact"/>
              <w:rPr>
                <w:rFonts w:ascii="Arial" w:cs="Arial" w:eastAsia="Arial" w:hAnsi="Arial"/>
                <w:sz w:val="12"/>
                <w:szCs w:val="12"/>
                <w:color w:val="0000FF"/>
              </w:rPr>
            </w:pPr>
            <w:hyperlink r:id="rId114">
              <w:r>
                <w:rPr>
                  <w:rFonts w:ascii="Arial" w:cs="Arial" w:eastAsia="Arial" w:hAnsi="Arial"/>
                  <w:sz w:val="12"/>
                  <w:szCs w:val="12"/>
                  <w:color w:val="0000FF"/>
                </w:rPr>
                <w:t>Investors II, Inc., Insight Venture Partners (Cayman) V, L.P., Shutterstock Investors III, Inc. and</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tcBorders>
              <w:top w:val="single" w:sz="8" w:color="0000FF"/>
              <w:bottom w:val="single" w:sz="8" w:color="0000FF"/>
            </w:tcBorders>
            <w:gridSpan w:val="15"/>
          </w:tcPr>
          <w:p>
            <w:pPr>
              <w:spacing w:after="0" w:line="112" w:lineRule="exact"/>
              <w:rPr>
                <w:rFonts w:ascii="Arial" w:cs="Arial" w:eastAsia="Arial" w:hAnsi="Arial"/>
                <w:sz w:val="12"/>
                <w:szCs w:val="12"/>
                <w:color w:val="0000FF"/>
              </w:rPr>
            </w:pPr>
            <w:hyperlink r:id="rId114">
              <w:r>
                <w:rPr>
                  <w:rFonts w:ascii="Arial" w:cs="Arial" w:eastAsia="Arial" w:hAnsi="Arial"/>
                  <w:sz w:val="12"/>
                  <w:szCs w:val="12"/>
                  <w:color w:val="0000FF"/>
                </w:rPr>
                <w:t>Insight Venture Partners V Coinvestment Fund, L.P.</w:t>
              </w:r>
            </w:hyperlink>
          </w:p>
        </w:tc>
        <w:tc>
          <w:tcPr>
            <w:tcW w:w="246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9"/>
              </w:rPr>
            </w:pPr>
            <w:hyperlink r:id="rId115">
              <w:r>
                <w:rPr>
                  <w:rFonts w:ascii="Arial" w:cs="Arial" w:eastAsia="Arial" w:hAnsi="Arial"/>
                  <w:sz w:val="14"/>
                  <w:szCs w:val="14"/>
                  <w:color w:val="0000FF"/>
                  <w:w w:val="99"/>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tcBorders>
            <w:gridSpan w:val="29"/>
          </w:tcPr>
          <w:p>
            <w:pPr>
              <w:spacing w:after="0"/>
              <w:rPr>
                <w:rFonts w:ascii="Arial" w:cs="Arial" w:eastAsia="Arial" w:hAnsi="Arial"/>
                <w:sz w:val="14"/>
                <w:szCs w:val="14"/>
                <w:color w:val="0000FF"/>
              </w:rPr>
            </w:pPr>
            <w:hyperlink r:id="rId116">
              <w:r>
                <w:rPr>
                  <w:rFonts w:ascii="Arial" w:cs="Arial" w:eastAsia="Arial" w:hAnsi="Arial"/>
                  <w:sz w:val="14"/>
                  <w:szCs w:val="14"/>
                  <w:color w:val="0000FF"/>
                </w:rPr>
                <w:t>Amended and Restated Bylaws of the Registrant, as currently in effect.</w:t>
              </w:r>
            </w:hyperlink>
          </w:p>
        </w:tc>
        <w:tc>
          <w:tcPr>
            <w:tcW w:w="5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tcBorders>
            <w:gridSpan w:val="20"/>
          </w:tcPr>
          <w:p>
            <w:pPr>
              <w:spacing w:after="0"/>
              <w:rPr>
                <w:rFonts w:ascii="Arial" w:cs="Arial" w:eastAsia="Arial" w:hAnsi="Arial"/>
                <w:sz w:val="14"/>
                <w:szCs w:val="14"/>
                <w:color w:val="0000FF"/>
              </w:rPr>
            </w:pPr>
            <w:hyperlink r:id="rId117">
              <w:r>
                <w:rPr>
                  <w:rFonts w:ascii="Arial" w:cs="Arial" w:eastAsia="Arial" w:hAnsi="Arial"/>
                  <w:sz w:val="14"/>
                  <w:szCs w:val="14"/>
                  <w:color w:val="0000FF"/>
                </w:rPr>
                <w:t>Specimen Stock Certificate of the Registrant</w:t>
              </w:r>
            </w:hyperlink>
          </w:p>
        </w:tc>
        <w:tc>
          <w:tcPr>
            <w:tcW w:w="16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500" w:type="dxa"/>
            <w:vAlign w:val="bottom"/>
            <w:tcBorders>
              <w:top w:val="single" w:sz="8" w:color="0000FF"/>
            </w:tcBorders>
            <w:gridSpan w:val="12"/>
          </w:tcPr>
          <w:p>
            <w:pPr>
              <w:spacing w:after="0"/>
              <w:rPr>
                <w:rFonts w:ascii="Arial" w:cs="Arial" w:eastAsia="Arial" w:hAnsi="Arial"/>
                <w:sz w:val="14"/>
                <w:szCs w:val="14"/>
                <w:color w:val="0000FF"/>
                <w:w w:val="98"/>
              </w:rPr>
            </w:pPr>
            <w:hyperlink r:id="rId118">
              <w:r>
                <w:rPr>
                  <w:rFonts w:ascii="Arial" w:cs="Arial" w:eastAsia="Arial" w:hAnsi="Arial"/>
                  <w:sz w:val="14"/>
                  <w:szCs w:val="14"/>
                  <w:color w:val="0000FF"/>
                  <w:w w:val="98"/>
                </w:rPr>
                <w:t>Description of the Registrant’s Securities</w:t>
              </w:r>
            </w:hyperlink>
          </w:p>
        </w:tc>
        <w:tc>
          <w:tcPr>
            <w:tcW w:w="310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540" w:type="dxa"/>
            <w:vAlign w:val="bottom"/>
            <w:tcBorders>
              <w:bottom w:val="single" w:sz="8" w:color="0000FF"/>
            </w:tcBorders>
            <w:gridSpan w:val="40"/>
          </w:tcPr>
          <w:p>
            <w:pPr>
              <w:spacing w:after="0"/>
              <w:rPr>
                <w:rFonts w:ascii="Arial" w:cs="Arial" w:eastAsia="Arial" w:hAnsi="Arial"/>
                <w:sz w:val="14"/>
                <w:szCs w:val="14"/>
                <w:color w:val="0000FF"/>
                <w:w w:val="91"/>
              </w:rPr>
            </w:pPr>
            <w:hyperlink r:id="rId119">
              <w:r>
                <w:rPr>
                  <w:rFonts w:ascii="Arial" w:cs="Arial" w:eastAsia="Arial" w:hAnsi="Arial"/>
                  <w:sz w:val="14"/>
                  <w:szCs w:val="14"/>
                  <w:color w:val="0000FF"/>
                  <w:w w:val="91"/>
                </w:rPr>
                <w:t>Form of Indemnification Agreement between the Registrant and each of its Officers and Directors.</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10.2</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960" w:type="dxa"/>
            <w:vAlign w:val="bottom"/>
            <w:tcBorders>
              <w:bottom w:val="single" w:sz="8" w:color="0000FF"/>
            </w:tcBorders>
            <w:gridSpan w:val="19"/>
          </w:tcPr>
          <w:p>
            <w:pPr>
              <w:spacing w:after="0"/>
              <w:rPr>
                <w:rFonts w:ascii="Arial" w:cs="Arial" w:eastAsia="Arial" w:hAnsi="Arial"/>
                <w:sz w:val="14"/>
                <w:szCs w:val="14"/>
                <w:color w:val="0000FF"/>
                <w:w w:val="91"/>
              </w:rPr>
            </w:pPr>
            <w:hyperlink r:id="rId120">
              <w:r>
                <w:rPr>
                  <w:rFonts w:ascii="Arial" w:cs="Arial" w:eastAsia="Arial" w:hAnsi="Arial"/>
                  <w:sz w:val="14"/>
                  <w:szCs w:val="14"/>
                  <w:color w:val="0000FF"/>
                  <w:w w:val="91"/>
                </w:rPr>
                <w:t>2012 Omnibus Equity Incentive Plan and Form of Award Agreements.</w:t>
              </w:r>
            </w:hyperlink>
          </w:p>
        </w:tc>
        <w:tc>
          <w:tcPr>
            <w:tcW w:w="164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rPr>
            </w:pPr>
            <w:hyperlink r:id="rId121">
              <w:r>
                <w:rPr>
                  <w:rFonts w:ascii="Arial" w:cs="Arial" w:eastAsia="Arial" w:hAnsi="Arial"/>
                  <w:sz w:val="14"/>
                  <w:szCs w:val="14"/>
                  <w:color w:val="0000FF"/>
                </w:rPr>
                <w:t>2012 Employee Stock Purchase Plan and Form of Subscription Agreement.</w:t>
              </w:r>
            </w:hyperlink>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220" w:type="dxa"/>
            <w:vAlign w:val="bottom"/>
            <w:tcBorders>
              <w:top w:val="single" w:sz="8" w:color="0000FF"/>
            </w:tcBorders>
            <w:gridSpan w:val="22"/>
          </w:tcPr>
          <w:p>
            <w:pPr>
              <w:spacing w:after="0"/>
              <w:rPr>
                <w:rFonts w:ascii="Arial" w:cs="Arial" w:eastAsia="Arial" w:hAnsi="Arial"/>
                <w:sz w:val="14"/>
                <w:szCs w:val="14"/>
                <w:color w:val="0000FF"/>
              </w:rPr>
            </w:pPr>
            <w:hyperlink r:id="rId122">
              <w:r>
                <w:rPr>
                  <w:rFonts w:ascii="Arial" w:cs="Arial" w:eastAsia="Arial" w:hAnsi="Arial"/>
                  <w:sz w:val="14"/>
                  <w:szCs w:val="14"/>
                  <w:color w:val="0000FF"/>
                </w:rPr>
                <w:t>Shutterstock, Inc. Short-Term Incentive Plan.</w:t>
              </w:r>
            </w:hyperlink>
          </w:p>
        </w:tc>
        <w:tc>
          <w:tcPr>
            <w:tcW w:w="13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10.5(a)</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rPr>
            </w:pPr>
            <w:hyperlink r:id="rId123">
              <w:r>
                <w:rPr>
                  <w:rFonts w:ascii="Arial" w:cs="Arial" w:eastAsia="Arial" w:hAnsi="Arial"/>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40" w:type="dxa"/>
            <w:vAlign w:val="bottom"/>
            <w:tcBorders>
              <w:top w:val="single" w:sz="8" w:color="0000FF"/>
            </w:tcBorders>
            <w:gridSpan w:val="26"/>
          </w:tcPr>
          <w:p>
            <w:pPr>
              <w:spacing w:after="0" w:line="112" w:lineRule="exact"/>
              <w:rPr>
                <w:rFonts w:ascii="Arial" w:cs="Arial" w:eastAsia="Arial" w:hAnsi="Arial"/>
                <w:sz w:val="12"/>
                <w:szCs w:val="12"/>
                <w:color w:val="0000FF"/>
              </w:rPr>
            </w:pPr>
            <w:hyperlink r:id="rId123">
              <w:r>
                <w:rPr>
                  <w:rFonts w:ascii="Arial" w:cs="Arial" w:eastAsia="Arial" w:hAnsi="Arial"/>
                  <w:sz w:val="12"/>
                  <w:szCs w:val="12"/>
                  <w:color w:val="0000FF"/>
                </w:rPr>
                <w:t>September 24, 2012.</w:t>
              </w:r>
            </w:hyperlink>
          </w:p>
        </w:tc>
        <w:tc>
          <w:tcPr>
            <w:tcW w:w="40" w:type="dxa"/>
            <w:vAlign w:val="bottom"/>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10.5(b)</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4"/>
              </w:rPr>
            </w:pPr>
            <w:hyperlink r:id="rId124">
              <w:r>
                <w:rPr>
                  <w:rFonts w:ascii="Arial" w:cs="Arial" w:eastAsia="Arial" w:hAnsi="Arial"/>
                  <w:sz w:val="14"/>
                  <w:szCs w:val="14"/>
                  <w:color w:val="0000FF"/>
                  <w:w w:val="94"/>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bottom w:val="single" w:sz="8" w:color="0000FF"/>
            </w:tcBorders>
            <w:gridSpan w:val="8"/>
          </w:tcPr>
          <w:p>
            <w:pPr>
              <w:spacing w:after="0" w:line="112" w:lineRule="exact"/>
              <w:rPr>
                <w:rFonts w:ascii="Arial" w:cs="Arial" w:eastAsia="Arial" w:hAnsi="Arial"/>
                <w:sz w:val="12"/>
                <w:szCs w:val="12"/>
                <w:color w:val="0000FF"/>
              </w:rPr>
            </w:pPr>
            <w:hyperlink r:id="rId124">
              <w:r>
                <w:rPr>
                  <w:rFonts w:ascii="Arial" w:cs="Arial" w:eastAsia="Arial" w:hAnsi="Arial"/>
                  <w:sz w:val="12"/>
                  <w:szCs w:val="12"/>
                  <w:color w:val="0000FF"/>
                </w:rPr>
                <w:t>Oringer dated September 24, 2012.</w:t>
              </w:r>
            </w:hyperlink>
          </w:p>
        </w:tc>
        <w:tc>
          <w:tcPr>
            <w:tcW w:w="332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10.5(c)</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rPr>
            </w:pPr>
            <w:hyperlink r:id="rId125">
              <w:r>
                <w:rPr>
                  <w:rFonts w:ascii="Arial" w:cs="Arial" w:eastAsia="Arial" w:hAnsi="Arial"/>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10.5(d)</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4"/>
              </w:rPr>
            </w:pPr>
            <w:hyperlink r:id="rId126">
              <w:r>
                <w:rPr>
                  <w:rFonts w:ascii="Arial" w:cs="Arial" w:eastAsia="Arial" w:hAnsi="Arial"/>
                  <w:sz w:val="14"/>
                  <w:szCs w:val="14"/>
                  <w:color w:val="0000FF"/>
                  <w:w w:val="94"/>
                </w:rPr>
                <w:t>Amendment to Employment Agreement, dated February 11, 2020, by and between Jon Oringer</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top w:val="single" w:sz="8" w:color="0000FF"/>
            </w:tcBorders>
            <w:gridSpan w:val="42"/>
          </w:tcPr>
          <w:p>
            <w:pPr>
              <w:spacing w:after="0" w:line="112" w:lineRule="exact"/>
              <w:rPr>
                <w:rFonts w:ascii="Arial" w:cs="Arial" w:eastAsia="Arial" w:hAnsi="Arial"/>
                <w:sz w:val="12"/>
                <w:szCs w:val="12"/>
                <w:color w:val="0000FF"/>
              </w:rPr>
            </w:pPr>
            <w:hyperlink r:id="rId126">
              <w:r>
                <w:rPr>
                  <w:rFonts w:ascii="Arial" w:cs="Arial" w:eastAsia="Arial" w:hAnsi="Arial"/>
                  <w:sz w:val="12"/>
                  <w:szCs w:val="12"/>
                  <w:color w:val="0000FF"/>
                </w:rPr>
                <w:t>and Shutterstock, Inc.</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10.5(e)</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4"/>
              </w:rPr>
            </w:pPr>
            <w:hyperlink r:id="rId127">
              <w:r>
                <w:rPr>
                  <w:rFonts w:ascii="Arial" w:cs="Arial" w:eastAsia="Arial" w:hAnsi="Arial"/>
                  <w:sz w:val="14"/>
                  <w:szCs w:val="14"/>
                  <w:color w:val="0000FF"/>
                  <w:w w:val="94"/>
                </w:rPr>
                <w:t>Amendment to Severance and Change in Control Agreement, dated February 11, 2020, by and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560" w:type="dxa"/>
            <w:vAlign w:val="bottom"/>
            <w:tcBorders>
              <w:top w:val="single" w:sz="8" w:color="0000FF"/>
            </w:tcBorders>
            <w:gridSpan w:val="41"/>
          </w:tcPr>
          <w:p>
            <w:pPr>
              <w:spacing w:after="0" w:line="112" w:lineRule="exact"/>
              <w:rPr>
                <w:rFonts w:ascii="Arial" w:cs="Arial" w:eastAsia="Arial" w:hAnsi="Arial"/>
                <w:sz w:val="12"/>
                <w:szCs w:val="12"/>
                <w:color w:val="0000FF"/>
              </w:rPr>
            </w:pPr>
            <w:hyperlink r:id="rId127">
              <w:r>
                <w:rPr>
                  <w:rFonts w:ascii="Arial" w:cs="Arial" w:eastAsia="Arial" w:hAnsi="Arial"/>
                  <w:sz w:val="12"/>
                  <w:szCs w:val="12"/>
                  <w:color w:val="0000FF"/>
                </w:rPr>
                <w:t>between Jon Oringer and Shutterstock, Inc.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5"/>
              </w:rPr>
            </w:pPr>
            <w:hyperlink r:id="rId128">
              <w:r>
                <w:rPr>
                  <w:rFonts w:ascii="Arial" w:cs="Arial" w:eastAsia="Arial" w:hAnsi="Arial"/>
                  <w:sz w:val="14"/>
                  <w:szCs w:val="14"/>
                  <w:color w:val="0000FF"/>
                  <w:w w:val="95"/>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320" w:type="dxa"/>
            <w:vAlign w:val="bottom"/>
            <w:tcBorders>
              <w:top w:val="single" w:sz="8" w:color="0000FF"/>
            </w:tcBorders>
            <w:gridSpan w:val="33"/>
          </w:tcPr>
          <w:p>
            <w:pPr>
              <w:spacing w:after="0" w:line="112" w:lineRule="exact"/>
              <w:rPr>
                <w:rFonts w:ascii="Arial" w:cs="Arial" w:eastAsia="Arial" w:hAnsi="Arial"/>
                <w:sz w:val="12"/>
                <w:szCs w:val="12"/>
                <w:color w:val="0000FF"/>
              </w:rPr>
            </w:pPr>
            <w:hyperlink r:id="rId128">
              <w:r>
                <w:rPr>
                  <w:rFonts w:ascii="Arial" w:cs="Arial" w:eastAsia="Arial" w:hAnsi="Arial"/>
                  <w:sz w:val="12"/>
                  <w:szCs w:val="12"/>
                  <w:color w:val="0000FF"/>
                </w:rPr>
                <w:t>March 21, 2013.</w:t>
              </w:r>
            </w:hyperlink>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4"/>
              </w:rPr>
            </w:pPr>
            <w:hyperlink r:id="rId129">
              <w:r>
                <w:rPr>
                  <w:rFonts w:ascii="Arial" w:cs="Arial" w:eastAsia="Arial" w:hAnsi="Arial"/>
                  <w:sz w:val="14"/>
                  <w:szCs w:val="14"/>
                  <w:color w:val="0000FF"/>
                  <w:w w:val="94"/>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Borders>
              <w:top w:val="single" w:sz="8" w:color="0000FF"/>
            </w:tcBorders>
            <w:gridSpan w:val="36"/>
          </w:tcPr>
          <w:p>
            <w:pPr>
              <w:spacing w:after="0" w:line="112" w:lineRule="exact"/>
              <w:rPr>
                <w:rFonts w:ascii="Arial" w:cs="Arial" w:eastAsia="Arial" w:hAnsi="Arial"/>
                <w:sz w:val="12"/>
                <w:szCs w:val="12"/>
                <w:color w:val="0000FF"/>
              </w:rPr>
            </w:pPr>
            <w:hyperlink r:id="rId129">
              <w:r>
                <w:rPr>
                  <w:rFonts w:ascii="Arial" w:cs="Arial" w:eastAsia="Arial" w:hAnsi="Arial"/>
                  <w:sz w:val="12"/>
                  <w:szCs w:val="12"/>
                  <w:color w:val="0000FF"/>
                </w:rPr>
                <w:t>Building, L.L.C., dated August 31, 2015.</w:t>
              </w:r>
            </w:hyperlink>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6"/>
              </w:rPr>
            </w:pPr>
            <w:hyperlink r:id="rId130">
              <w:r>
                <w:rPr>
                  <w:rFonts w:ascii="Arial" w:cs="Arial" w:eastAsia="Arial" w:hAnsi="Arial"/>
                  <w:sz w:val="14"/>
                  <w:szCs w:val="14"/>
                  <w:color w:val="0000FF"/>
                  <w:w w:val="96"/>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tcBorders>
              <w:top w:val="single" w:sz="8" w:color="0000FF"/>
              <w:bottom w:val="single" w:sz="8" w:color="0000FF"/>
            </w:tcBorders>
            <w:gridSpan w:val="18"/>
          </w:tcPr>
          <w:p>
            <w:pPr>
              <w:spacing w:after="0" w:line="112" w:lineRule="exact"/>
              <w:rPr>
                <w:rFonts w:ascii="Arial" w:cs="Arial" w:eastAsia="Arial" w:hAnsi="Arial"/>
                <w:sz w:val="12"/>
                <w:szCs w:val="12"/>
                <w:color w:val="0000FF"/>
              </w:rPr>
            </w:pPr>
            <w:hyperlink r:id="rId130">
              <w:r>
                <w:rPr>
                  <w:rFonts w:ascii="Arial" w:cs="Arial" w:eastAsia="Arial" w:hAnsi="Arial"/>
                  <w:sz w:val="12"/>
                  <w:szCs w:val="12"/>
                  <w:color w:val="0000FF"/>
                </w:rPr>
                <w:t>ESRT Empire State Building, L.L.C., dated January 8, 2016.</w:t>
              </w:r>
            </w:hyperlink>
          </w:p>
        </w:tc>
        <w:tc>
          <w:tcPr>
            <w:tcW w:w="1860" w:type="dxa"/>
            <w:vAlign w:val="bottom"/>
            <w:tcBorders>
              <w:top w:val="single" w:sz="8" w:color="0000FF"/>
            </w:tcBorders>
            <w:gridSpan w:val="13"/>
          </w:tcPr>
          <w:p>
            <w:pPr>
              <w:spacing w:after="0"/>
              <w:rPr>
                <w:sz w:val="9"/>
                <w:szCs w:val="9"/>
                <w:color w:val="auto"/>
              </w:rPr>
            </w:pPr>
          </w:p>
        </w:tc>
        <w:tc>
          <w:tcPr>
            <w:tcW w:w="10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2"/>
              </w:rPr>
            </w:pPr>
            <w:hyperlink r:id="rId131">
              <w:r>
                <w:rPr>
                  <w:rFonts w:ascii="Arial" w:cs="Arial" w:eastAsia="Arial" w:hAnsi="Arial"/>
                  <w:sz w:val="14"/>
                  <w:szCs w:val="14"/>
                  <w:color w:val="0000FF"/>
                  <w:w w:val="92"/>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80" w:type="dxa"/>
            <w:vAlign w:val="bottom"/>
            <w:tcBorders>
              <w:top w:val="single" w:sz="8" w:color="0000FF"/>
            </w:tcBorders>
            <w:gridSpan w:val="39"/>
          </w:tcPr>
          <w:p>
            <w:pPr>
              <w:spacing w:after="0" w:line="112" w:lineRule="exact"/>
              <w:rPr>
                <w:rFonts w:ascii="Arial" w:cs="Arial" w:eastAsia="Arial" w:hAnsi="Arial"/>
                <w:sz w:val="12"/>
                <w:szCs w:val="12"/>
                <w:color w:val="0000FF"/>
              </w:rPr>
            </w:pPr>
            <w:hyperlink r:id="rId131">
              <w:r>
                <w:rPr>
                  <w:rFonts w:ascii="Arial" w:cs="Arial" w:eastAsia="Arial" w:hAnsi="Arial"/>
                  <w:sz w:val="12"/>
                  <w:szCs w:val="12"/>
                  <w:color w:val="0000FF"/>
                </w:rPr>
                <w:t>ESRT Empire State Building, L.L.C.</w:t>
              </w:r>
            </w:hyperlink>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10.10</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rPr>
            </w:pPr>
            <w:hyperlink r:id="rId132">
              <w:r>
                <w:rPr>
                  <w:rFonts w:ascii="Arial" w:cs="Arial" w:eastAsia="Arial" w:hAnsi="Arial"/>
                  <w:sz w:val="14"/>
                  <w:szCs w:val="14"/>
                  <w:color w:val="0000FF"/>
                </w:rPr>
                <w:t>Shutterstock, Inc. Director Compensation Policy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10.11</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8"/>
              </w:rPr>
            </w:pPr>
            <w:hyperlink r:id="rId133">
              <w:r>
                <w:rPr>
                  <w:rFonts w:ascii="Arial" w:cs="Arial" w:eastAsia="Arial" w:hAnsi="Arial"/>
                  <w:sz w:val="14"/>
                  <w:szCs w:val="14"/>
                  <w:color w:val="0000FF"/>
                  <w:w w:val="98"/>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40" w:type="dxa"/>
            <w:vAlign w:val="bottom"/>
            <w:tcBorders>
              <w:top w:val="single" w:sz="8" w:color="0000FF"/>
            </w:tcBorders>
            <w:gridSpan w:val="30"/>
          </w:tcPr>
          <w:p>
            <w:pPr>
              <w:spacing w:after="0" w:line="112" w:lineRule="exact"/>
              <w:rPr>
                <w:rFonts w:ascii="Arial" w:cs="Arial" w:eastAsia="Arial" w:hAnsi="Arial"/>
                <w:sz w:val="12"/>
                <w:szCs w:val="12"/>
                <w:color w:val="0000FF"/>
              </w:rPr>
            </w:pPr>
            <w:hyperlink r:id="rId133">
              <w:r>
                <w:rPr>
                  <w:rFonts w:ascii="Arial" w:cs="Arial" w:eastAsia="Arial" w:hAnsi="Arial"/>
                  <w:sz w:val="12"/>
                  <w:szCs w:val="12"/>
                  <w:color w:val="0000FF"/>
                </w:rPr>
                <w:t>Agreement</w:t>
              </w:r>
            </w:hyperlink>
          </w:p>
        </w:tc>
        <w:tc>
          <w:tcPr>
            <w:tcW w:w="12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10.12</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8"/>
              </w:rPr>
            </w:pPr>
            <w:hyperlink r:id="rId134">
              <w:r>
                <w:rPr>
                  <w:rFonts w:ascii="Arial" w:cs="Arial" w:eastAsia="Arial" w:hAnsi="Arial"/>
                  <w:sz w:val="14"/>
                  <w:szCs w:val="14"/>
                  <w:color w:val="0000FF"/>
                  <w:w w:val="98"/>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40" w:type="dxa"/>
            <w:vAlign w:val="bottom"/>
            <w:tcBorders>
              <w:top w:val="single" w:sz="8" w:color="0000FF"/>
            </w:tcBorders>
            <w:gridSpan w:val="30"/>
          </w:tcPr>
          <w:p>
            <w:pPr>
              <w:spacing w:after="0" w:line="112" w:lineRule="exact"/>
              <w:rPr>
                <w:rFonts w:ascii="Arial" w:cs="Arial" w:eastAsia="Arial" w:hAnsi="Arial"/>
                <w:sz w:val="12"/>
                <w:szCs w:val="12"/>
                <w:color w:val="0000FF"/>
              </w:rPr>
            </w:pPr>
            <w:hyperlink r:id="rId134">
              <w:r>
                <w:rPr>
                  <w:rFonts w:ascii="Arial" w:cs="Arial" w:eastAsia="Arial" w:hAnsi="Arial"/>
                  <w:sz w:val="12"/>
                  <w:szCs w:val="12"/>
                  <w:color w:val="0000FF"/>
                </w:rPr>
                <w:t>Agreement for Canadian Employees</w:t>
              </w:r>
            </w:hyperlink>
          </w:p>
        </w:tc>
        <w:tc>
          <w:tcPr>
            <w:tcW w:w="12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10.13</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5"/>
              </w:rPr>
            </w:pPr>
            <w:hyperlink r:id="rId135">
              <w:r>
                <w:rPr>
                  <w:rFonts w:ascii="Arial" w:cs="Arial" w:eastAsia="Arial" w:hAnsi="Arial"/>
                  <w:sz w:val="14"/>
                  <w:szCs w:val="14"/>
                  <w:color w:val="0000FF"/>
                  <w:w w:val="95"/>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360" w:type="dxa"/>
            <w:vAlign w:val="bottom"/>
            <w:tcBorders>
              <w:top w:val="single" w:sz="8" w:color="0000FF"/>
            </w:tcBorders>
            <w:gridSpan w:val="34"/>
          </w:tcPr>
          <w:p>
            <w:pPr>
              <w:spacing w:after="0" w:line="112" w:lineRule="exact"/>
              <w:rPr>
                <w:rFonts w:ascii="Arial" w:cs="Arial" w:eastAsia="Arial" w:hAnsi="Arial"/>
                <w:sz w:val="12"/>
                <w:szCs w:val="12"/>
                <w:color w:val="0000FF"/>
              </w:rPr>
            </w:pPr>
            <w:hyperlink r:id="rId135">
              <w:r>
                <w:rPr>
                  <w:rFonts w:ascii="Arial" w:cs="Arial" w:eastAsia="Arial" w:hAnsi="Arial"/>
                  <w:sz w:val="12"/>
                  <w:szCs w:val="12"/>
                  <w:color w:val="0000FF"/>
                </w:rPr>
                <w:t>Award Agreement</w:t>
              </w:r>
            </w:hyperlink>
          </w:p>
        </w:tc>
        <w:tc>
          <w:tcPr>
            <w:tcW w:w="60" w:type="dxa"/>
            <w:vAlign w:val="bottom"/>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10.14</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440" w:type="dxa"/>
            <w:vAlign w:val="bottom"/>
            <w:tcBorders>
              <w:bottom w:val="single" w:sz="8" w:color="0000FF"/>
            </w:tcBorders>
            <w:gridSpan w:val="23"/>
          </w:tcPr>
          <w:p>
            <w:pPr>
              <w:spacing w:after="0"/>
              <w:rPr>
                <w:rFonts w:ascii="Arial" w:cs="Arial" w:eastAsia="Arial" w:hAnsi="Arial"/>
                <w:sz w:val="14"/>
                <w:szCs w:val="14"/>
                <w:color w:val="0000FF"/>
                <w:w w:val="90"/>
              </w:rPr>
            </w:pPr>
            <w:hyperlink r:id="rId136">
              <w:r>
                <w:rPr>
                  <w:rFonts w:ascii="Arial" w:cs="Arial" w:eastAsia="Arial" w:hAnsi="Arial"/>
                  <w:sz w:val="14"/>
                  <w:szCs w:val="14"/>
                  <w:color w:val="0000FF"/>
                  <w:w w:val="90"/>
                </w:rPr>
                <w:t>Shutterstock, Inc. Amended and Restated 2012 Omnibus Equity Incentive Plan</w:t>
              </w:r>
            </w:hyperlink>
          </w:p>
        </w:tc>
        <w:tc>
          <w:tcPr>
            <w:tcW w:w="11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10.15</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3"/>
              </w:rPr>
            </w:pPr>
            <w:hyperlink r:id="rId137">
              <w:r>
                <w:rPr>
                  <w:rFonts w:ascii="Arial" w:cs="Arial" w:eastAsia="Arial" w:hAnsi="Arial"/>
                  <w:sz w:val="14"/>
                  <w:szCs w:val="14"/>
                  <w:color w:val="0000FF"/>
                  <w:w w:val="93"/>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20" w:type="dxa"/>
            <w:vAlign w:val="bottom"/>
            <w:tcBorders>
              <w:top w:val="single" w:sz="8" w:color="0000FF"/>
            </w:tcBorders>
            <w:gridSpan w:val="37"/>
          </w:tcPr>
          <w:p>
            <w:pPr>
              <w:spacing w:after="0" w:line="112" w:lineRule="exact"/>
              <w:rPr>
                <w:rFonts w:ascii="Arial" w:cs="Arial" w:eastAsia="Arial" w:hAnsi="Arial"/>
                <w:sz w:val="12"/>
                <w:szCs w:val="12"/>
                <w:color w:val="0000FF"/>
              </w:rPr>
            </w:pPr>
            <w:hyperlink r:id="rId137">
              <w:r>
                <w:rPr>
                  <w:rFonts w:ascii="Arial" w:cs="Arial" w:eastAsia="Arial" w:hAnsi="Arial"/>
                  <w:sz w:val="12"/>
                  <w:szCs w:val="12"/>
                  <w:color w:val="0000FF"/>
                </w:rPr>
                <w:t>Unit Award Agreement, as amended September 15, 2016</w:t>
              </w:r>
            </w:hyperlink>
          </w:p>
        </w:tc>
        <w:tc>
          <w:tcPr>
            <w:tcW w:w="1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10.16</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3"/>
              </w:rPr>
            </w:pPr>
            <w:hyperlink r:id="rId138">
              <w:r>
                <w:rPr>
                  <w:rFonts w:ascii="Arial" w:cs="Arial" w:eastAsia="Arial" w:hAnsi="Arial"/>
                  <w:sz w:val="14"/>
                  <w:szCs w:val="14"/>
                  <w:color w:val="0000FF"/>
                  <w:w w:val="93"/>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20" w:type="dxa"/>
            <w:vAlign w:val="bottom"/>
            <w:tcBorders>
              <w:top w:val="single" w:sz="8" w:color="0000FF"/>
            </w:tcBorders>
            <w:gridSpan w:val="37"/>
          </w:tcPr>
          <w:p>
            <w:pPr>
              <w:spacing w:after="0" w:line="112" w:lineRule="exact"/>
              <w:rPr>
                <w:rFonts w:ascii="Arial" w:cs="Arial" w:eastAsia="Arial" w:hAnsi="Arial"/>
                <w:sz w:val="12"/>
                <w:szCs w:val="12"/>
                <w:color w:val="0000FF"/>
              </w:rPr>
            </w:pPr>
            <w:hyperlink r:id="rId138">
              <w:r>
                <w:rPr>
                  <w:rFonts w:ascii="Arial" w:cs="Arial" w:eastAsia="Arial" w:hAnsi="Arial"/>
                  <w:sz w:val="12"/>
                  <w:szCs w:val="12"/>
                  <w:color w:val="0000FF"/>
                </w:rPr>
                <w:t>Unit Award Agreement for Canadian Employees, as amended September 15, 2016</w:t>
              </w:r>
            </w:hyperlink>
          </w:p>
        </w:tc>
        <w:tc>
          <w:tcPr>
            <w:tcW w:w="1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060" w:type="dxa"/>
            <w:vAlign w:val="bottom"/>
            <w:gridSpan w:val="11"/>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10.17</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rPr>
            </w:pPr>
            <w:hyperlink r:id="rId139">
              <w:r>
                <w:rPr>
                  <w:rFonts w:ascii="Arial" w:cs="Arial" w:eastAsia="Arial" w:hAnsi="Arial"/>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160" w:type="dxa"/>
            <w:vAlign w:val="bottom"/>
            <w:tcBorders>
              <w:top w:val="single" w:sz="8" w:color="0000FF"/>
              <w:bottom w:val="single" w:sz="8" w:color="0000FF"/>
            </w:tcBorders>
            <w:gridSpan w:val="21"/>
          </w:tcPr>
          <w:p>
            <w:pPr>
              <w:spacing w:after="0" w:line="112" w:lineRule="exact"/>
              <w:rPr>
                <w:rFonts w:ascii="Arial" w:cs="Arial" w:eastAsia="Arial" w:hAnsi="Arial"/>
                <w:sz w:val="12"/>
                <w:szCs w:val="12"/>
                <w:color w:val="0000FF"/>
              </w:rPr>
            </w:pPr>
            <w:hyperlink r:id="rId139">
              <w:r>
                <w:rPr>
                  <w:rFonts w:ascii="Arial" w:cs="Arial" w:eastAsia="Arial" w:hAnsi="Arial"/>
                  <w:sz w:val="12"/>
                  <w:szCs w:val="12"/>
                  <w:color w:val="0000FF"/>
                </w:rPr>
                <w:t>Restricted Stock Unit Award Agreement, as amended September 15, 2016</w:t>
              </w:r>
            </w:hyperlink>
          </w:p>
        </w:tc>
        <w:tc>
          <w:tcPr>
            <w:tcW w:w="820" w:type="dxa"/>
            <w:vAlign w:val="bottom"/>
            <w:tcBorders>
              <w:top w:val="single" w:sz="8" w:color="0000FF"/>
            </w:tcBorders>
            <w:gridSpan w:val="7"/>
          </w:tcPr>
          <w:p>
            <w:pPr>
              <w:spacing w:after="0"/>
              <w:rPr>
                <w:sz w:val="9"/>
                <w:szCs w:val="9"/>
                <w:color w:val="auto"/>
              </w:rPr>
            </w:pPr>
          </w:p>
        </w:tc>
        <w:tc>
          <w:tcPr>
            <w:tcW w:w="560" w:type="dxa"/>
            <w:vAlign w:val="bottom"/>
            <w:gridSpan w:val="12"/>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10.18</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1"/>
              </w:rPr>
            </w:pPr>
            <w:hyperlink r:id="rId140">
              <w:r>
                <w:rPr>
                  <w:rFonts w:ascii="Arial" w:cs="Arial" w:eastAsia="Arial" w:hAnsi="Arial"/>
                  <w:sz w:val="14"/>
                  <w:szCs w:val="14"/>
                  <w:color w:val="0000FF"/>
                  <w:w w:val="91"/>
                </w:rPr>
                <w:t>Shutterstock, Inc. 2012 Amended and Restated Omnibus Equity Incentive Plan Performance Stock</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top w:val="single" w:sz="8" w:color="0000FF"/>
              <w:bottom w:val="single" w:sz="8" w:color="0000FF"/>
            </w:tcBorders>
            <w:gridSpan w:val="6"/>
          </w:tcPr>
          <w:p>
            <w:pPr>
              <w:spacing w:after="0" w:line="112" w:lineRule="exact"/>
              <w:rPr>
                <w:rFonts w:ascii="Arial" w:cs="Arial" w:eastAsia="Arial" w:hAnsi="Arial"/>
                <w:sz w:val="12"/>
                <w:szCs w:val="12"/>
                <w:color w:val="0000FF"/>
              </w:rPr>
            </w:pPr>
            <w:hyperlink r:id="rId140">
              <w:r>
                <w:rPr>
                  <w:rFonts w:ascii="Arial" w:cs="Arial" w:eastAsia="Arial" w:hAnsi="Arial"/>
                  <w:sz w:val="12"/>
                  <w:szCs w:val="12"/>
                  <w:color w:val="0000FF"/>
                </w:rPr>
                <w:t>Unit Award Agreement</w:t>
              </w:r>
            </w:hyperlink>
          </w:p>
        </w:tc>
        <w:tc>
          <w:tcPr>
            <w:tcW w:w="4220" w:type="dxa"/>
            <w:vAlign w:val="bottom"/>
            <w:tcBorders>
              <w:top w:val="single" w:sz="8" w:color="0000FF"/>
            </w:tcBorders>
            <w:gridSpan w:val="34"/>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Arial" w:cs="Arial" w:eastAsia="Arial" w:hAnsi="Arial"/>
                <w:sz w:val="14"/>
                <w:szCs w:val="14"/>
                <w:color w:val="auto"/>
              </w:rPr>
              <w:t>10.19</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600" w:type="dxa"/>
            <w:vAlign w:val="bottom"/>
            <w:gridSpan w:val="43"/>
          </w:tcPr>
          <w:p>
            <w:pPr>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380" w:type="dxa"/>
            <w:vAlign w:val="bottom"/>
            <w:tcBorders>
              <w:top w:val="single" w:sz="8" w:color="0000FF"/>
              <w:bottom w:val="single" w:sz="8" w:color="0000FF"/>
            </w:tcBorders>
            <w:gridSpan w:val="17"/>
          </w:tcPr>
          <w:p>
            <w:pPr>
              <w:spacing w:after="0" w:line="112" w:lineRule="exact"/>
              <w:rPr>
                <w:rFonts w:ascii="Arial" w:cs="Arial" w:eastAsia="Arial" w:hAnsi="Arial"/>
                <w:sz w:val="12"/>
                <w:szCs w:val="12"/>
                <w:color w:val="0000FF"/>
              </w:rPr>
            </w:pPr>
            <w:hyperlink r:id="rId141">
              <w:r>
                <w:rPr>
                  <w:rFonts w:ascii="Arial" w:cs="Arial" w:eastAsia="Arial" w:hAnsi="Arial"/>
                  <w:sz w:val="12"/>
                  <w:szCs w:val="12"/>
                  <w:color w:val="0000FF"/>
                </w:rPr>
                <w:t>Unit Award Agreement, for grants subsequent to April 2020</w:t>
              </w:r>
            </w:hyperlink>
          </w:p>
        </w:tc>
        <w:tc>
          <w:tcPr>
            <w:tcW w:w="2040" w:type="dxa"/>
            <w:vAlign w:val="bottom"/>
            <w:tcBorders>
              <w:top w:val="single" w:sz="8" w:color="0000FF"/>
            </w:tcBorders>
            <w:gridSpan w:val="20"/>
          </w:tcPr>
          <w:p>
            <w:pPr>
              <w:spacing w:after="0"/>
              <w:rPr>
                <w:sz w:val="9"/>
                <w:szCs w:val="9"/>
                <w:color w:val="auto"/>
              </w:rPr>
            </w:pPr>
          </w:p>
        </w:tc>
        <w:tc>
          <w:tcPr>
            <w:tcW w:w="18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889635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Form</w:t>
            </w:r>
          </w:p>
        </w:tc>
        <w:tc>
          <w:tcPr>
            <w:tcW w:w="110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File No.</w:t>
            </w:r>
          </w:p>
        </w:tc>
        <w:tc>
          <w:tcPr>
            <w:tcW w:w="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52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Filing Date</w:t>
            </w:r>
          </w:p>
        </w:tc>
      </w:tr>
      <w:tr>
        <w:trPr>
          <w:trHeight w:val="177"/>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S-1/A</w:t>
            </w:r>
          </w:p>
        </w:tc>
        <w:tc>
          <w:tcPr>
            <w:tcW w:w="100" w:type="dxa"/>
            <w:vAlign w:val="bottom"/>
          </w:tcPr>
          <w:p>
            <w:pPr>
              <w:spacing w:after="0"/>
              <w:rPr>
                <w:sz w:val="15"/>
                <w:szCs w:val="15"/>
                <w:color w:val="auto"/>
              </w:rPr>
            </w:pPr>
          </w:p>
        </w:tc>
        <w:tc>
          <w:tcPr>
            <w:tcW w:w="1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October 5, 2012</w:t>
            </w:r>
          </w:p>
        </w:tc>
      </w:tr>
      <w:tr>
        <w:trPr>
          <w:trHeight w:val="31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October 5, 2012</w:t>
            </w:r>
          </w:p>
        </w:tc>
      </w:tr>
      <w:tr>
        <w:trPr>
          <w:trHeight w:val="447"/>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June 29, 2012</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September 27, 2012</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S-3ASR</w:t>
            </w:r>
          </w:p>
        </w:tc>
        <w:tc>
          <w:tcPr>
            <w:tcW w:w="1000" w:type="dxa"/>
            <w:vAlign w:val="bottom"/>
          </w:tcPr>
          <w:p>
            <w:pPr>
              <w:ind w:left="20"/>
              <w:spacing w:after="0"/>
              <w:rPr>
                <w:sz w:val="20"/>
                <w:szCs w:val="20"/>
                <w:color w:val="auto"/>
              </w:rPr>
            </w:pPr>
            <w:r>
              <w:rPr>
                <w:rFonts w:ascii="Arial" w:cs="Arial" w:eastAsia="Arial" w:hAnsi="Arial"/>
                <w:sz w:val="14"/>
                <w:szCs w:val="14"/>
                <w:color w:val="auto"/>
              </w:rPr>
              <w:t>333-243706</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August 10, 2020</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February 13, 2020</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August 30, 2012</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February 27, 2015</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June 29, 2012</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August 30, 2012</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10.8(a)</w:t>
            </w:r>
          </w:p>
        </w:tc>
        <w:tc>
          <w:tcPr>
            <w:tcW w:w="1520" w:type="dxa"/>
            <w:vAlign w:val="bottom"/>
          </w:tcPr>
          <w:p>
            <w:pPr>
              <w:jc w:val="right"/>
              <w:spacing w:after="0"/>
              <w:rPr>
                <w:sz w:val="20"/>
                <w:szCs w:val="20"/>
                <w:color w:val="auto"/>
              </w:rPr>
            </w:pPr>
            <w:r>
              <w:rPr>
                <w:rFonts w:ascii="Arial" w:cs="Arial" w:eastAsia="Arial" w:hAnsi="Arial"/>
                <w:sz w:val="14"/>
                <w:szCs w:val="14"/>
                <w:color w:val="auto"/>
              </w:rPr>
              <w:t>September 27, 2012</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00" w:type="dxa"/>
            <w:vAlign w:val="bottom"/>
          </w:tcPr>
          <w:p>
            <w:pPr>
              <w:ind w:left="2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10.8(b)</w:t>
            </w:r>
          </w:p>
        </w:tc>
        <w:tc>
          <w:tcPr>
            <w:tcW w:w="1520" w:type="dxa"/>
            <w:vAlign w:val="bottom"/>
          </w:tcPr>
          <w:p>
            <w:pPr>
              <w:jc w:val="right"/>
              <w:spacing w:after="0"/>
              <w:rPr>
                <w:sz w:val="20"/>
                <w:szCs w:val="20"/>
                <w:color w:val="auto"/>
              </w:rPr>
            </w:pPr>
            <w:r>
              <w:rPr>
                <w:rFonts w:ascii="Arial" w:cs="Arial" w:eastAsia="Arial" w:hAnsi="Arial"/>
                <w:sz w:val="14"/>
                <w:szCs w:val="14"/>
                <w:color w:val="auto"/>
              </w:rPr>
              <w:t>September 27, 2012</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520" w:type="dxa"/>
            <w:vAlign w:val="bottom"/>
          </w:tcPr>
          <w:p>
            <w:pPr>
              <w:jc w:val="right"/>
              <w:spacing w:after="0"/>
              <w:rPr>
                <w:sz w:val="20"/>
                <w:szCs w:val="20"/>
                <w:color w:val="auto"/>
              </w:rPr>
            </w:pPr>
            <w:r>
              <w:rPr>
                <w:rFonts w:ascii="Arial" w:cs="Arial" w:eastAsia="Arial" w:hAnsi="Arial"/>
                <w:sz w:val="14"/>
                <w:szCs w:val="14"/>
                <w:color w:val="auto"/>
              </w:rPr>
              <w:t>April 28, 2014</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10.5(d)</w:t>
            </w:r>
          </w:p>
        </w:tc>
        <w:tc>
          <w:tcPr>
            <w:tcW w:w="1520" w:type="dxa"/>
            <w:vAlign w:val="bottom"/>
          </w:tcPr>
          <w:p>
            <w:pPr>
              <w:jc w:val="right"/>
              <w:spacing w:after="0"/>
              <w:rPr>
                <w:sz w:val="20"/>
                <w:szCs w:val="20"/>
                <w:color w:val="auto"/>
              </w:rPr>
            </w:pPr>
            <w:r>
              <w:rPr>
                <w:rFonts w:ascii="Arial" w:cs="Arial" w:eastAsia="Arial" w:hAnsi="Arial"/>
                <w:sz w:val="14"/>
                <w:szCs w:val="14"/>
                <w:color w:val="auto"/>
              </w:rPr>
              <w:t>February 13, 2020</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10.5(e)</w:t>
            </w:r>
          </w:p>
        </w:tc>
        <w:tc>
          <w:tcPr>
            <w:tcW w:w="1520" w:type="dxa"/>
            <w:vAlign w:val="bottom"/>
          </w:tcPr>
          <w:p>
            <w:pPr>
              <w:jc w:val="right"/>
              <w:spacing w:after="0"/>
              <w:rPr>
                <w:sz w:val="20"/>
                <w:szCs w:val="20"/>
                <w:color w:val="auto"/>
              </w:rPr>
            </w:pPr>
            <w:r>
              <w:rPr>
                <w:rFonts w:ascii="Arial" w:cs="Arial" w:eastAsia="Arial" w:hAnsi="Arial"/>
                <w:sz w:val="14"/>
                <w:szCs w:val="14"/>
                <w:color w:val="auto"/>
              </w:rPr>
              <w:t>February 13, 2020</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May 10, 2013</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November 6, 2015</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January 13,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August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February 26, 2019</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May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May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May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August 4, 2016</w:t>
            </w:r>
          </w:p>
        </w:tc>
      </w:tr>
      <w:tr>
        <w:trPr>
          <w:trHeight w:val="184"/>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November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November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November 4, 2016</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February 11, 2020</w:t>
            </w: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00" w:type="dxa"/>
            <w:vAlign w:val="bottom"/>
          </w:tcPr>
          <w:p>
            <w:pPr>
              <w:ind w:left="2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April 27, 2021</w:t>
            </w:r>
          </w:p>
        </w:tc>
      </w:tr>
    </w:tbl>
    <w:p>
      <w:pPr>
        <w:sectPr>
          <w:pgSz w:w="11900" w:h="16838" w:orient="portrait"/>
          <w:cols w:equalWidth="0" w:num="2">
            <w:col w:w="6760" w:space="120"/>
            <w:col w:w="436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2"/>
              </w:rPr>
              <w:t>Incorporated by Reference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Pr>
          <w:p>
            <w:pPr>
              <w:jc w:val="right"/>
              <w:ind w:right="17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gridSpan w:val="15"/>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Form</w:t>
            </w:r>
          </w:p>
        </w:tc>
        <w:tc>
          <w:tcPr>
            <w:tcW w:w="1060" w:type="dxa"/>
            <w:vAlign w:val="bottom"/>
            <w:gridSpan w:val="2"/>
          </w:tcPr>
          <w:p>
            <w:pPr>
              <w:ind w:left="440"/>
              <w:spacing w:after="0"/>
              <w:rPr>
                <w:sz w:val="20"/>
                <w:szCs w:val="20"/>
                <w:color w:val="auto"/>
              </w:rPr>
            </w:pPr>
            <w:r>
              <w:rPr>
                <w:rFonts w:ascii="Arial" w:cs="Arial" w:eastAsia="Arial" w:hAnsi="Arial"/>
                <w:sz w:val="14"/>
                <w:szCs w:val="14"/>
                <w:b w:val="1"/>
                <w:bCs w:val="1"/>
                <w:color w:val="auto"/>
              </w:rPr>
              <w:t>File No.</w:t>
            </w:r>
          </w:p>
        </w:tc>
        <w:tc>
          <w:tcPr>
            <w:tcW w:w="1380" w:type="dxa"/>
            <w:vAlign w:val="bottom"/>
            <w:gridSpan w:val="3"/>
          </w:tcPr>
          <w:p>
            <w:pPr>
              <w:ind w:left="4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132"/>
        </w:trPr>
        <w:tc>
          <w:tcPr>
            <w:tcW w:w="9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color w:val="auto"/>
              </w:rPr>
              <w:t>10.20(a)</w:t>
            </w:r>
          </w:p>
        </w:tc>
        <w:tc>
          <w:tcPr>
            <w:tcW w:w="640" w:type="dxa"/>
            <w:vAlign w:val="bottom"/>
          </w:tcPr>
          <w:p>
            <w:pPr>
              <w:ind w:left="420"/>
              <w:spacing w:after="0" w:line="126"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20" w:type="dxa"/>
            <w:vAlign w:val="bottom"/>
            <w:tcBorders>
              <w:top w:val="single" w:sz="8" w:color="auto"/>
              <w:bottom w:val="single" w:sz="8" w:color="0000FF"/>
            </w:tcBorders>
            <w:gridSpan w:val="17"/>
          </w:tcPr>
          <w:p>
            <w:pPr>
              <w:spacing w:after="0" w:line="126" w:lineRule="exact"/>
              <w:rPr>
                <w:rFonts w:ascii="Arial" w:cs="Arial" w:eastAsia="Arial" w:hAnsi="Arial"/>
                <w:sz w:val="14"/>
                <w:szCs w:val="14"/>
                <w:color w:val="0000FF"/>
                <w:w w:val="90"/>
              </w:rPr>
            </w:pPr>
            <w:hyperlink r:id="rId143">
              <w:r>
                <w:rPr>
                  <w:rFonts w:ascii="Arial" w:cs="Arial" w:eastAsia="Arial" w:hAnsi="Arial"/>
                  <w:sz w:val="14"/>
                  <w:szCs w:val="14"/>
                  <w:color w:val="0000FF"/>
                  <w:w w:val="90"/>
                </w:rPr>
                <w:t>Employment Agreement, dated August 5, 2019, by and between the Company</w:t>
              </w:r>
            </w:hyperlink>
          </w:p>
        </w:tc>
        <w:tc>
          <w:tcPr>
            <w:tcW w:w="160" w:type="dxa"/>
            <w:vAlign w:val="bottom"/>
            <w:tcBorders>
              <w:top w:val="single" w:sz="8" w:color="auto"/>
            </w:tcBorders>
            <w:gridSpan w:val="4"/>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ind w:left="420"/>
              <w:spacing w:after="0" w:line="126" w:lineRule="exact"/>
              <w:rPr>
                <w:sz w:val="20"/>
                <w:szCs w:val="20"/>
                <w:color w:val="auto"/>
              </w:rPr>
            </w:pPr>
            <w:r>
              <w:rPr>
                <w:rFonts w:ascii="Arial" w:cs="Arial" w:eastAsia="Arial" w:hAnsi="Arial"/>
                <w:sz w:val="14"/>
                <w:szCs w:val="14"/>
                <w:color w:val="auto"/>
              </w:rPr>
              <w:t>8-K</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right"/>
              <w:ind w:right="211"/>
              <w:spacing w:after="0" w:line="126"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1"/>
                <w:szCs w:val="11"/>
                <w:color w:val="auto"/>
              </w:rPr>
            </w:pPr>
          </w:p>
        </w:tc>
        <w:tc>
          <w:tcPr>
            <w:tcW w:w="900" w:type="dxa"/>
            <w:vAlign w:val="bottom"/>
            <w:tcBorders>
              <w:top w:val="single" w:sz="8" w:color="auto"/>
            </w:tcBorders>
          </w:tcPr>
          <w:p>
            <w:pPr>
              <w:ind w:left="420"/>
              <w:spacing w:after="0" w:line="126"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40"/>
              <w:spacing w:after="0" w:line="126" w:lineRule="exact"/>
              <w:rPr>
                <w:sz w:val="20"/>
                <w:szCs w:val="20"/>
                <w:color w:val="auto"/>
              </w:rPr>
            </w:pPr>
            <w:r>
              <w:rPr>
                <w:rFonts w:ascii="Arial" w:cs="Arial" w:eastAsia="Arial" w:hAnsi="Arial"/>
                <w:sz w:val="14"/>
                <w:szCs w:val="14"/>
                <w:color w:val="auto"/>
                <w:w w:val="93"/>
              </w:rPr>
              <w:t>August 6, 2019</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gridSpan w:val="19"/>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and Steven Ciardiello</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11"/>
              <w:spacing w:after="0" w:line="119" w:lineRule="exact"/>
              <w:rPr>
                <w:sz w:val="20"/>
                <w:szCs w:val="20"/>
                <w:color w:val="auto"/>
              </w:rPr>
            </w:pPr>
            <w:r>
              <w:rPr>
                <w:rFonts w:ascii="Arial" w:cs="Arial" w:eastAsia="Arial" w:hAnsi="Arial"/>
                <w:sz w:val="13"/>
                <w:szCs w:val="13"/>
                <w:color w:val="auto"/>
                <w:w w:val="99"/>
              </w:rPr>
              <w:t>35669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10.20(b)</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22"/>
          </w:tcPr>
          <w:p>
            <w:pPr>
              <w:spacing w:after="0" w:line="151" w:lineRule="exact"/>
              <w:rPr>
                <w:rFonts w:ascii="Arial" w:cs="Arial" w:eastAsia="Arial" w:hAnsi="Arial"/>
                <w:sz w:val="14"/>
                <w:szCs w:val="14"/>
                <w:color w:val="0000FF"/>
              </w:rPr>
            </w:pPr>
            <w:hyperlink r:id="rId144">
              <w:r>
                <w:rPr>
                  <w:rFonts w:ascii="Arial" w:cs="Arial" w:eastAsia="Arial" w:hAnsi="Arial"/>
                  <w:sz w:val="14"/>
                  <w:szCs w:val="14"/>
                  <w:color w:val="0000FF"/>
                </w:rPr>
                <w:t>Amendment to Employment Agreement, dated November 5, 2019, by and</w:t>
              </w:r>
            </w:hyperlink>
          </w:p>
        </w:tc>
        <w:tc>
          <w:tcPr>
            <w:tcW w:w="880" w:type="dxa"/>
            <w:vAlign w:val="bottom"/>
            <w:gridSpan w:val="2"/>
          </w:tcPr>
          <w:p>
            <w:pPr>
              <w:ind w:left="420"/>
              <w:spacing w:after="0" w:line="151" w:lineRule="exact"/>
              <w:rPr>
                <w:sz w:val="20"/>
                <w:szCs w:val="20"/>
                <w:color w:val="auto"/>
              </w:rPr>
            </w:pPr>
            <w:r>
              <w:rPr>
                <w:rFonts w:ascii="Arial" w:cs="Arial" w:eastAsia="Arial" w:hAnsi="Arial"/>
                <w:sz w:val="14"/>
                <w:szCs w:val="14"/>
                <w:color w:val="auto"/>
              </w:rPr>
              <w:t>10-Q</w:t>
            </w:r>
          </w:p>
        </w:tc>
        <w:tc>
          <w:tcPr>
            <w:tcW w:w="960" w:type="dxa"/>
            <w:vAlign w:val="bottom"/>
          </w:tcPr>
          <w:p>
            <w:pPr>
              <w:jc w:val="right"/>
              <w:ind w:right="211"/>
              <w:spacing w:after="0" w:line="151"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900" w:type="dxa"/>
            <w:vAlign w:val="bottom"/>
          </w:tcPr>
          <w:p>
            <w:pPr>
              <w:ind w:left="420"/>
              <w:spacing w:after="0" w:line="151"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ind w:left="40"/>
              <w:spacing w:after="0" w:line="151" w:lineRule="exact"/>
              <w:rPr>
                <w:sz w:val="20"/>
                <w:szCs w:val="20"/>
                <w:color w:val="auto"/>
              </w:rPr>
            </w:pPr>
            <w:r>
              <w:rPr>
                <w:rFonts w:ascii="Arial" w:cs="Arial" w:eastAsia="Arial" w:hAnsi="Arial"/>
                <w:sz w:val="14"/>
                <w:szCs w:val="14"/>
                <w:color w:val="auto"/>
                <w:w w:val="88"/>
              </w:rPr>
              <w:t>November 5, 20</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0000FF"/>
            </w:tcBorders>
            <w:gridSpan w:val="2"/>
          </w:tcPr>
          <w:p>
            <w:pPr>
              <w:spacing w:after="0" w:line="119" w:lineRule="exact"/>
              <w:rPr>
                <w:rFonts w:ascii="Arial" w:cs="Arial" w:eastAsia="Arial" w:hAnsi="Arial"/>
                <w:sz w:val="13"/>
                <w:szCs w:val="13"/>
                <w:color w:val="0000FF"/>
                <w:w w:val="73"/>
              </w:rPr>
            </w:pPr>
            <w:hyperlink r:id="rId144">
              <w:r>
                <w:rPr>
                  <w:rFonts w:ascii="Arial" w:cs="Arial" w:eastAsia="Arial" w:hAnsi="Arial"/>
                  <w:sz w:val="13"/>
                  <w:szCs w:val="13"/>
                  <w:color w:val="0000FF"/>
                  <w:w w:val="73"/>
                </w:rPr>
                <w:t>between</w:t>
              </w:r>
            </w:hyperlink>
          </w:p>
        </w:tc>
        <w:tc>
          <w:tcPr>
            <w:tcW w:w="80" w:type="dxa"/>
            <w:vAlign w:val="bottom"/>
            <w:tcBorders>
              <w:top w:val="single" w:sz="8" w:color="0000FF"/>
              <w:bottom w:val="single" w:sz="8" w:color="0000FF"/>
            </w:tcBorders>
          </w:tcPr>
          <w:p>
            <w:pPr>
              <w:spacing w:after="0"/>
              <w:rPr>
                <w:sz w:val="10"/>
                <w:szCs w:val="10"/>
                <w:color w:val="auto"/>
              </w:rPr>
            </w:pPr>
          </w:p>
        </w:tc>
        <w:tc>
          <w:tcPr>
            <w:tcW w:w="2040" w:type="dxa"/>
            <w:vAlign w:val="bottom"/>
            <w:tcBorders>
              <w:top w:val="single" w:sz="8" w:color="0000FF"/>
              <w:bottom w:val="single" w:sz="8" w:color="0000FF"/>
            </w:tcBorders>
            <w:gridSpan w:val="8"/>
          </w:tcPr>
          <w:p>
            <w:pPr>
              <w:ind w:left="40"/>
              <w:spacing w:after="0" w:line="119" w:lineRule="exact"/>
              <w:rPr>
                <w:rFonts w:ascii="Arial" w:cs="Arial" w:eastAsia="Arial" w:hAnsi="Arial"/>
                <w:sz w:val="13"/>
                <w:szCs w:val="13"/>
                <w:color w:val="0000FF"/>
                <w:w w:val="96"/>
              </w:rPr>
            </w:pPr>
            <w:hyperlink r:id="rId144">
              <w:r>
                <w:rPr>
                  <w:rFonts w:ascii="Arial" w:cs="Arial" w:eastAsia="Arial" w:hAnsi="Arial"/>
                  <w:sz w:val="13"/>
                  <w:szCs w:val="13"/>
                  <w:color w:val="0000FF"/>
                  <w:w w:val="96"/>
                </w:rPr>
                <w:t>the Company and Steven Ciardiello</w:t>
              </w:r>
            </w:hyperlink>
          </w:p>
        </w:tc>
        <w:tc>
          <w:tcPr>
            <w:tcW w:w="2040" w:type="dxa"/>
            <w:vAlign w:val="bottom"/>
            <w:tcBorders>
              <w:top w:val="single" w:sz="8" w:color="0000FF"/>
            </w:tcBorders>
            <w:gridSpan w:val="4"/>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11"/>
              <w:spacing w:after="0" w:line="119" w:lineRule="exact"/>
              <w:rPr>
                <w:sz w:val="20"/>
                <w:szCs w:val="20"/>
                <w:color w:val="auto"/>
              </w:rPr>
            </w:pPr>
            <w:r>
              <w:rPr>
                <w:rFonts w:ascii="Arial" w:cs="Arial" w:eastAsia="Arial" w:hAnsi="Arial"/>
                <w:sz w:val="13"/>
                <w:szCs w:val="13"/>
                <w:color w:val="auto"/>
                <w:w w:val="99"/>
              </w:rPr>
              <w:t>35669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10.21(a)</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22"/>
          </w:tcPr>
          <w:p>
            <w:pPr>
              <w:spacing w:after="0" w:line="151" w:lineRule="exact"/>
              <w:rPr>
                <w:rFonts w:ascii="Arial" w:cs="Arial" w:eastAsia="Arial" w:hAnsi="Arial"/>
                <w:sz w:val="14"/>
                <w:szCs w:val="14"/>
                <w:color w:val="0000FF"/>
                <w:w w:val="95"/>
              </w:rPr>
            </w:pPr>
            <w:hyperlink r:id="rId145">
              <w:r>
                <w:rPr>
                  <w:rFonts w:ascii="Arial" w:cs="Arial" w:eastAsia="Arial" w:hAnsi="Arial"/>
                  <w:sz w:val="14"/>
                  <w:szCs w:val="14"/>
                  <w:color w:val="0000FF"/>
                  <w:w w:val="95"/>
                </w:rPr>
                <w:t>Employment Agreement, dated March 13, 2019, by and between the Company</w:t>
              </w:r>
            </w:hyperlink>
          </w:p>
        </w:tc>
        <w:tc>
          <w:tcPr>
            <w:tcW w:w="880" w:type="dxa"/>
            <w:vAlign w:val="bottom"/>
            <w:gridSpan w:val="2"/>
          </w:tcPr>
          <w:p>
            <w:pPr>
              <w:ind w:left="420"/>
              <w:spacing w:after="0" w:line="151" w:lineRule="exact"/>
              <w:rPr>
                <w:sz w:val="20"/>
                <w:szCs w:val="20"/>
                <w:color w:val="auto"/>
              </w:rPr>
            </w:pPr>
            <w:r>
              <w:rPr>
                <w:rFonts w:ascii="Arial" w:cs="Arial" w:eastAsia="Arial" w:hAnsi="Arial"/>
                <w:sz w:val="14"/>
                <w:szCs w:val="14"/>
                <w:color w:val="auto"/>
              </w:rPr>
              <w:t>10-Q</w:t>
            </w:r>
          </w:p>
        </w:tc>
        <w:tc>
          <w:tcPr>
            <w:tcW w:w="960" w:type="dxa"/>
            <w:vAlign w:val="bottom"/>
          </w:tcPr>
          <w:p>
            <w:pPr>
              <w:jc w:val="right"/>
              <w:ind w:right="211"/>
              <w:spacing w:after="0" w:line="151"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900" w:type="dxa"/>
            <w:vAlign w:val="bottom"/>
          </w:tcPr>
          <w:p>
            <w:pPr>
              <w:ind w:left="420"/>
              <w:spacing w:after="0" w:line="151"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ind w:left="40"/>
              <w:spacing w:after="0" w:line="151" w:lineRule="exact"/>
              <w:rPr>
                <w:sz w:val="20"/>
                <w:szCs w:val="20"/>
                <w:color w:val="auto"/>
              </w:rPr>
            </w:pPr>
            <w:r>
              <w:rPr>
                <w:rFonts w:ascii="Arial" w:cs="Arial" w:eastAsia="Arial" w:hAnsi="Arial"/>
                <w:sz w:val="14"/>
                <w:szCs w:val="14"/>
                <w:color w:val="auto"/>
              </w:rPr>
              <w:t>April 25, 2019</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right"/>
              <w:ind w:right="511"/>
              <w:spacing w:after="0" w:line="145" w:lineRule="exact"/>
              <w:rPr>
                <w:sz w:val="20"/>
                <w:szCs w:val="20"/>
                <w:color w:val="auto"/>
              </w:rPr>
            </w:pPr>
            <w:r>
              <w:rPr>
                <w:rFonts w:ascii="Arial" w:cs="Arial" w:eastAsia="Arial" w:hAnsi="Arial"/>
                <w:sz w:val="14"/>
                <w:szCs w:val="14"/>
                <w:color w:val="auto"/>
                <w:w w:val="92"/>
              </w:rPr>
              <w:t>35669</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0000FF"/>
            </w:tcBorders>
            <w:gridSpan w:val="6"/>
          </w:tcPr>
          <w:p>
            <w:pPr>
              <w:spacing w:after="0" w:line="119" w:lineRule="exact"/>
              <w:rPr>
                <w:rFonts w:ascii="Arial" w:cs="Arial" w:eastAsia="Arial" w:hAnsi="Arial"/>
                <w:sz w:val="13"/>
                <w:szCs w:val="13"/>
                <w:color w:val="0000FF"/>
                <w:w w:val="94"/>
              </w:rPr>
            </w:pPr>
            <w:hyperlink r:id="rId145">
              <w:r>
                <w:rPr>
                  <w:rFonts w:ascii="Arial" w:cs="Arial" w:eastAsia="Arial" w:hAnsi="Arial"/>
                  <w:sz w:val="13"/>
                  <w:szCs w:val="13"/>
                  <w:color w:val="0000FF"/>
                  <w:w w:val="94"/>
                </w:rPr>
                <w:t>and Stan Pavlovsky</w:t>
              </w:r>
            </w:hyperlink>
          </w:p>
        </w:tc>
        <w:tc>
          <w:tcPr>
            <w:tcW w:w="3700" w:type="dxa"/>
            <w:vAlign w:val="bottom"/>
            <w:gridSpan w:val="13"/>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10.21(b)</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22"/>
          </w:tcPr>
          <w:p>
            <w:pPr>
              <w:spacing w:after="0" w:line="151" w:lineRule="exact"/>
              <w:rPr>
                <w:rFonts w:ascii="Arial" w:cs="Arial" w:eastAsia="Arial" w:hAnsi="Arial"/>
                <w:sz w:val="14"/>
                <w:szCs w:val="14"/>
                <w:color w:val="0000FF"/>
              </w:rPr>
            </w:pPr>
            <w:hyperlink r:id="rId146">
              <w:r>
                <w:rPr>
                  <w:rFonts w:ascii="Arial" w:cs="Arial" w:eastAsia="Arial" w:hAnsi="Arial"/>
                  <w:sz w:val="14"/>
                  <w:szCs w:val="14"/>
                  <w:color w:val="0000FF"/>
                </w:rPr>
                <w:t>Amendment to Employment Agreement, dated November 5, 2019, by and</w:t>
              </w:r>
            </w:hyperlink>
          </w:p>
        </w:tc>
        <w:tc>
          <w:tcPr>
            <w:tcW w:w="880" w:type="dxa"/>
            <w:vAlign w:val="bottom"/>
            <w:gridSpan w:val="2"/>
          </w:tcPr>
          <w:p>
            <w:pPr>
              <w:ind w:left="420"/>
              <w:spacing w:after="0" w:line="151" w:lineRule="exact"/>
              <w:rPr>
                <w:sz w:val="20"/>
                <w:szCs w:val="20"/>
                <w:color w:val="auto"/>
              </w:rPr>
            </w:pPr>
            <w:r>
              <w:rPr>
                <w:rFonts w:ascii="Arial" w:cs="Arial" w:eastAsia="Arial" w:hAnsi="Arial"/>
                <w:sz w:val="14"/>
                <w:szCs w:val="14"/>
                <w:color w:val="auto"/>
              </w:rPr>
              <w:t>10-Q</w:t>
            </w:r>
          </w:p>
        </w:tc>
        <w:tc>
          <w:tcPr>
            <w:tcW w:w="960" w:type="dxa"/>
            <w:vAlign w:val="bottom"/>
          </w:tcPr>
          <w:p>
            <w:pPr>
              <w:jc w:val="right"/>
              <w:ind w:right="211"/>
              <w:spacing w:after="0" w:line="151"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900" w:type="dxa"/>
            <w:vAlign w:val="bottom"/>
          </w:tcPr>
          <w:p>
            <w:pPr>
              <w:ind w:left="420"/>
              <w:spacing w:after="0" w:line="151"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ind w:left="40"/>
              <w:spacing w:after="0" w:line="151" w:lineRule="exact"/>
              <w:rPr>
                <w:sz w:val="20"/>
                <w:szCs w:val="20"/>
                <w:color w:val="auto"/>
              </w:rPr>
            </w:pPr>
            <w:r>
              <w:rPr>
                <w:rFonts w:ascii="Arial" w:cs="Arial" w:eastAsia="Arial" w:hAnsi="Arial"/>
                <w:sz w:val="14"/>
                <w:szCs w:val="14"/>
                <w:color w:val="auto"/>
                <w:w w:val="88"/>
              </w:rPr>
              <w:t>November 5, 20</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spacing w:after="0" w:line="119" w:lineRule="exact"/>
              <w:rPr>
                <w:rFonts w:ascii="Arial" w:cs="Arial" w:eastAsia="Arial" w:hAnsi="Arial"/>
                <w:sz w:val="13"/>
                <w:szCs w:val="13"/>
                <w:color w:val="0000FF"/>
                <w:w w:val="73"/>
              </w:rPr>
            </w:pPr>
            <w:hyperlink r:id="rId146">
              <w:r>
                <w:rPr>
                  <w:rFonts w:ascii="Arial" w:cs="Arial" w:eastAsia="Arial" w:hAnsi="Arial"/>
                  <w:sz w:val="13"/>
                  <w:szCs w:val="13"/>
                  <w:color w:val="0000FF"/>
                  <w:w w:val="73"/>
                </w:rPr>
                <w:t>between</w:t>
              </w:r>
            </w:hyperlink>
          </w:p>
        </w:tc>
        <w:tc>
          <w:tcPr>
            <w:tcW w:w="80" w:type="dxa"/>
            <w:vAlign w:val="bottom"/>
            <w:tcBorders>
              <w:top w:val="single" w:sz="8" w:color="0000FF"/>
            </w:tcBorders>
          </w:tcPr>
          <w:p>
            <w:pPr>
              <w:spacing w:after="0"/>
              <w:rPr>
                <w:sz w:val="10"/>
                <w:szCs w:val="10"/>
                <w:color w:val="auto"/>
              </w:rPr>
            </w:pPr>
          </w:p>
        </w:tc>
        <w:tc>
          <w:tcPr>
            <w:tcW w:w="4080" w:type="dxa"/>
            <w:vAlign w:val="bottom"/>
            <w:tcBorders>
              <w:top w:val="single" w:sz="8" w:color="0000FF"/>
            </w:tcBorders>
            <w:gridSpan w:val="12"/>
          </w:tcPr>
          <w:p>
            <w:pPr>
              <w:ind w:left="40"/>
              <w:spacing w:after="0" w:line="119" w:lineRule="exact"/>
              <w:rPr>
                <w:rFonts w:ascii="Arial" w:cs="Arial" w:eastAsia="Arial" w:hAnsi="Arial"/>
                <w:sz w:val="13"/>
                <w:szCs w:val="13"/>
                <w:color w:val="0000FF"/>
              </w:rPr>
            </w:pPr>
            <w:hyperlink r:id="rId146">
              <w:r>
                <w:rPr>
                  <w:rFonts w:ascii="Arial" w:cs="Arial" w:eastAsia="Arial" w:hAnsi="Arial"/>
                  <w:sz w:val="13"/>
                  <w:szCs w:val="13"/>
                  <w:color w:val="0000FF"/>
                </w:rPr>
                <w:t>the Company and Stan Pavlovsky</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11"/>
              <w:spacing w:after="0" w:line="119" w:lineRule="exact"/>
              <w:rPr>
                <w:sz w:val="20"/>
                <w:szCs w:val="20"/>
                <w:color w:val="auto"/>
              </w:rPr>
            </w:pPr>
            <w:r>
              <w:rPr>
                <w:rFonts w:ascii="Arial" w:cs="Arial" w:eastAsia="Arial" w:hAnsi="Arial"/>
                <w:sz w:val="13"/>
                <w:szCs w:val="13"/>
                <w:color w:val="auto"/>
                <w:w w:val="99"/>
              </w:rPr>
              <w:t>35669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10.21(c)</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tcBorders>
              <w:bottom w:val="single" w:sz="8" w:color="0000FF"/>
            </w:tcBorders>
            <w:gridSpan w:val="15"/>
          </w:tcPr>
          <w:p>
            <w:pPr>
              <w:spacing w:after="0" w:line="151" w:lineRule="exact"/>
              <w:rPr>
                <w:rFonts w:ascii="Arial" w:cs="Arial" w:eastAsia="Arial" w:hAnsi="Arial"/>
                <w:sz w:val="14"/>
                <w:szCs w:val="14"/>
                <w:color w:val="0000FF"/>
                <w:w w:val="90"/>
              </w:rPr>
            </w:pPr>
            <w:hyperlink r:id="rId147">
              <w:r>
                <w:rPr>
                  <w:rFonts w:ascii="Arial" w:cs="Arial" w:eastAsia="Arial" w:hAnsi="Arial"/>
                  <w:sz w:val="14"/>
                  <w:szCs w:val="14"/>
                  <w:color w:val="0000FF"/>
                  <w:w w:val="90"/>
                </w:rPr>
                <w:t>Second Amendment to Employment Agreement, dated February 11, 2020, by</w:t>
              </w:r>
            </w:hyperlink>
          </w:p>
        </w:tc>
        <w:tc>
          <w:tcPr>
            <w:tcW w:w="320" w:type="dxa"/>
            <w:vAlign w:val="bottom"/>
            <w:gridSpan w:val="7"/>
          </w:tcPr>
          <w:p>
            <w:pPr>
              <w:spacing w:after="0"/>
              <w:rPr>
                <w:sz w:val="13"/>
                <w:szCs w:val="13"/>
                <w:color w:val="auto"/>
              </w:rPr>
            </w:pPr>
          </w:p>
        </w:tc>
        <w:tc>
          <w:tcPr>
            <w:tcW w:w="880" w:type="dxa"/>
            <w:vAlign w:val="bottom"/>
            <w:gridSpan w:val="2"/>
          </w:tcPr>
          <w:p>
            <w:pPr>
              <w:ind w:left="420"/>
              <w:spacing w:after="0" w:line="151" w:lineRule="exact"/>
              <w:rPr>
                <w:sz w:val="20"/>
                <w:szCs w:val="20"/>
                <w:color w:val="auto"/>
              </w:rPr>
            </w:pPr>
            <w:r>
              <w:rPr>
                <w:rFonts w:ascii="Arial" w:cs="Arial" w:eastAsia="Arial" w:hAnsi="Arial"/>
                <w:sz w:val="14"/>
                <w:szCs w:val="14"/>
                <w:color w:val="auto"/>
              </w:rPr>
              <w:t>10-K</w:t>
            </w:r>
          </w:p>
        </w:tc>
        <w:tc>
          <w:tcPr>
            <w:tcW w:w="960" w:type="dxa"/>
            <w:vAlign w:val="bottom"/>
          </w:tcPr>
          <w:p>
            <w:pPr>
              <w:jc w:val="right"/>
              <w:ind w:right="211"/>
              <w:spacing w:after="0" w:line="151"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1380" w:type="dxa"/>
            <w:vAlign w:val="bottom"/>
            <w:gridSpan w:val="3"/>
          </w:tcPr>
          <w:p>
            <w:pPr>
              <w:ind w:left="420"/>
              <w:spacing w:after="0" w:line="151" w:lineRule="exact"/>
              <w:rPr>
                <w:sz w:val="20"/>
                <w:szCs w:val="20"/>
                <w:color w:val="auto"/>
              </w:rPr>
            </w:pPr>
            <w:r>
              <w:rPr>
                <w:rFonts w:ascii="Arial" w:cs="Arial" w:eastAsia="Arial" w:hAnsi="Arial"/>
                <w:sz w:val="14"/>
                <w:szCs w:val="14"/>
                <w:color w:val="auto"/>
              </w:rPr>
              <w:t>10.25(c)</w:t>
            </w:r>
          </w:p>
        </w:tc>
        <w:tc>
          <w:tcPr>
            <w:tcW w:w="940" w:type="dxa"/>
            <w:vAlign w:val="bottom"/>
          </w:tcPr>
          <w:p>
            <w:pPr>
              <w:ind w:left="40"/>
              <w:spacing w:after="0" w:line="151" w:lineRule="exact"/>
              <w:rPr>
                <w:sz w:val="20"/>
                <w:szCs w:val="20"/>
                <w:color w:val="auto"/>
              </w:rPr>
            </w:pPr>
            <w:r>
              <w:rPr>
                <w:rFonts w:ascii="Arial" w:cs="Arial" w:eastAsia="Arial" w:hAnsi="Arial"/>
                <w:sz w:val="14"/>
                <w:szCs w:val="14"/>
                <w:color w:val="auto"/>
                <w:w w:val="88"/>
              </w:rPr>
              <w:t>February 13, 20</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tcBorders>
              <w:bottom w:val="single" w:sz="8" w:color="0000FF"/>
            </w:tcBorders>
            <w:gridSpan w:val="12"/>
          </w:tcPr>
          <w:p>
            <w:pPr>
              <w:spacing w:after="0" w:line="119" w:lineRule="exact"/>
              <w:rPr>
                <w:rFonts w:ascii="Arial" w:cs="Arial" w:eastAsia="Arial" w:hAnsi="Arial"/>
                <w:sz w:val="13"/>
                <w:szCs w:val="13"/>
                <w:color w:val="0000FF"/>
                <w:w w:val="95"/>
              </w:rPr>
            </w:pPr>
            <w:hyperlink r:id="rId147">
              <w:r>
                <w:rPr>
                  <w:rFonts w:ascii="Arial" w:cs="Arial" w:eastAsia="Arial" w:hAnsi="Arial"/>
                  <w:sz w:val="13"/>
                  <w:szCs w:val="13"/>
                  <w:color w:val="0000FF"/>
                  <w:w w:val="95"/>
                </w:rPr>
                <w:t>and between Stan Pavlovsky and Shutterstock, Inc.</w:t>
              </w:r>
            </w:hyperlink>
          </w:p>
        </w:tc>
        <w:tc>
          <w:tcPr>
            <w:tcW w:w="18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11"/>
              <w:spacing w:after="0" w:line="119" w:lineRule="exact"/>
              <w:rPr>
                <w:sz w:val="20"/>
                <w:szCs w:val="20"/>
                <w:color w:val="auto"/>
              </w:rPr>
            </w:pPr>
            <w:r>
              <w:rPr>
                <w:rFonts w:ascii="Arial" w:cs="Arial" w:eastAsia="Arial" w:hAnsi="Arial"/>
                <w:sz w:val="13"/>
                <w:szCs w:val="13"/>
                <w:color w:val="auto"/>
                <w:w w:val="99"/>
              </w:rPr>
              <w:t>35669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10.22</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tcBorders>
              <w:bottom w:val="single" w:sz="8" w:color="0000FF"/>
            </w:tcBorders>
            <w:gridSpan w:val="11"/>
          </w:tcPr>
          <w:p>
            <w:pPr>
              <w:spacing w:after="0" w:line="151" w:lineRule="exact"/>
              <w:rPr>
                <w:rFonts w:ascii="Arial" w:cs="Arial" w:eastAsia="Arial" w:hAnsi="Arial"/>
                <w:sz w:val="14"/>
                <w:szCs w:val="14"/>
                <w:color w:val="0000FF"/>
                <w:w w:val="90"/>
              </w:rPr>
            </w:pPr>
            <w:hyperlink r:id="rId148">
              <w:r>
                <w:rPr>
                  <w:rFonts w:ascii="Arial" w:cs="Arial" w:eastAsia="Arial" w:hAnsi="Arial"/>
                  <w:sz w:val="14"/>
                  <w:szCs w:val="14"/>
                  <w:color w:val="0000FF"/>
                  <w:w w:val="90"/>
                </w:rPr>
                <w:t>Employment Agreement, dated November 7, 2019, by and between the</w:t>
              </w:r>
            </w:hyperlink>
          </w:p>
        </w:tc>
        <w:tc>
          <w:tcPr>
            <w:tcW w:w="680" w:type="dxa"/>
            <w:vAlign w:val="bottom"/>
            <w:gridSpan w:val="11"/>
          </w:tcPr>
          <w:p>
            <w:pPr>
              <w:spacing w:after="0"/>
              <w:rPr>
                <w:sz w:val="13"/>
                <w:szCs w:val="13"/>
                <w:color w:val="auto"/>
              </w:rPr>
            </w:pPr>
          </w:p>
        </w:tc>
        <w:tc>
          <w:tcPr>
            <w:tcW w:w="880" w:type="dxa"/>
            <w:vAlign w:val="bottom"/>
            <w:gridSpan w:val="2"/>
          </w:tcPr>
          <w:p>
            <w:pPr>
              <w:ind w:left="420"/>
              <w:spacing w:after="0" w:line="151" w:lineRule="exact"/>
              <w:rPr>
                <w:sz w:val="20"/>
                <w:szCs w:val="20"/>
                <w:color w:val="auto"/>
              </w:rPr>
            </w:pPr>
            <w:r>
              <w:rPr>
                <w:rFonts w:ascii="Arial" w:cs="Arial" w:eastAsia="Arial" w:hAnsi="Arial"/>
                <w:sz w:val="14"/>
                <w:szCs w:val="14"/>
                <w:color w:val="auto"/>
              </w:rPr>
              <w:t>8-K</w:t>
            </w:r>
          </w:p>
        </w:tc>
        <w:tc>
          <w:tcPr>
            <w:tcW w:w="960" w:type="dxa"/>
            <w:vAlign w:val="bottom"/>
          </w:tcPr>
          <w:p>
            <w:pPr>
              <w:jc w:val="right"/>
              <w:ind w:right="211"/>
              <w:spacing w:after="0" w:line="151"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c>
          <w:tcPr>
            <w:tcW w:w="900" w:type="dxa"/>
            <w:vAlign w:val="bottom"/>
          </w:tcPr>
          <w:p>
            <w:pPr>
              <w:ind w:left="420"/>
              <w:spacing w:after="0" w:line="151"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ind w:left="40"/>
              <w:spacing w:after="0" w:line="151" w:lineRule="exact"/>
              <w:rPr>
                <w:sz w:val="20"/>
                <w:szCs w:val="20"/>
                <w:color w:val="auto"/>
              </w:rPr>
            </w:pPr>
            <w:r>
              <w:rPr>
                <w:rFonts w:ascii="Arial" w:cs="Arial" w:eastAsia="Arial" w:hAnsi="Arial"/>
                <w:sz w:val="14"/>
                <w:szCs w:val="14"/>
                <w:color w:val="auto"/>
                <w:w w:val="88"/>
              </w:rPr>
              <w:t>November 18, 2</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bottom w:val="single" w:sz="8" w:color="0000FF"/>
            </w:tcBorders>
            <w:gridSpan w:val="9"/>
          </w:tcPr>
          <w:p>
            <w:pPr>
              <w:spacing w:after="0" w:line="119" w:lineRule="exact"/>
              <w:rPr>
                <w:rFonts w:ascii="Arial" w:cs="Arial" w:eastAsia="Arial" w:hAnsi="Arial"/>
                <w:sz w:val="13"/>
                <w:szCs w:val="13"/>
                <w:color w:val="0000FF"/>
                <w:w w:val="93"/>
              </w:rPr>
            </w:pPr>
            <w:hyperlink r:id="rId148">
              <w:r>
                <w:rPr>
                  <w:rFonts w:ascii="Arial" w:cs="Arial" w:eastAsia="Arial" w:hAnsi="Arial"/>
                  <w:sz w:val="13"/>
                  <w:szCs w:val="13"/>
                  <w:color w:val="0000FF"/>
                  <w:w w:val="93"/>
                </w:rPr>
                <w:t>Company and Jarrod Yahes</w:t>
              </w:r>
            </w:hyperlink>
          </w:p>
        </w:tc>
        <w:tc>
          <w:tcPr>
            <w:tcW w:w="2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11"/>
              <w:spacing w:after="0" w:line="119" w:lineRule="exact"/>
              <w:rPr>
                <w:sz w:val="20"/>
                <w:szCs w:val="20"/>
                <w:color w:val="auto"/>
              </w:rPr>
            </w:pPr>
            <w:r>
              <w:rPr>
                <w:rFonts w:ascii="Arial" w:cs="Arial" w:eastAsia="Arial" w:hAnsi="Arial"/>
                <w:sz w:val="13"/>
                <w:szCs w:val="13"/>
                <w:color w:val="auto"/>
                <w:w w:val="99"/>
              </w:rPr>
              <w:t>35669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jc w:val="right"/>
              <w:spacing w:after="0"/>
              <w:rPr>
                <w:sz w:val="20"/>
                <w:szCs w:val="20"/>
                <w:color w:val="auto"/>
              </w:rPr>
            </w:pPr>
            <w:r>
              <w:rPr>
                <w:rFonts w:ascii="Arial" w:cs="Arial" w:eastAsia="Arial" w:hAnsi="Arial"/>
                <w:sz w:val="14"/>
                <w:szCs w:val="14"/>
                <w:color w:val="auto"/>
              </w:rPr>
              <w:t>10.23</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80" w:type="dxa"/>
            <w:vAlign w:val="bottom"/>
            <w:gridSpan w:val="22"/>
          </w:tcPr>
          <w:p>
            <w:pPr>
              <w:spacing w:after="0"/>
              <w:rPr>
                <w:rFonts w:ascii="Arial" w:cs="Arial" w:eastAsia="Arial" w:hAnsi="Arial"/>
                <w:sz w:val="14"/>
                <w:szCs w:val="14"/>
                <w:color w:val="0000FF"/>
                <w:w w:val="95"/>
              </w:rPr>
            </w:pPr>
            <w:hyperlink r:id="rId149">
              <w:r>
                <w:rPr>
                  <w:rFonts w:ascii="Arial" w:cs="Arial" w:eastAsia="Arial" w:hAnsi="Arial"/>
                  <w:sz w:val="14"/>
                  <w:szCs w:val="14"/>
                  <w:color w:val="0000FF"/>
                  <w:w w:val="95"/>
                </w:rPr>
                <w:t>Employment Agreement, dated November 4, 2019, between the Company and</w:t>
              </w:r>
            </w:hyperlink>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10-Q</w:t>
            </w: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c>
          <w:tcPr>
            <w:tcW w:w="900" w:type="dxa"/>
            <w:vAlign w:val="bottom"/>
          </w:tcPr>
          <w:p>
            <w:pPr>
              <w:ind w:left="4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July 28, 2020</w:t>
            </w:r>
          </w:p>
        </w:tc>
        <w:tc>
          <w:tcPr>
            <w:tcW w:w="0" w:type="dxa"/>
            <w:vAlign w:val="bottom"/>
          </w:tcPr>
          <w:p>
            <w:pPr>
              <w:spacing w:after="0"/>
              <w:rPr>
                <w:sz w:val="1"/>
                <w:szCs w:val="1"/>
                <w:color w:val="auto"/>
              </w:rPr>
            </w:pPr>
          </w:p>
        </w:tc>
      </w:tr>
      <w:tr>
        <w:trPr>
          <w:trHeight w:val="145"/>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0000FF"/>
            </w:tcBorders>
            <w:gridSpan w:val="2"/>
          </w:tcPr>
          <w:p>
            <w:pPr>
              <w:spacing w:after="0" w:line="145" w:lineRule="exact"/>
              <w:rPr>
                <w:rFonts w:ascii="Arial" w:cs="Arial" w:eastAsia="Arial" w:hAnsi="Arial"/>
                <w:sz w:val="14"/>
                <w:szCs w:val="14"/>
                <w:color w:val="0000FF"/>
                <w:w w:val="98"/>
              </w:rPr>
            </w:pPr>
            <w:hyperlink r:id="rId149">
              <w:r>
                <w:rPr>
                  <w:rFonts w:ascii="Arial" w:cs="Arial" w:eastAsia="Arial" w:hAnsi="Arial"/>
                  <w:sz w:val="14"/>
                  <w:szCs w:val="14"/>
                  <w:color w:val="0000FF"/>
                  <w:w w:val="98"/>
                </w:rPr>
                <w:t>Pietro</w:t>
              </w:r>
            </w:hyperlink>
          </w:p>
        </w:tc>
        <w:tc>
          <w:tcPr>
            <w:tcW w:w="320" w:type="dxa"/>
            <w:vAlign w:val="bottom"/>
            <w:tcBorders>
              <w:top w:val="single" w:sz="8" w:color="0000FF"/>
              <w:bottom w:val="single" w:sz="8" w:color="0000FF"/>
            </w:tcBorders>
            <w:gridSpan w:val="2"/>
          </w:tcPr>
          <w:p>
            <w:pPr>
              <w:spacing w:after="0" w:line="145" w:lineRule="exact"/>
              <w:rPr>
                <w:rFonts w:ascii="Arial" w:cs="Arial" w:eastAsia="Arial" w:hAnsi="Arial"/>
                <w:sz w:val="14"/>
                <w:szCs w:val="14"/>
                <w:color w:val="0000FF"/>
                <w:w w:val="89"/>
              </w:rPr>
            </w:pPr>
            <w:hyperlink r:id="rId149">
              <w:r>
                <w:rPr>
                  <w:rFonts w:ascii="Arial" w:cs="Arial" w:eastAsia="Arial" w:hAnsi="Arial"/>
                  <w:sz w:val="14"/>
                  <w:szCs w:val="14"/>
                  <w:color w:val="0000FF"/>
                  <w:w w:val="89"/>
                </w:rPr>
                <w:t>Silvio</w:t>
              </w:r>
            </w:hyperlink>
          </w:p>
        </w:tc>
        <w:tc>
          <w:tcPr>
            <w:tcW w:w="41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11"/>
              <w:spacing w:after="0" w:line="145" w:lineRule="exact"/>
              <w:rPr>
                <w:sz w:val="20"/>
                <w:szCs w:val="20"/>
                <w:color w:val="auto"/>
              </w:rPr>
            </w:pPr>
            <w:r>
              <w:rPr>
                <w:rFonts w:ascii="Arial" w:cs="Arial" w:eastAsia="Arial" w:hAnsi="Arial"/>
                <w:sz w:val="14"/>
                <w:szCs w:val="14"/>
                <w:color w:val="auto"/>
                <w:w w:val="92"/>
              </w:rPr>
              <w:t>35669</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960" w:type="dxa"/>
            <w:vAlign w:val="bottom"/>
          </w:tcPr>
          <w:p>
            <w:pPr>
              <w:jc w:val="right"/>
              <w:spacing w:after="0"/>
              <w:rPr>
                <w:sz w:val="20"/>
                <w:szCs w:val="20"/>
                <w:color w:val="auto"/>
              </w:rPr>
            </w:pPr>
            <w:r>
              <w:rPr>
                <w:rFonts w:ascii="Arial" w:cs="Arial" w:eastAsia="Arial" w:hAnsi="Arial"/>
                <w:sz w:val="14"/>
                <w:szCs w:val="14"/>
                <w:color w:val="auto"/>
              </w:rPr>
              <w:t>21.1</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0000FF"/>
            </w:tcBorders>
            <w:gridSpan w:val="6"/>
          </w:tcPr>
          <w:p>
            <w:pPr>
              <w:spacing w:after="0"/>
              <w:rPr>
                <w:rFonts w:ascii="Arial" w:cs="Arial" w:eastAsia="Arial" w:hAnsi="Arial"/>
                <w:sz w:val="14"/>
                <w:szCs w:val="14"/>
                <w:color w:val="0000FF"/>
                <w:w w:val="92"/>
              </w:rPr>
            </w:pPr>
            <w:hyperlink w:anchor="page100">
              <w:r>
                <w:rPr>
                  <w:rFonts w:ascii="Arial" w:cs="Arial" w:eastAsia="Arial" w:hAnsi="Arial"/>
                  <w:sz w:val="14"/>
                  <w:szCs w:val="14"/>
                  <w:color w:val="0000FF"/>
                  <w:w w:val="92"/>
                </w:rPr>
                <w:t>List of Subsidiaries.</w:t>
              </w:r>
            </w:hyperlink>
          </w:p>
        </w:tc>
        <w:tc>
          <w:tcPr>
            <w:tcW w:w="3540" w:type="dxa"/>
            <w:vAlign w:val="bottom"/>
            <w:gridSpan w:val="16"/>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right"/>
              <w:spacing w:after="0"/>
              <w:rPr>
                <w:sz w:val="20"/>
                <w:szCs w:val="20"/>
                <w:color w:val="auto"/>
              </w:rPr>
            </w:pPr>
            <w:r>
              <w:rPr>
                <w:rFonts w:ascii="Arial" w:cs="Arial" w:eastAsia="Arial" w:hAnsi="Arial"/>
                <w:sz w:val="14"/>
                <w:szCs w:val="14"/>
                <w:color w:val="auto"/>
              </w:rPr>
              <w:t>23.1</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80" w:type="dxa"/>
            <w:vAlign w:val="bottom"/>
            <w:gridSpan w:val="22"/>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Consent of PricewaterhouseCoopers LLP, Independent Registered Public</w:t>
              </w:r>
            </w:hyperlink>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500" w:type="dxa"/>
            <w:vAlign w:val="bottom"/>
            <w:gridSpan w:val="9"/>
            <w:shd w:val="clear" w:color="auto" w:fill="0000FF"/>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80" w:type="dxa"/>
            <w:vAlign w:val="bottom"/>
            <w:gridSpan w:val="14"/>
          </w:tcPr>
          <w:p>
            <w:pPr>
              <w:spacing w:after="0" w:line="112" w:lineRule="exact"/>
              <w:rPr>
                <w:rFonts w:ascii="Arial" w:cs="Arial" w:eastAsia="Arial" w:hAnsi="Arial"/>
                <w:sz w:val="12"/>
                <w:szCs w:val="12"/>
                <w:color w:val="0000FF"/>
              </w:rPr>
            </w:pPr>
            <w:hyperlink w:anchor="page101">
              <w:r>
                <w:rPr>
                  <w:rFonts w:ascii="Arial" w:cs="Arial" w:eastAsia="Arial" w:hAnsi="Arial"/>
                  <w:sz w:val="12"/>
                  <w:szCs w:val="12"/>
                  <w:color w:val="0000FF"/>
                </w:rPr>
                <w:t>Accounting Firm.</w:t>
              </w:r>
            </w:hyperlink>
          </w:p>
        </w:tc>
        <w:tc>
          <w:tcPr>
            <w:tcW w:w="240" w:type="dxa"/>
            <w:vAlign w:val="bottom"/>
            <w:gridSpan w:val="2"/>
            <w:vMerge w:val="continue"/>
          </w:tcPr>
          <w:p>
            <w:pPr>
              <w:spacing w:after="0"/>
              <w:rPr>
                <w:sz w:val="9"/>
                <w:szCs w:val="9"/>
                <w:color w:val="auto"/>
              </w:rPr>
            </w:pPr>
          </w:p>
        </w:tc>
        <w:tc>
          <w:tcPr>
            <w:tcW w:w="40" w:type="dxa"/>
            <w:vAlign w:val="bottom"/>
            <w:gridSpan w:val="2"/>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24.1</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22"/>
          </w:tcPr>
          <w:p>
            <w:pPr>
              <w:spacing w:after="0" w:line="151" w:lineRule="exact"/>
              <w:rPr>
                <w:sz w:val="20"/>
                <w:szCs w:val="20"/>
                <w:color w:val="auto"/>
              </w:rPr>
            </w:pPr>
            <w:r>
              <w:rPr>
                <w:rFonts w:ascii="Arial" w:cs="Arial" w:eastAsia="Arial" w:hAnsi="Arial"/>
                <w:sz w:val="14"/>
                <w:szCs w:val="14"/>
                <w:color w:val="auto"/>
              </w:rPr>
              <w:t>Power of Attorney (included on signature page of this Annual Report 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gridSpan w:val="24"/>
          </w:tcPr>
          <w:p>
            <w:pPr>
              <w:spacing w:after="0"/>
              <w:rPr>
                <w:sz w:val="20"/>
                <w:szCs w:val="20"/>
                <w:color w:val="auto"/>
              </w:rPr>
            </w:pPr>
            <w:r>
              <w:rPr>
                <w:rFonts w:ascii="Arial" w:cs="Arial" w:eastAsia="Arial" w:hAnsi="Arial"/>
                <w:sz w:val="14"/>
                <w:szCs w:val="14"/>
                <w:color w:val="auto"/>
              </w:rPr>
              <w:t>Form 10-K).</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60" w:type="dxa"/>
            <w:vAlign w:val="bottom"/>
          </w:tcPr>
          <w:p>
            <w:pPr>
              <w:jc w:val="right"/>
              <w:spacing w:after="0" w:line="150" w:lineRule="exact"/>
              <w:rPr>
                <w:sz w:val="20"/>
                <w:szCs w:val="20"/>
                <w:color w:val="auto"/>
              </w:rPr>
            </w:pPr>
            <w:r>
              <w:rPr>
                <w:rFonts w:ascii="Arial" w:cs="Arial" w:eastAsia="Arial" w:hAnsi="Arial"/>
                <w:sz w:val="14"/>
                <w:szCs w:val="14"/>
                <w:color w:val="auto"/>
              </w:rPr>
              <w:t>31.1</w:t>
            </w:r>
          </w:p>
        </w:tc>
        <w:tc>
          <w:tcPr>
            <w:tcW w:w="640" w:type="dxa"/>
            <w:vAlign w:val="bottom"/>
          </w:tcPr>
          <w:p>
            <w:pPr>
              <w:ind w:left="420"/>
              <w:spacing w:after="0" w:line="15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bottom w:val="single" w:sz="8" w:color="0000FF"/>
            </w:tcBorders>
            <w:gridSpan w:val="16"/>
          </w:tcPr>
          <w:p>
            <w:pPr>
              <w:spacing w:after="0" w:line="150" w:lineRule="exact"/>
              <w:rPr>
                <w:rFonts w:ascii="Arial" w:cs="Arial" w:eastAsia="Arial" w:hAnsi="Arial"/>
                <w:sz w:val="14"/>
                <w:szCs w:val="14"/>
                <w:color w:val="0000FF"/>
                <w:w w:val="92"/>
              </w:rPr>
            </w:pPr>
            <w:hyperlink w:anchor="page102">
              <w:r>
                <w:rPr>
                  <w:rFonts w:ascii="Arial" w:cs="Arial" w:eastAsia="Arial" w:hAnsi="Arial"/>
                  <w:sz w:val="14"/>
                  <w:szCs w:val="14"/>
                  <w:color w:val="0000FF"/>
                  <w:w w:val="92"/>
                </w:rPr>
                <w:t>Certification of Chief Executive Officer pursuant to Exchange Act Rules 13a-</w:t>
              </w:r>
            </w:hyperlink>
          </w:p>
        </w:tc>
        <w:tc>
          <w:tcPr>
            <w:tcW w:w="300" w:type="dxa"/>
            <w:vAlign w:val="bottom"/>
            <w:gridSpan w:val="6"/>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60" w:type="dxa"/>
            <w:vAlign w:val="bottom"/>
            <w:gridSpan w:val="24"/>
          </w:tcPr>
          <w:p>
            <w:pPr>
              <w:spacing w:after="0" w:line="112" w:lineRule="exact"/>
              <w:rPr>
                <w:rFonts w:ascii="Arial" w:cs="Arial" w:eastAsia="Arial" w:hAnsi="Arial"/>
                <w:sz w:val="12"/>
                <w:szCs w:val="12"/>
                <w:color w:val="0000FF"/>
              </w:rPr>
            </w:pPr>
            <w:hyperlink w:anchor="page102">
              <w:r>
                <w:rPr>
                  <w:rFonts w:ascii="Arial" w:cs="Arial" w:eastAsia="Arial" w:hAnsi="Arial"/>
                  <w:sz w:val="12"/>
                  <w:szCs w:val="12"/>
                  <w:color w:val="0000FF"/>
                </w:rPr>
                <w:t>14(a) and 15d-14(a), as adopted pursuant to Section 302 of the Sarbanes-Oxley Act of</w:t>
              </w:r>
            </w:hyperlink>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0000FF"/>
            </w:tcBorders>
            <w:gridSpan w:val="2"/>
          </w:tcPr>
          <w:p>
            <w:pPr>
              <w:spacing w:after="0" w:line="112" w:lineRule="exact"/>
              <w:rPr>
                <w:rFonts w:ascii="Arial" w:cs="Arial" w:eastAsia="Arial" w:hAnsi="Arial"/>
                <w:sz w:val="12"/>
                <w:szCs w:val="12"/>
                <w:color w:val="0000FF"/>
              </w:rPr>
            </w:pPr>
            <w:hyperlink w:anchor="page102">
              <w:r>
                <w:rPr>
                  <w:rFonts w:ascii="Arial" w:cs="Arial" w:eastAsia="Arial" w:hAnsi="Arial"/>
                  <w:sz w:val="12"/>
                  <w:szCs w:val="12"/>
                  <w:color w:val="0000FF"/>
                </w:rPr>
                <w:t>2002.</w:t>
              </w:r>
            </w:hyperlink>
          </w:p>
        </w:tc>
        <w:tc>
          <w:tcPr>
            <w:tcW w:w="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5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31.2</w:t>
            </w:r>
          </w:p>
        </w:tc>
        <w:tc>
          <w:tcPr>
            <w:tcW w:w="64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Borders>
              <w:bottom w:val="single" w:sz="8" w:color="0000FF"/>
            </w:tcBorders>
            <w:gridSpan w:val="14"/>
          </w:tcPr>
          <w:p>
            <w:pPr>
              <w:spacing w:after="0" w:line="151" w:lineRule="exact"/>
              <w:rPr>
                <w:rFonts w:ascii="Arial" w:cs="Arial" w:eastAsia="Arial" w:hAnsi="Arial"/>
                <w:sz w:val="14"/>
                <w:szCs w:val="14"/>
                <w:color w:val="0000FF"/>
                <w:w w:val="92"/>
              </w:rPr>
            </w:pPr>
            <w:hyperlink w:anchor="page103">
              <w:r>
                <w:rPr>
                  <w:rFonts w:ascii="Arial" w:cs="Arial" w:eastAsia="Arial" w:hAnsi="Arial"/>
                  <w:sz w:val="14"/>
                  <w:szCs w:val="14"/>
                  <w:color w:val="0000FF"/>
                  <w:w w:val="92"/>
                </w:rPr>
                <w:t>Certification of Chief Financial Officer pursuant to Exchange Act Rules 13a-</w:t>
              </w:r>
            </w:hyperlink>
          </w:p>
        </w:tc>
        <w:tc>
          <w:tcPr>
            <w:tcW w:w="34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gridSpan w:val="16"/>
          </w:tcPr>
          <w:p>
            <w:pPr>
              <w:spacing w:after="0" w:line="119" w:lineRule="exact"/>
              <w:rPr>
                <w:rFonts w:ascii="Arial" w:cs="Arial" w:eastAsia="Arial" w:hAnsi="Arial"/>
                <w:sz w:val="13"/>
                <w:szCs w:val="13"/>
                <w:color w:val="0000FF"/>
                <w:w w:val="97"/>
              </w:rPr>
            </w:pPr>
            <w:hyperlink w:anchor="page103">
              <w:r>
                <w:rPr>
                  <w:rFonts w:ascii="Arial" w:cs="Arial" w:eastAsia="Arial" w:hAnsi="Arial"/>
                  <w:sz w:val="13"/>
                  <w:szCs w:val="13"/>
                  <w:color w:val="0000FF"/>
                  <w:w w:val="97"/>
                </w:rPr>
                <w:t>14(a) and 15d-14(a), as adopted pursuant to Section 302 of the Sarbanes-Oxley Act</w:t>
              </w:r>
            </w:hyperlink>
          </w:p>
        </w:tc>
        <w:tc>
          <w:tcPr>
            <w:tcW w:w="340" w:type="dxa"/>
            <w:vAlign w:val="bottom"/>
            <w:gridSpan w:val="8"/>
          </w:tcPr>
          <w:p>
            <w:pPr>
              <w:spacing w:after="0" w:line="119" w:lineRule="exact"/>
              <w:rPr>
                <w:rFonts w:ascii="Arial" w:cs="Arial" w:eastAsia="Arial" w:hAnsi="Arial"/>
                <w:sz w:val="13"/>
                <w:szCs w:val="13"/>
                <w:color w:val="0000FF"/>
              </w:rPr>
            </w:pPr>
            <w:hyperlink w:anchor="page103">
              <w:r>
                <w:rPr>
                  <w:rFonts w:ascii="Arial" w:cs="Arial" w:eastAsia="Arial" w:hAnsi="Arial"/>
                  <w:sz w:val="13"/>
                  <w:szCs w:val="13"/>
                  <w:color w:val="0000FF"/>
                </w:rPr>
                <w:t>of</w:t>
              </w:r>
            </w:hyperlink>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0000FF"/>
            </w:tcBorders>
            <w:gridSpan w:val="2"/>
          </w:tcPr>
          <w:p>
            <w:pPr>
              <w:spacing w:after="0" w:line="112" w:lineRule="exact"/>
              <w:rPr>
                <w:rFonts w:ascii="Arial" w:cs="Arial" w:eastAsia="Arial" w:hAnsi="Arial"/>
                <w:sz w:val="12"/>
                <w:szCs w:val="12"/>
                <w:color w:val="0000FF"/>
              </w:rPr>
            </w:pPr>
            <w:hyperlink w:anchor="page103">
              <w:r>
                <w:rPr>
                  <w:rFonts w:ascii="Arial" w:cs="Arial" w:eastAsia="Arial" w:hAnsi="Arial"/>
                  <w:sz w:val="12"/>
                  <w:szCs w:val="12"/>
                  <w:color w:val="0000FF"/>
                </w:rPr>
                <w:t>2002.</w:t>
              </w:r>
            </w:hyperlink>
          </w:p>
        </w:tc>
        <w:tc>
          <w:tcPr>
            <w:tcW w:w="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5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540" w:type="dxa"/>
            <w:vAlign w:val="bottom"/>
            <w:tcBorders>
              <w:bottom w:val="single" w:sz="8" w:color="0000FF"/>
            </w:tcBorders>
            <w:gridSpan w:val="20"/>
          </w:tcPr>
          <w:p>
            <w:pPr>
              <w:spacing w:after="0"/>
              <w:rPr>
                <w:rFonts w:ascii="Arial" w:cs="Arial" w:eastAsia="Arial" w:hAnsi="Arial"/>
                <w:sz w:val="14"/>
                <w:szCs w:val="14"/>
                <w:color w:val="0000FF"/>
                <w:w w:val="93"/>
              </w:rPr>
            </w:pPr>
            <w:hyperlink w:anchor="page104">
              <w:r>
                <w:rPr>
                  <w:rFonts w:ascii="Arial" w:cs="Arial" w:eastAsia="Arial" w:hAnsi="Arial"/>
                  <w:sz w:val="14"/>
                  <w:szCs w:val="14"/>
                  <w:color w:val="0000FF"/>
                  <w:w w:val="93"/>
                </w:rPr>
                <w:t>Certifications of Chief Executive Officer and Chief Financial Officer pursuant to</w:t>
              </w:r>
            </w:hyperlink>
          </w:p>
        </w:tc>
        <w:tc>
          <w:tcPr>
            <w:tcW w:w="1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gridSpan w:val="22"/>
          </w:tcPr>
          <w:p>
            <w:pPr>
              <w:spacing w:after="0" w:line="112" w:lineRule="exact"/>
              <w:rPr>
                <w:rFonts w:ascii="Arial" w:cs="Arial" w:eastAsia="Arial" w:hAnsi="Arial"/>
                <w:sz w:val="12"/>
                <w:szCs w:val="12"/>
                <w:color w:val="0000FF"/>
              </w:rPr>
            </w:pPr>
            <w:hyperlink w:anchor="page104">
              <w:r>
                <w:rPr>
                  <w:rFonts w:ascii="Arial" w:cs="Arial" w:eastAsia="Arial" w:hAnsi="Arial"/>
                  <w:sz w:val="12"/>
                  <w:szCs w:val="12"/>
                  <w:color w:val="0000FF"/>
                </w:rPr>
                <w:t>18 U.S.C. Section 1350, as adopted pursuant to Section 906 of the Sarbanes-Oxley Act</w:t>
              </w:r>
            </w:hyperlink>
          </w:p>
        </w:tc>
        <w:tc>
          <w:tcPr>
            <w:tcW w:w="14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3"/>
          </w:tcPr>
          <w:p>
            <w:pPr>
              <w:spacing w:after="0" w:line="112" w:lineRule="exact"/>
              <w:rPr>
                <w:rFonts w:ascii="Arial" w:cs="Arial" w:eastAsia="Arial" w:hAnsi="Arial"/>
                <w:sz w:val="12"/>
                <w:szCs w:val="12"/>
                <w:color w:val="0000FF"/>
              </w:rPr>
            </w:pPr>
            <w:hyperlink w:anchor="page104">
              <w:r>
                <w:rPr>
                  <w:rFonts w:ascii="Arial" w:cs="Arial" w:eastAsia="Arial" w:hAnsi="Arial"/>
                  <w:sz w:val="12"/>
                  <w:szCs w:val="12"/>
                  <w:color w:val="0000FF"/>
                </w:rPr>
                <w:t>of 2002.</w:t>
              </w:r>
            </w:hyperlink>
          </w:p>
        </w:tc>
        <w:tc>
          <w:tcPr>
            <w:tcW w:w="4400" w:type="dxa"/>
            <w:vAlign w:val="bottom"/>
            <w:tcBorders>
              <w:top w:val="single" w:sz="8" w:color="0000FF"/>
            </w:tcBorders>
            <w:gridSpan w:val="18"/>
          </w:tcPr>
          <w:p>
            <w:pPr>
              <w:spacing w:after="0"/>
              <w:rPr>
                <w:sz w:val="9"/>
                <w:szCs w:val="9"/>
                <w:color w:val="auto"/>
              </w:rPr>
            </w:pPr>
          </w:p>
        </w:tc>
        <w:tc>
          <w:tcPr>
            <w:tcW w:w="20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960" w:type="dxa"/>
            <w:vAlign w:val="bottom"/>
          </w:tcPr>
          <w:p>
            <w:pPr>
              <w:jc w:val="right"/>
              <w:spacing w:after="0"/>
              <w:rPr>
                <w:sz w:val="20"/>
                <w:szCs w:val="20"/>
                <w:color w:val="auto"/>
              </w:rPr>
            </w:pPr>
            <w:r>
              <w:rPr>
                <w:rFonts w:ascii="Arial" w:cs="Arial" w:eastAsia="Arial" w:hAnsi="Arial"/>
                <w:sz w:val="14"/>
                <w:szCs w:val="14"/>
                <w:color w:val="auto"/>
              </w:rPr>
              <w:t>101.INS</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Instance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Arial" w:cs="Arial" w:eastAsia="Arial" w:hAnsi="Arial"/>
                <w:sz w:val="14"/>
                <w:szCs w:val="14"/>
                <w:color w:val="auto"/>
              </w:rPr>
              <w:t>101.SCH</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Taxonomy Extension Schema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Arial" w:cs="Arial" w:eastAsia="Arial" w:hAnsi="Arial"/>
                <w:sz w:val="14"/>
                <w:szCs w:val="14"/>
                <w:color w:val="auto"/>
              </w:rPr>
              <w:t>101.CAL</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Arial" w:cs="Arial" w:eastAsia="Arial" w:hAnsi="Arial"/>
                <w:sz w:val="14"/>
                <w:szCs w:val="14"/>
                <w:color w:val="auto"/>
              </w:rPr>
              <w:t>101.DEF</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Arial" w:cs="Arial" w:eastAsia="Arial" w:hAnsi="Arial"/>
                <w:sz w:val="14"/>
                <w:szCs w:val="14"/>
                <w:color w:val="auto"/>
              </w:rPr>
              <w:t>101.LAB</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Taxonomy Extension Label Linkbase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Arial" w:cs="Arial" w:eastAsia="Arial" w:hAnsi="Arial"/>
                <w:sz w:val="14"/>
                <w:szCs w:val="14"/>
                <w:color w:val="auto"/>
              </w:rPr>
              <w:t>101.PRE</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22"/>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104</w:t>
            </w:r>
          </w:p>
        </w:tc>
        <w:tc>
          <w:tcPr>
            <w:tcW w:w="64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80" w:type="dxa"/>
            <w:vAlign w:val="bottom"/>
            <w:gridSpan w:val="22"/>
          </w:tcPr>
          <w:p>
            <w:pPr>
              <w:spacing w:after="0" w:line="143" w:lineRule="exact"/>
              <w:rPr>
                <w:sz w:val="20"/>
                <w:szCs w:val="20"/>
                <w:color w:val="auto"/>
              </w:rPr>
            </w:pPr>
            <w:r>
              <w:rPr>
                <w:rFonts w:ascii="Arial" w:cs="Arial" w:eastAsia="Arial" w:hAnsi="Arial"/>
                <w:sz w:val="14"/>
                <w:szCs w:val="14"/>
                <w:color w:val="auto"/>
                <w:w w:val="98"/>
              </w:rPr>
              <w:t>Cover Page Interactive Data File (formatted as Inline XBRL and contained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gridSpan w:val="24"/>
          </w:tcPr>
          <w:p>
            <w:pPr>
              <w:spacing w:after="0"/>
              <w:rPr>
                <w:sz w:val="20"/>
                <w:szCs w:val="20"/>
                <w:color w:val="auto"/>
              </w:rPr>
            </w:pPr>
            <w:r>
              <w:rPr>
                <w:rFonts w:ascii="Arial" w:cs="Arial" w:eastAsia="Arial" w:hAnsi="Arial"/>
                <w:sz w:val="14"/>
                <w:szCs w:val="14"/>
                <w:color w:val="auto"/>
              </w:rPr>
              <w:t>Exhibit 101)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400" w:right="140" w:firstLine="400"/>
        <w:spacing w:after="0" w:line="248" w:lineRule="auto"/>
        <w:tabs>
          <w:tab w:leader="none" w:pos="205" w:val="left"/>
        </w:tabs>
        <w:numPr>
          <w:ilvl w:val="0"/>
          <w:numId w:val="35"/>
        </w:numPr>
        <w:rPr>
          <w:rFonts w:ascii="Arial" w:cs="Arial" w:eastAsia="Arial" w:hAnsi="Arial"/>
          <w:sz w:val="14"/>
          <w:szCs w:val="14"/>
          <w:color w:val="auto"/>
        </w:rPr>
      </w:pPr>
      <w:r>
        <w:rPr>
          <w:rFonts w:ascii="Arial" w:cs="Arial" w:eastAsia="Arial" w:hAnsi="Arial"/>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8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102" w:lineRule="exact"/>
        <w:rPr>
          <w:sz w:val="20"/>
          <w:szCs w:val="20"/>
          <w:color w:val="auto"/>
        </w:rPr>
      </w:pPr>
    </w:p>
    <w:p>
      <w:pPr>
        <w:ind w:left="-400" w:right="240" w:firstLine="400"/>
        <w:spacing w:after="0" w:line="262" w:lineRule="auto"/>
        <w:tabs>
          <w:tab w:leader="none" w:pos="203"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7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1041400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720" w:top="127" w:right="239" w:bottom="1440" w:gutter="0" w:footer="0" w:header="0"/>
        </w:sectPr>
      </w:pPr>
    </w:p>
    <w:bookmarkStart w:id="98" w:name="page99"/>
    <w:bookmarkEnd w:id="98"/>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SHUTTERSTOCK, INC.</w:t>
      </w:r>
    </w:p>
    <w:p>
      <w:pPr>
        <w:spacing w:after="0" w:line="31" w:lineRule="exact"/>
        <w:rPr>
          <w:sz w:val="20"/>
          <w:szCs w:val="20"/>
          <w:color w:val="auto"/>
        </w:rPr>
      </w:pPr>
    </w:p>
    <w:p>
      <w:pPr>
        <w:ind w:left="420"/>
        <w:spacing w:after="0"/>
        <w:tabs>
          <w:tab w:leader="none" w:pos="5380" w:val="left"/>
          <w:tab w:leader="none" w:pos="8000" w:val="left"/>
        </w:tabs>
        <w:rPr>
          <w:sz w:val="20"/>
          <w:szCs w:val="20"/>
          <w:color w:val="auto"/>
        </w:rPr>
      </w:pPr>
      <w:r>
        <w:rPr>
          <w:rFonts w:ascii="Arial" w:cs="Arial" w:eastAsia="Arial" w:hAnsi="Arial"/>
          <w:sz w:val="16"/>
          <w:szCs w:val="16"/>
          <w:color w:val="auto"/>
        </w:rPr>
        <w:t>Dated: February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3337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333750" cy="8255"/>
                    </a:xfrm>
                    <a:prstGeom prst="rect">
                      <a:avLst/>
                    </a:prstGeom>
                    <a:noFill/>
                  </pic:spPr>
                </pic:pic>
              </a:graphicData>
            </a:graphic>
          </wp:anchor>
        </w:drawing>
      </w:r>
    </w:p>
    <w:p>
      <w:pPr>
        <w:spacing w:after="0" w:line="8" w:lineRule="exact"/>
        <w:rPr>
          <w:sz w:val="20"/>
          <w:szCs w:val="20"/>
          <w:color w:val="auto"/>
        </w:rPr>
      </w:pPr>
    </w:p>
    <w:p>
      <w:pPr>
        <w:jc w:val="center"/>
        <w:ind w:left="6320"/>
        <w:spacing w:after="0"/>
        <w:rPr>
          <w:sz w:val="20"/>
          <w:szCs w:val="20"/>
          <w:color w:val="auto"/>
        </w:rPr>
      </w:pPr>
      <w:r>
        <w:rPr>
          <w:rFonts w:ascii="Arial" w:cs="Arial" w:eastAsia="Arial" w:hAnsi="Arial"/>
          <w:sz w:val="16"/>
          <w:szCs w:val="16"/>
          <w:color w:val="auto"/>
        </w:rPr>
        <w:t>Stan Pavlovsky</w:t>
      </w:r>
    </w:p>
    <w:p>
      <w:pPr>
        <w:jc w:val="center"/>
        <w:ind w:left="6320"/>
        <w:spacing w:after="0"/>
        <w:rPr>
          <w:sz w:val="20"/>
          <w:szCs w:val="20"/>
          <w:color w:val="auto"/>
        </w:rPr>
      </w:pPr>
      <w:r>
        <w:rPr>
          <w:rFonts w:ascii="Arial" w:cs="Arial" w:eastAsia="Arial" w:hAnsi="Arial"/>
          <w:sz w:val="16"/>
          <w:szCs w:val="16"/>
          <w:i w:val="1"/>
          <w:iCs w:val="1"/>
          <w:color w:val="auto"/>
        </w:rPr>
        <w:t>Chief Executive Officer</w:t>
      </w:r>
    </w:p>
    <w:p>
      <w:pPr>
        <w:spacing w:after="0" w:line="22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Each person whose individual signature appears below hereby authorizes and appoints Stan Pavlovsky and Jarrod Yahes,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27"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tbl>
      <w:tblPr>
        <w:tblLayout w:type="fixed"/>
        <w:tblInd w:w="0" w:type="dxa"/>
        <w:tblCellMar>
          <w:top w:w="0" w:type="dxa"/>
          <w:left w:w="0" w:type="dxa"/>
          <w:bottom w:w="0" w:type="dxa"/>
          <w:right w:w="0" w:type="dxa"/>
        </w:tblCellMar>
      </w:tblPr>
      <w:tr>
        <w:trPr>
          <w:trHeight w:val="154"/>
        </w:trPr>
        <w:tc>
          <w:tcPr>
            <w:tcW w:w="1480" w:type="dxa"/>
            <w:vAlign w:val="bottom"/>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Signature</w:t>
            </w:r>
          </w:p>
        </w:tc>
        <w:tc>
          <w:tcPr>
            <w:tcW w:w="10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Title</w:t>
            </w:r>
          </w:p>
        </w:tc>
        <w:tc>
          <w:tcPr>
            <w:tcW w:w="1360" w:type="dxa"/>
            <w:vAlign w:val="bottom"/>
          </w:tcPr>
          <w:p>
            <w:pPr>
              <w:spacing w:after="0"/>
              <w:rPr>
                <w:sz w:val="13"/>
                <w:szCs w:val="13"/>
                <w:color w:val="auto"/>
              </w:rPr>
            </w:pPr>
          </w:p>
        </w:tc>
        <w:tc>
          <w:tcPr>
            <w:tcW w:w="72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7"/>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4"/>
              </w:rPr>
              <w:t>/s/ JONATHAN ORINGER</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Founder and Executive Chairman of the Board</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87"/>
              </w:rPr>
              <w:t>Jonathan Oringer</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4"/>
              </w:rPr>
              <w:t>/s/ STAN PAVLOVSKY</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Chief Executive Officer and Director (Principal Executive Officer)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41"/>
              <w:spacing w:after="0"/>
              <w:rPr>
                <w:sz w:val="20"/>
                <w:szCs w:val="20"/>
                <w:color w:val="auto"/>
              </w:rPr>
            </w:pPr>
            <w:r>
              <w:rPr>
                <w:rFonts w:ascii="Arial" w:cs="Arial" w:eastAsia="Arial" w:hAnsi="Arial"/>
                <w:sz w:val="16"/>
                <w:szCs w:val="16"/>
                <w:color w:val="auto"/>
                <w:w w:val="89"/>
              </w:rPr>
              <w:t>Stan Pavlovsky</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3"/>
              </w:rPr>
              <w:t>/s/ JARROD YAHES</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Chief Financial Officer (Principal Financial Officer)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84"/>
              </w:rPr>
              <w:t>Jarrod Yahes</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6"/>
                <w:szCs w:val="16"/>
                <w:color w:val="auto"/>
                <w:w w:val="96"/>
              </w:rPr>
              <w:t>/s/ STEVEN CIARDIELLO</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Chief Accounting Officer (Principal Accounting Officer)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41"/>
              <w:spacing w:after="0"/>
              <w:rPr>
                <w:sz w:val="20"/>
                <w:szCs w:val="20"/>
                <w:color w:val="auto"/>
              </w:rPr>
            </w:pPr>
            <w:r>
              <w:rPr>
                <w:rFonts w:ascii="Arial" w:cs="Arial" w:eastAsia="Arial" w:hAnsi="Arial"/>
                <w:sz w:val="16"/>
                <w:szCs w:val="16"/>
                <w:color w:val="auto"/>
                <w:w w:val="90"/>
              </w:rPr>
              <w:t>Steven Ciardiello</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6"/>
              </w:rPr>
              <w:t>/s/ RACHNA BHASIN</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88"/>
              </w:rPr>
              <w:t>Rachna Bhasin</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6"/>
              </w:rPr>
              <w:t>/s/ DEIRDRE M. BIGLEY</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94"/>
              </w:rPr>
              <w:t>Deirdre M. Bigley</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6"/>
                <w:szCs w:val="16"/>
                <w:color w:val="auto"/>
                <w:w w:val="93"/>
              </w:rPr>
              <w:t>/s/ THOMAS R. EVANS</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88"/>
              </w:rPr>
              <w:t>Thomas R. Evans</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2"/>
              </w:rPr>
              <w:t>/s/ PAUL J. HENNESSY</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21"/>
              <w:spacing w:after="0"/>
              <w:rPr>
                <w:sz w:val="20"/>
                <w:szCs w:val="20"/>
                <w:color w:val="auto"/>
              </w:rPr>
            </w:pPr>
            <w:r>
              <w:rPr>
                <w:rFonts w:ascii="Arial" w:cs="Arial" w:eastAsia="Arial" w:hAnsi="Arial"/>
                <w:sz w:val="16"/>
                <w:szCs w:val="16"/>
                <w:color w:val="auto"/>
                <w:w w:val="86"/>
              </w:rPr>
              <w:t>Paul J. Hennessy</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31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color w:val="auto"/>
                <w:w w:val="93"/>
              </w:rPr>
              <w:t>/s/ ALFONSE UPSHAW</w:t>
            </w:r>
          </w:p>
        </w:tc>
        <w:tc>
          <w:tcPr>
            <w:tcW w:w="598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c>
          <w:tcPr>
            <w:tcW w:w="2080" w:type="dxa"/>
            <w:vAlign w:val="bottom"/>
            <w:gridSpan w:val="3"/>
          </w:tcPr>
          <w:p>
            <w:pPr>
              <w:jc w:val="center"/>
              <w:ind w:left="841"/>
              <w:spacing w:after="0"/>
              <w:rPr>
                <w:sz w:val="20"/>
                <w:szCs w:val="20"/>
                <w:color w:val="auto"/>
              </w:rPr>
            </w:pPr>
            <w:r>
              <w:rPr>
                <w:rFonts w:ascii="Arial" w:cs="Arial" w:eastAsia="Arial" w:hAnsi="Arial"/>
                <w:sz w:val="16"/>
                <w:szCs w:val="16"/>
                <w:color w:val="auto"/>
                <w:w w:val="88"/>
              </w:rPr>
              <w:t>February 10, 2022</w:t>
            </w:r>
          </w:p>
        </w:tc>
      </w:tr>
      <w:tr>
        <w:trPr>
          <w:trHeight w:val="200"/>
        </w:trPr>
        <w:tc>
          <w:tcPr>
            <w:tcW w:w="3120" w:type="dxa"/>
            <w:vAlign w:val="bottom"/>
            <w:gridSpan w:val="3"/>
          </w:tcPr>
          <w:p>
            <w:pPr>
              <w:jc w:val="center"/>
              <w:ind w:left="341"/>
              <w:spacing w:after="0"/>
              <w:rPr>
                <w:sz w:val="20"/>
                <w:szCs w:val="20"/>
                <w:color w:val="auto"/>
              </w:rPr>
            </w:pPr>
            <w:r>
              <w:rPr>
                <w:rFonts w:ascii="Arial" w:cs="Arial" w:eastAsia="Arial" w:hAnsi="Arial"/>
                <w:sz w:val="16"/>
                <w:szCs w:val="16"/>
                <w:color w:val="auto"/>
                <w:w w:val="91"/>
              </w:rPr>
              <w:t>Alfonse Upshaw</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1240"/>
          </w:cols>
          <w:pgMar w:left="320" w:top="127" w:right="339" w:bottom="1440" w:gutter="0" w:footer="0" w:header="0"/>
        </w:sectPr>
      </w:pPr>
    </w:p>
    <w:bookmarkStart w:id="99" w:name="page100"/>
    <w:bookmarkEnd w:id="99"/>
    <w:p>
      <w:pPr>
        <w:ind w:left="10380"/>
        <w:spacing w:after="0"/>
        <w:rPr>
          <w:sz w:val="20"/>
          <w:szCs w:val="20"/>
          <w:color w:val="auto"/>
        </w:rPr>
      </w:pPr>
      <w:r>
        <w:rPr>
          <w:rFonts w:ascii="Arial" w:cs="Arial" w:eastAsia="Arial" w:hAnsi="Arial"/>
          <w:sz w:val="15"/>
          <w:szCs w:val="15"/>
          <w:b w:val="1"/>
          <w:bCs w:val="1"/>
          <w:color w:val="auto"/>
        </w:rPr>
        <w:t>Exhibit 21.1</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40" w:type="dxa"/>
            <w:vAlign w:val="bottom"/>
            <w:gridSpan w:val="3"/>
          </w:tcPr>
          <w:p>
            <w:pPr>
              <w:ind w:left="700"/>
              <w:spacing w:after="0"/>
              <w:rPr>
                <w:sz w:val="20"/>
                <w:szCs w:val="20"/>
                <w:color w:val="auto"/>
              </w:rPr>
            </w:pPr>
            <w:r>
              <w:rPr>
                <w:rFonts w:ascii="Arial" w:cs="Arial" w:eastAsia="Arial" w:hAnsi="Arial"/>
                <w:sz w:val="16"/>
                <w:szCs w:val="16"/>
                <w:b w:val="1"/>
                <w:bCs w:val="1"/>
                <w:color w:val="auto"/>
              </w:rPr>
              <w:t>LIST OF SUBSIDIARIES</w:t>
            </w:r>
            <w:r>
              <w:rPr>
                <w:rFonts w:ascii="Arial" w:cs="Arial" w:eastAsia="Arial" w:hAnsi="Arial"/>
                <w:sz w:val="20"/>
                <w:szCs w:val="20"/>
                <w:b w:val="1"/>
                <w:bCs w:val="1"/>
                <w:color w:val="auto"/>
                <w:vertAlign w:val="superscript"/>
              </w:rPr>
              <w:t>(1)</w:t>
            </w:r>
          </w:p>
        </w:tc>
      </w:tr>
      <w:tr>
        <w:trPr>
          <w:trHeight w:val="154"/>
        </w:trPr>
        <w:tc>
          <w:tcPr>
            <w:tcW w:w="20" w:type="dxa"/>
            <w:vAlign w:val="bottom"/>
          </w:tcPr>
          <w:p>
            <w:pPr>
              <w:spacing w:after="0"/>
              <w:rPr>
                <w:sz w:val="13"/>
                <w:szCs w:val="13"/>
                <w:color w:val="auto"/>
              </w:rPr>
            </w:pPr>
          </w:p>
        </w:tc>
        <w:tc>
          <w:tcPr>
            <w:tcW w:w="394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Name of Subsidiary</w:t>
            </w:r>
          </w:p>
        </w:tc>
        <w:tc>
          <w:tcPr>
            <w:tcW w:w="7240" w:type="dxa"/>
            <w:vAlign w:val="bottom"/>
            <w:gridSpan w:val="3"/>
          </w:tcPr>
          <w:p>
            <w:pPr>
              <w:ind w:left="5100"/>
              <w:spacing w:after="0" w:line="154" w:lineRule="exact"/>
              <w:rPr>
                <w:sz w:val="20"/>
                <w:szCs w:val="20"/>
                <w:color w:val="auto"/>
              </w:rPr>
            </w:pPr>
            <w:r>
              <w:rPr>
                <w:rFonts w:ascii="Arial" w:cs="Arial" w:eastAsia="Arial" w:hAnsi="Arial"/>
                <w:sz w:val="14"/>
                <w:szCs w:val="14"/>
                <w:b w:val="1"/>
                <w:bCs w:val="1"/>
                <w:color w:val="auto"/>
              </w:rPr>
              <w:t>Jurisdiction</w:t>
            </w:r>
          </w:p>
        </w:tc>
      </w:tr>
      <w:tr>
        <w:trPr>
          <w:trHeight w:val="30"/>
        </w:trPr>
        <w:tc>
          <w:tcPr>
            <w:tcW w:w="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Images C.V.</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The Netherlands</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Netherlands B.V.</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The Netherlands</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GmbH</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Germany</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(UK)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United Kingdom</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International Services EMEA Ltd.</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United Kingdom</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Rex Features (Holdings)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United Kingdom</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Rex Features Ltd.</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United Kingdom</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(France) SAS</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France</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Hong Kong Ltd.</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Hong Kong</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Ireland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Ireland</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Italy Srl</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Italy</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Japan GK</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Japan</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Brazil Servicos de Imagem Ltda.</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Brazil</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Canada ULC</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Canada</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Australia</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Australia</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Korea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Korea</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Singapore Pte. Ltd.</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Singapore</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International Services APAC PTE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Singapore</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 Romania Srl</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Romania</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 Studios, LLC</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New York, US</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Shutterstock.AI, Inc.</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New York, US</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Shutterstock.AI International Ltd.</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United Kingdom</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Datasine Limited</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United Kingdom</w:t>
            </w:r>
          </w:p>
        </w:tc>
      </w:t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Pattern89, Inc.</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Indiana, US</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TurboSquid, Inc.</w:t>
            </w:r>
          </w:p>
        </w:tc>
        <w:tc>
          <w:tcPr>
            <w:tcW w:w="7240" w:type="dxa"/>
            <w:vAlign w:val="bottom"/>
            <w:gridSpan w:val="3"/>
            <w:shd w:val="clear" w:color="auto" w:fill="CCEEFF"/>
          </w:tcPr>
          <w:p>
            <w:pPr>
              <w:ind w:left="5100"/>
              <w:spacing w:after="0"/>
              <w:rPr>
                <w:sz w:val="20"/>
                <w:szCs w:val="20"/>
                <w:color w:val="auto"/>
              </w:rPr>
            </w:pPr>
            <w:r>
              <w:rPr>
                <w:rFonts w:ascii="Arial" w:cs="Arial" w:eastAsia="Arial" w:hAnsi="Arial"/>
                <w:sz w:val="16"/>
                <w:szCs w:val="16"/>
                <w:color w:val="auto"/>
              </w:rPr>
              <w:t>Louisiana, US</w:t>
            </w:r>
          </w:p>
        </w:tc>
      </w:tr>
      <w:tr>
        <w:trPr>
          <w:trHeight w:val="204"/>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General Purpose LLC</w:t>
            </w:r>
          </w:p>
        </w:tc>
        <w:tc>
          <w:tcPr>
            <w:tcW w:w="7240" w:type="dxa"/>
            <w:vAlign w:val="bottom"/>
            <w:gridSpan w:val="3"/>
          </w:tcPr>
          <w:p>
            <w:pPr>
              <w:ind w:left="5100"/>
              <w:spacing w:after="0"/>
              <w:rPr>
                <w:sz w:val="20"/>
                <w:szCs w:val="20"/>
                <w:color w:val="auto"/>
              </w:rPr>
            </w:pPr>
            <w:r>
              <w:rPr>
                <w:rFonts w:ascii="Arial" w:cs="Arial" w:eastAsia="Arial" w:hAnsi="Arial"/>
                <w:sz w:val="16"/>
                <w:szCs w:val="16"/>
                <w:color w:val="auto"/>
              </w:rPr>
              <w:t>New York,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549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7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Certain other subsidiaries of Shutterstock, Inc. have been omitted because, in the aggregate, they would not constitute a significant subsidiary.</w:t>
      </w:r>
    </w:p>
    <w:p>
      <w:pPr>
        <w:sectPr>
          <w:pgSz w:w="11900" w:h="16838" w:orient="portrait"/>
          <w:cols w:equalWidth="0" w:num="1">
            <w:col w:w="11220"/>
          </w:cols>
          <w:pgMar w:left="320" w:top="876"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6"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333-184371, 333-184544 and 333-202395) and Form S-3 (No. 333-243706) of Shutterstock, Inc. of our report dated February 10, 2022 relating to the financial statements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ectPr>
          <w:pgSz w:w="11900" w:h="16838" w:orient="portrait"/>
          <w:cols w:equalWidth="0" w:num="1">
            <w:col w:w="11240"/>
          </w:cols>
          <w:pgMar w:left="320" w:top="871" w:right="339" w:bottom="1440" w:gutter="0" w:footer="0" w:header="0"/>
        </w:sectPr>
      </w:pPr>
    </w:p>
    <w:bookmarkStart w:id="101" w:name="page102"/>
    <w:bookmarkEnd w:id="101"/>
    <w:p>
      <w:pPr>
        <w:ind w:left="10480"/>
        <w:spacing w:after="0"/>
        <w:rPr>
          <w:sz w:val="20"/>
          <w:szCs w:val="20"/>
          <w:color w:val="auto"/>
        </w:rPr>
      </w:pPr>
      <w:r>
        <w:rPr>
          <w:rFonts w:ascii="Arial" w:cs="Arial" w:eastAsia="Arial" w:hAnsi="Arial"/>
          <w:sz w:val="15"/>
          <w:szCs w:val="15"/>
          <w:b w:val="1"/>
          <w:bCs w:val="1"/>
          <w:color w:val="auto"/>
        </w:rPr>
        <w:t>Exhibit 31.1</w:t>
      </w:r>
    </w:p>
    <w:p>
      <w:pPr>
        <w:spacing w:after="0" w:line="249" w:lineRule="exact"/>
        <w:rPr>
          <w:sz w:val="20"/>
          <w:szCs w:val="20"/>
          <w:color w:val="auto"/>
        </w:rPr>
      </w:pPr>
    </w:p>
    <w:p>
      <w:pPr>
        <w:jc w:val="center"/>
        <w:ind w:left="360" w:right="2320"/>
        <w:spacing w:after="0" w:line="25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 Stan Pavlovsky, certify that:</w:t>
      </w:r>
    </w:p>
    <w:p>
      <w:pPr>
        <w:spacing w:after="0" w:line="237" w:lineRule="exact"/>
        <w:rPr>
          <w:sz w:val="20"/>
          <w:szCs w:val="20"/>
          <w:color w:val="auto"/>
        </w:rPr>
      </w:pPr>
    </w:p>
    <w:p>
      <w:pPr>
        <w:ind w:left="380" w:hanging="275"/>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237" w:lineRule="exact"/>
        <w:rPr>
          <w:rFonts w:ascii="Arial" w:cs="Arial" w:eastAsia="Arial" w:hAnsi="Arial"/>
          <w:sz w:val="16"/>
          <w:szCs w:val="16"/>
          <w:color w:val="auto"/>
        </w:rPr>
      </w:pPr>
    </w:p>
    <w:p>
      <w:pPr>
        <w:ind w:left="500" w:right="140" w:hanging="395"/>
        <w:spacing w:after="0" w:line="295" w:lineRule="auto"/>
        <w:tabs>
          <w:tab w:leader="none" w:pos="38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5"/>
          <w:szCs w:val="15"/>
          <w:color w:val="auto"/>
        </w:rPr>
      </w:pPr>
    </w:p>
    <w:p>
      <w:pPr>
        <w:ind w:left="500" w:hanging="395"/>
        <w:spacing w:after="0" w:line="262" w:lineRule="auto"/>
        <w:tabs>
          <w:tab w:leader="none" w:pos="3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6"/>
          <w:szCs w:val="16"/>
          <w:color w:val="auto"/>
        </w:rPr>
      </w:pPr>
    </w:p>
    <w:p>
      <w:pPr>
        <w:ind w:left="500" w:right="100" w:hanging="395"/>
        <w:spacing w:after="0" w:line="333" w:lineRule="auto"/>
        <w:tabs>
          <w:tab w:leader="none" w:pos="379"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3" w:lineRule="exact"/>
        <w:rPr>
          <w:rFonts w:ascii="Arial" w:cs="Arial" w:eastAsia="Arial" w:hAnsi="Arial"/>
          <w:sz w:val="14"/>
          <w:szCs w:val="14"/>
          <w:color w:val="auto"/>
        </w:rPr>
      </w:pPr>
    </w:p>
    <w:p>
      <w:pPr>
        <w:jc w:val="both"/>
        <w:ind w:left="900" w:right="200" w:hanging="400"/>
        <w:spacing w:after="0" w:line="251" w:lineRule="auto"/>
        <w:tabs>
          <w:tab w:leader="none" w:pos="8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6"/>
          <w:szCs w:val="16"/>
          <w:color w:val="auto"/>
        </w:rPr>
      </w:pPr>
    </w:p>
    <w:p>
      <w:pPr>
        <w:ind w:left="900" w:right="220" w:hanging="400"/>
        <w:spacing w:after="0" w:line="251"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ind w:left="900" w:right="660" w:hanging="400"/>
        <w:spacing w:after="0" w:line="262" w:lineRule="auto"/>
        <w:tabs>
          <w:tab w:leader="none" w:pos="8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6"/>
          <w:szCs w:val="16"/>
          <w:color w:val="auto"/>
        </w:rPr>
      </w:pPr>
    </w:p>
    <w:p>
      <w:pPr>
        <w:ind w:left="900" w:right="300" w:hanging="400"/>
        <w:spacing w:after="0" w:line="251"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16"/>
          <w:szCs w:val="16"/>
          <w:color w:val="auto"/>
        </w:rPr>
      </w:pPr>
    </w:p>
    <w:p>
      <w:pPr>
        <w:ind w:left="500" w:right="200" w:hanging="395"/>
        <w:spacing w:after="0" w:line="262" w:lineRule="auto"/>
        <w:tabs>
          <w:tab w:leader="none" w:pos="37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6" w:lineRule="exact"/>
        <w:rPr>
          <w:rFonts w:ascii="Arial" w:cs="Arial" w:eastAsia="Arial" w:hAnsi="Arial"/>
          <w:sz w:val="16"/>
          <w:szCs w:val="16"/>
          <w:color w:val="auto"/>
        </w:rPr>
      </w:pPr>
    </w:p>
    <w:p>
      <w:pPr>
        <w:ind w:left="900" w:right="180" w:hanging="400"/>
        <w:spacing w:after="0" w:line="262" w:lineRule="auto"/>
        <w:tabs>
          <w:tab w:leader="none" w:pos="8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6"/>
          <w:szCs w:val="16"/>
          <w:color w:val="auto"/>
        </w:rPr>
      </w:pPr>
    </w:p>
    <w:p>
      <w:pPr>
        <w:ind w:left="900" w:right="440" w:hanging="400"/>
        <w:spacing w:after="0" w:line="26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6" w:lineRule="exact"/>
        <w:rPr>
          <w:sz w:val="20"/>
          <w:szCs w:val="20"/>
          <w:color w:val="auto"/>
        </w:rPr>
      </w:pPr>
    </w:p>
    <w:p>
      <w:pPr>
        <w:spacing w:after="0"/>
        <w:tabs>
          <w:tab w:leader="none" w:pos="5160" w:val="left"/>
          <w:tab w:leader="none" w:pos="5580" w:val="left"/>
        </w:tabs>
        <w:rPr>
          <w:sz w:val="20"/>
          <w:szCs w:val="20"/>
          <w:color w:val="auto"/>
        </w:rPr>
      </w:pPr>
      <w:r>
        <w:rPr>
          <w:rFonts w:ascii="Arial" w:cs="Arial" w:eastAsia="Arial" w:hAnsi="Arial"/>
          <w:sz w:val="16"/>
          <w:szCs w:val="16"/>
          <w:color w:val="auto"/>
        </w:rPr>
        <w:t>e: February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14605</wp:posOffset>
            </wp:positionV>
            <wp:extent cx="3141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Stan Pavlovsky</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320"/>
          </w:cols>
          <w:pgMar w:left="220" w:top="876" w:right="359" w:bottom="1440" w:gutter="0" w:footer="0" w:header="0"/>
        </w:sectPr>
      </w:pPr>
    </w:p>
    <w:bookmarkStart w:id="102" w:name="page103"/>
    <w:bookmarkEnd w:id="102"/>
    <w:p>
      <w:pPr>
        <w:ind w:left="10380"/>
        <w:spacing w:after="0"/>
        <w:rPr>
          <w:sz w:val="20"/>
          <w:szCs w:val="20"/>
          <w:color w:val="auto"/>
        </w:rPr>
      </w:pPr>
      <w:r>
        <w:rPr>
          <w:rFonts w:ascii="Arial" w:cs="Arial" w:eastAsia="Arial" w:hAnsi="Arial"/>
          <w:sz w:val="15"/>
          <w:szCs w:val="15"/>
          <w:b w:val="1"/>
          <w:bCs w:val="1"/>
          <w:color w:val="auto"/>
        </w:rPr>
        <w:t>Exhibit 31.2</w:t>
      </w:r>
    </w:p>
    <w:p>
      <w:pPr>
        <w:spacing w:after="0" w:line="249" w:lineRule="exact"/>
        <w:rPr>
          <w:sz w:val="20"/>
          <w:szCs w:val="20"/>
          <w:color w:val="auto"/>
        </w:rPr>
      </w:pPr>
    </w:p>
    <w:p>
      <w:pPr>
        <w:jc w:val="center"/>
        <w:ind w:left="360" w:right="2320"/>
        <w:spacing w:after="0" w:line="25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Jarrod Yahes, certify that:</w:t>
      </w:r>
    </w:p>
    <w:p>
      <w:pPr>
        <w:spacing w:after="0" w:line="237" w:lineRule="exact"/>
        <w:rPr>
          <w:sz w:val="20"/>
          <w:szCs w:val="20"/>
          <w:color w:val="auto"/>
        </w:rPr>
      </w:pPr>
    </w:p>
    <w:p>
      <w:pPr>
        <w:ind w:left="280" w:hanging="275"/>
        <w:spacing w:after="0"/>
        <w:tabs>
          <w:tab w:leader="none" w:pos="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237" w:lineRule="exact"/>
        <w:rPr>
          <w:rFonts w:ascii="Arial" w:cs="Arial" w:eastAsia="Arial" w:hAnsi="Arial"/>
          <w:sz w:val="16"/>
          <w:szCs w:val="16"/>
          <w:color w:val="auto"/>
        </w:rPr>
      </w:pPr>
    </w:p>
    <w:p>
      <w:pPr>
        <w:ind w:left="480" w:right="140" w:hanging="475"/>
        <w:spacing w:after="0" w:line="295" w:lineRule="auto"/>
        <w:tabs>
          <w:tab w:leader="none" w:pos="283"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5"/>
          <w:szCs w:val="15"/>
          <w:color w:val="auto"/>
        </w:rPr>
      </w:pPr>
    </w:p>
    <w:p>
      <w:pPr>
        <w:ind w:left="480" w:hanging="475"/>
        <w:spacing w:after="0" w:line="262" w:lineRule="auto"/>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6"/>
          <w:szCs w:val="16"/>
          <w:color w:val="auto"/>
        </w:rPr>
      </w:pPr>
    </w:p>
    <w:p>
      <w:pPr>
        <w:ind w:left="480" w:right="100" w:hanging="475"/>
        <w:spacing w:after="0" w:line="333" w:lineRule="auto"/>
        <w:tabs>
          <w:tab w:leader="none" w:pos="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3" w:lineRule="exact"/>
        <w:rPr>
          <w:rFonts w:ascii="Arial" w:cs="Arial" w:eastAsia="Arial" w:hAnsi="Arial"/>
          <w:sz w:val="14"/>
          <w:szCs w:val="14"/>
          <w:color w:val="auto"/>
        </w:rPr>
      </w:pPr>
    </w:p>
    <w:p>
      <w:pPr>
        <w:jc w:val="both"/>
        <w:ind w:left="880" w:right="120" w:hanging="401"/>
        <w:spacing w:after="0" w:line="251" w:lineRule="auto"/>
        <w:tabs>
          <w:tab w:leader="none" w:pos="8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6"/>
          <w:szCs w:val="16"/>
          <w:color w:val="auto"/>
        </w:rPr>
      </w:pPr>
    </w:p>
    <w:p>
      <w:pPr>
        <w:ind w:left="880" w:right="140" w:hanging="401"/>
        <w:spacing w:after="0" w:line="251" w:lineRule="auto"/>
        <w:tabs>
          <w:tab w:leader="none" w:pos="8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ind w:left="880" w:right="580" w:hanging="401"/>
        <w:spacing w:after="0" w:line="262" w:lineRule="auto"/>
        <w:tabs>
          <w:tab w:leader="none" w:pos="8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6"/>
          <w:szCs w:val="16"/>
          <w:color w:val="auto"/>
        </w:rPr>
      </w:pPr>
    </w:p>
    <w:p>
      <w:pPr>
        <w:ind w:left="880" w:right="240" w:hanging="401"/>
        <w:spacing w:after="0" w:line="251" w:lineRule="auto"/>
        <w:tabs>
          <w:tab w:leader="none" w:pos="8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16"/>
          <w:szCs w:val="16"/>
          <w:color w:val="auto"/>
        </w:rPr>
      </w:pPr>
    </w:p>
    <w:p>
      <w:pPr>
        <w:ind w:left="480" w:right="180" w:hanging="475"/>
        <w:spacing w:after="0" w:line="262" w:lineRule="auto"/>
        <w:tabs>
          <w:tab w:leader="none" w:pos="3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8" w:lineRule="exact"/>
        <w:rPr>
          <w:rFonts w:ascii="Arial" w:cs="Arial" w:eastAsia="Arial" w:hAnsi="Arial"/>
          <w:sz w:val="16"/>
          <w:szCs w:val="16"/>
          <w:color w:val="auto"/>
        </w:rPr>
      </w:pPr>
    </w:p>
    <w:p>
      <w:pPr>
        <w:ind w:left="880" w:right="160" w:hanging="401"/>
        <w:spacing w:after="0" w:line="262" w:lineRule="auto"/>
        <w:tabs>
          <w:tab w:leader="none" w:pos="8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880" w:right="420" w:hanging="401"/>
        <w:spacing w:after="0" w:line="262" w:lineRule="auto"/>
        <w:tabs>
          <w:tab w:leader="none" w:pos="81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6" w:lineRule="exact"/>
        <w:rPr>
          <w:sz w:val="20"/>
          <w:szCs w:val="20"/>
          <w:color w:val="auto"/>
        </w:rPr>
      </w:pPr>
    </w:p>
    <w:p>
      <w:pPr>
        <w:ind w:left="60"/>
        <w:spacing w:after="0"/>
        <w:tabs>
          <w:tab w:leader="none" w:pos="5740" w:val="left"/>
          <w:tab w:leader="none" w:pos="6200" w:val="left"/>
        </w:tabs>
        <w:rPr>
          <w:sz w:val="20"/>
          <w:szCs w:val="20"/>
          <w:color w:val="auto"/>
        </w:rPr>
      </w:pPr>
      <w:r>
        <w:rPr>
          <w:rFonts w:ascii="Arial" w:cs="Arial" w:eastAsia="Arial" w:hAnsi="Arial"/>
          <w:sz w:val="16"/>
          <w:szCs w:val="16"/>
          <w:color w:val="auto"/>
        </w:rPr>
        <w:t>Date: February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14605</wp:posOffset>
            </wp:positionV>
            <wp:extent cx="3183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20"/>
          </w:cols>
          <w:pgMar w:left="320" w:top="876"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Exhibit 32</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18 U.S.C. SECTION 1350,</w:t>
      </w:r>
    </w:p>
    <w:p>
      <w:pPr>
        <w:jc w:val="center"/>
        <w:ind w:right="-9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0" w:lineRule="exact"/>
        <w:rPr>
          <w:sz w:val="20"/>
          <w:szCs w:val="20"/>
          <w:color w:val="auto"/>
        </w:rPr>
      </w:pPr>
    </w:p>
    <w:p>
      <w:pPr>
        <w:ind w:firstLine="316"/>
        <w:spacing w:after="0" w:line="289"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2021 as filed with the Securities and Exchange Commission on the date hereof (the “Report”), I, Stan Pavlovsky,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 w:lineRule="exact"/>
        <w:rPr>
          <w:sz w:val="20"/>
          <w:szCs w:val="20"/>
          <w:color w:val="auto"/>
        </w:rPr>
      </w:pPr>
    </w:p>
    <w:p>
      <w:pPr>
        <w:ind w:left="40"/>
        <w:spacing w:after="0"/>
        <w:tabs>
          <w:tab w:leader="none" w:pos="5660" w:val="left"/>
          <w:tab w:leader="none" w:pos="6100" w:val="left"/>
        </w:tabs>
        <w:rPr>
          <w:sz w:val="20"/>
          <w:szCs w:val="20"/>
          <w:color w:val="auto"/>
        </w:rPr>
      </w:pPr>
      <w:r>
        <w:rPr>
          <w:rFonts w:ascii="Arial" w:cs="Arial" w:eastAsia="Arial" w:hAnsi="Arial"/>
          <w:sz w:val="16"/>
          <w:szCs w:val="16"/>
          <w:color w:val="auto"/>
        </w:rPr>
        <w:t>Date: February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Stan Pavlovsky</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Executive Officer)</w:t>
      </w:r>
    </w:p>
    <w:p>
      <w:pPr>
        <w:spacing w:after="0" w:line="342" w:lineRule="exact"/>
        <w:rPr>
          <w:sz w:val="20"/>
          <w:szCs w:val="20"/>
          <w:color w:val="auto"/>
        </w:rPr>
      </w:pPr>
    </w:p>
    <w:p>
      <w:pPr>
        <w:ind w:firstLine="316"/>
        <w:spacing w:after="0" w:line="289"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2021 as filed with the Securities and Exchange Commission on the date hereof (the “Report”), I, Jarrod Yahes,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 w:lineRule="exact"/>
        <w:rPr>
          <w:sz w:val="20"/>
          <w:szCs w:val="20"/>
          <w:color w:val="auto"/>
        </w:rPr>
      </w:pPr>
    </w:p>
    <w:p>
      <w:pPr>
        <w:ind w:left="60"/>
        <w:spacing w:after="0"/>
        <w:tabs>
          <w:tab w:leader="none" w:pos="5740" w:val="left"/>
          <w:tab w:leader="none" w:pos="6200" w:val="left"/>
        </w:tabs>
        <w:rPr>
          <w:sz w:val="20"/>
          <w:szCs w:val="20"/>
          <w:color w:val="auto"/>
        </w:rPr>
      </w:pPr>
      <w:r>
        <w:rPr>
          <w:rFonts w:ascii="Arial" w:cs="Arial" w:eastAsia="Arial" w:hAnsi="Arial"/>
          <w:sz w:val="16"/>
          <w:szCs w:val="16"/>
          <w:color w:val="auto"/>
        </w:rPr>
        <w:t>Date: February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14605</wp:posOffset>
            </wp:positionV>
            <wp:extent cx="3183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120"/>
      </w:cols>
      <w:pgMar w:left="320" w:top="1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Roman"/>
      <w:start w:val="2"/>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42"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13" Type="http://schemas.openxmlformats.org/officeDocument/2006/relationships/hyperlink" Target="http://www.sec.gov/Archives/edgar/data/1549346/000104746912009325/a2211285zex-2_1.htm" TargetMode="External"/><Relationship Id="rId114" Type="http://schemas.openxmlformats.org/officeDocument/2006/relationships/hyperlink" Target="http://www.sec.gov/Archives/edgar/data/1549346/000104746912009325/a2211285zex-2_2.htm" TargetMode="External"/><Relationship Id="rId115" Type="http://schemas.openxmlformats.org/officeDocument/2006/relationships/hyperlink" Target="http://www.sec.gov/Archives/edgar/data/1549346/000104746912006975/a2209974zex-3_2.htm" TargetMode="External"/><Relationship Id="rId116" Type="http://schemas.openxmlformats.org/officeDocument/2006/relationships/hyperlink" Target="http://www.sec.gov/Archives/edgar/data/1549346/000104746912009122/a2211147zex-3_4.htm" TargetMode="External"/><Relationship Id="rId117" Type="http://schemas.openxmlformats.org/officeDocument/2006/relationships/hyperlink" Target="http://www.sec.gov/Archives/edgar/data/1549346/000119312520214906/d91196dex41.htm" TargetMode="External"/><Relationship Id="rId118" Type="http://schemas.openxmlformats.org/officeDocument/2006/relationships/hyperlink" Target="http://www.sec.gov/Archives/edgar/data/1549346/000154934620000007/a201910kexhibit4descri.htm" TargetMode="External"/><Relationship Id="rId119" Type="http://schemas.openxmlformats.org/officeDocument/2006/relationships/hyperlink" Target="http://www.sec.gov/Archives/edgar/data/1549346/000104746912008610/a2210879zex-10_1.htm" TargetMode="External"/><Relationship Id="rId120" Type="http://schemas.openxmlformats.org/officeDocument/2006/relationships/hyperlink" Target="http://www.sec.gov/Archives/edgar/data/1549346/000104746915001422/a2223257zex-10_2.htm" TargetMode="External"/><Relationship Id="rId121" Type="http://schemas.openxmlformats.org/officeDocument/2006/relationships/hyperlink" Target="http://www.sec.gov/Archives/edgar/data/1549346/000104746912006975/a2209974zex-10_3.htm" TargetMode="External"/><Relationship Id="rId122" Type="http://schemas.openxmlformats.org/officeDocument/2006/relationships/hyperlink" Target="http://www.sec.gov/Archives/edgar/data/1549346/000104746912008610/a2210879zex-10_7.htm" TargetMode="External"/><Relationship Id="rId123" Type="http://schemas.openxmlformats.org/officeDocument/2006/relationships/hyperlink" Target="http://www.sec.gov/Archives/edgar/data/1549346/000104746912009122/a2211147zex-10_8a.htm" TargetMode="External"/><Relationship Id="rId124" Type="http://schemas.openxmlformats.org/officeDocument/2006/relationships/hyperlink" Target="http://www.sec.gov/Archives/edgar/data/1549346/000104746912009122/a2211147zex-10_8b.htm" TargetMode="External"/><Relationship Id="rId125" Type="http://schemas.openxmlformats.org/officeDocument/2006/relationships/hyperlink" Target="http://www.sec.gov/Archives/edgar/data/1549346/000110465914031339/a14-11338_18k.htm" TargetMode="External"/><Relationship Id="rId126" Type="http://schemas.openxmlformats.org/officeDocument/2006/relationships/hyperlink" Target="http://www.sec.gov/Archives/edgar/data/1549346/000154934620000007/exhibit105djoringerame.htm" TargetMode="External"/><Relationship Id="rId127" Type="http://schemas.openxmlformats.org/officeDocument/2006/relationships/hyperlink" Target="http://www.sec.gov/Archives/edgar/data/1549346/000154934620000007/exhibit105ejoringerame.htm" TargetMode="External"/><Relationship Id="rId128" Type="http://schemas.openxmlformats.org/officeDocument/2006/relationships/hyperlink" Target="http://www.sec.gov/Archives/edgar/data/1549346/000110465913040280/a13-8713_1ex10d1.htm" TargetMode="External"/><Relationship Id="rId129" Type="http://schemas.openxmlformats.org/officeDocument/2006/relationships/hyperlink" Target="http://www.sec.gov/Archives/edgar/data/1549346/000154934615000014/exhibit103.htm" TargetMode="External"/><Relationship Id="rId130" Type="http://schemas.openxmlformats.org/officeDocument/2006/relationships/hyperlink" Target="http://www.sec.gov/Archives/edgar/data/1549346/000154934616000017/exhibit101.htm" TargetMode="External"/><Relationship Id="rId131" Type="http://schemas.openxmlformats.org/officeDocument/2006/relationships/hyperlink" Target="http://www.sec.gov/Archives/edgar/data/1549346/000154934616000055/exhibit101thirdleasemodifi.htm" TargetMode="External"/><Relationship Id="rId132" Type="http://schemas.openxmlformats.org/officeDocument/2006/relationships/hyperlink" Target="http://www.sec.gov/Archives/edgar/data/1549346/000154934619000008/a201810kexhibit1011.htm" TargetMode="External"/><Relationship Id="rId133" Type="http://schemas.openxmlformats.org/officeDocument/2006/relationships/hyperlink" Target="http://www.sec.gov/Archives/edgar/data/1549346/000154934616000033/qexhibit105.htm" TargetMode="External"/><Relationship Id="rId134" Type="http://schemas.openxmlformats.org/officeDocument/2006/relationships/hyperlink" Target="http://www.sec.gov/Archives/edgar/data/1549346/000154934616000033/qexhibit106.htm" TargetMode="External"/><Relationship Id="rId135" Type="http://schemas.openxmlformats.org/officeDocument/2006/relationships/hyperlink" Target="http://www.sec.gov/Archives/edgar/data/1549346/000154934616000033/qexhibit107.htm" TargetMode="External"/><Relationship Id="rId136" Type="http://schemas.openxmlformats.org/officeDocument/2006/relationships/hyperlink" Target="http://www.sec.gov/Archives/edgar/data/1549346/000154934616000055/exhibit104shutterstockamen.htm" TargetMode="External"/><Relationship Id="rId137" Type="http://schemas.openxmlformats.org/officeDocument/2006/relationships/hyperlink" Target="http://www.sec.gov/Archives/edgar/data/1549346/000154934616000060/qexhibit101.htm" TargetMode="External"/><Relationship Id="rId138" Type="http://schemas.openxmlformats.org/officeDocument/2006/relationships/hyperlink" Target="http://www.sec.gov/Archives/edgar/data/1549346/000154934616000060/qexhibit102.htm" TargetMode="External"/><Relationship Id="rId139" Type="http://schemas.openxmlformats.org/officeDocument/2006/relationships/hyperlink" Target="http://www.sec.gov/Archives/edgar/data/1549346/000154934616000060/qexhibit103.htm" TargetMode="External"/><Relationship Id="rId140" Type="http://schemas.openxmlformats.org/officeDocument/2006/relationships/hyperlink" Target="http://www.sec.gov/Archives/edgar/data/1549346/000154934619000015/exhibit101formofpsuawardag.htm" TargetMode="External"/><Relationship Id="rId141" Type="http://schemas.openxmlformats.org/officeDocument/2006/relationships/hyperlink" Target="http://www.sec.gov/Archives/edgar/data/1549346/000154934621000024/rsu21oga-updatedrsutemplate.htm" TargetMode="External"/><Relationship Id="rId143" Type="http://schemas.openxmlformats.org/officeDocument/2006/relationships/hyperlink" Target="http://www.sec.gov/Archives/edgar/data/1549346/000154934619000033/sciardielloemploymenta.htm" TargetMode="External"/><Relationship Id="rId144" Type="http://schemas.openxmlformats.org/officeDocument/2006/relationships/hyperlink" Target="http://www.sec.gov/Archives/edgar/data/1549346/000154934619000039/sciardielloamendment104.htm" TargetMode="External"/><Relationship Id="rId145" Type="http://schemas.openxmlformats.org/officeDocument/2006/relationships/hyperlink" Target="http://www.sec.gov/Archives/edgar/data/1549346/000154934619000020/stanpavlovskyemploymentagr.htm" TargetMode="External"/><Relationship Id="rId146" Type="http://schemas.openxmlformats.org/officeDocument/2006/relationships/hyperlink" Target="http://www.sec.gov/Archives/edgar/data/1549346/000154934619000039/spavlovskyamendment101.htm" TargetMode="External"/><Relationship Id="rId147" Type="http://schemas.openxmlformats.org/officeDocument/2006/relationships/hyperlink" Target="http://www.sec.gov/Archives/edgar/data/1549346/000154934620000007/exhibit1024cspavlovsky.htm" TargetMode="External"/><Relationship Id="rId148" Type="http://schemas.openxmlformats.org/officeDocument/2006/relationships/hyperlink" Target="http://www.sec.gov/Archives/edgar/data/1549346/000154934619000041/jarrodyahesexecutiveem.htm" TargetMode="External"/><Relationship Id="rId149" Type="http://schemas.openxmlformats.org/officeDocument/2006/relationships/hyperlink" Target="http://www.sec.gov/Archives/edgar/data/1549346/000154934620000033/petersilvioemploy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2022-02-10T06:12:08Z</dcterms:created>
  <dcterms:modified xsi:type="dcterms:W3CDTF">2022-02-10T06:12:08Z</dcterms:modified>
</cp:coreProperties>
</file>