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6" w:lineRule="exact"/>
        <w:rPr>
          <w:rFonts w:ascii="MS PGothic" w:cs="MS PGothic" w:eastAsia="MS PGothic" w:hAnsi="MS PGothic"/>
          <w:sz w:val="15"/>
          <w:szCs w:val="15"/>
          <w:color w:val="auto"/>
        </w:rPr>
      </w:pPr>
    </w:p>
    <w:p>
      <w:pPr>
        <w:ind w:left="390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12" w:lineRule="exact"/>
        <w:rPr>
          <w:sz w:val="24"/>
          <w:szCs w:val="24"/>
          <w:color w:val="auto"/>
        </w:rPr>
      </w:pPr>
    </w:p>
    <w:p>
      <w:pPr>
        <w:ind w:right="420" w:firstLine="395"/>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180" w:firstLine="395"/>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October 25, 2024, 34,860,865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9"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0000FF"/>
            </w:tcBorders>
            <w:gridSpan w:val="12"/>
            <w:vMerge w:val="continue"/>
          </w:tcPr>
          <w:p>
            <w:pPr>
              <w:spacing w:after="0"/>
              <w:rPr>
                <w:sz w:val="17"/>
                <w:szCs w:val="17"/>
                <w:color w:val="auto"/>
              </w:rPr>
            </w:pPr>
          </w:p>
        </w:tc>
        <w:tc>
          <w:tcPr>
            <w:tcW w:w="534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3"/>
          </w:tcPr>
          <w:p>
            <w:pPr>
              <w:spacing w:after="0"/>
              <w:rPr>
                <w:sz w:val="21"/>
                <w:szCs w:val="21"/>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7"/>
              </w:rPr>
              <w:t>Consolidated Statements of Comprehensive Income</w:t>
            </w:r>
          </w:p>
        </w:tc>
        <w:tc>
          <w:tcPr>
            <w:tcW w:w="38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6"/>
                <w:szCs w:val="16"/>
                <w:color w:val="auto"/>
              </w:rPr>
            </w:pPr>
          </w:p>
        </w:tc>
        <w:tc>
          <w:tcPr>
            <w:tcW w:w="398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191"/>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2"/>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3.</w:t>
            </w:r>
          </w:p>
        </w:tc>
        <w:tc>
          <w:tcPr>
            <w:tcW w:w="360" w:type="dxa"/>
            <w:vAlign w:val="bottom"/>
            <w:gridSpan w:val="2"/>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r>
        <w:trPr>
          <w:trHeight w:val="191"/>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p>
        </w:tc>
        <w:tc>
          <w:tcPr>
            <w:tcW w:w="360" w:type="dxa"/>
            <w:vAlign w:val="bottom"/>
            <w:gridSpan w:val="2"/>
          </w:tcPr>
          <w:p>
            <w:pPr>
              <w:spacing w:after="0"/>
              <w:rPr>
                <w:sz w:val="21"/>
                <w:szCs w:val="21"/>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2.</w:t>
            </w:r>
          </w:p>
        </w:tc>
        <w:tc>
          <w:tcPr>
            <w:tcW w:w="280" w:type="dxa"/>
            <w:vAlign w:val="bottom"/>
            <w:tcBorders>
              <w:bottom w:val="single" w:sz="8" w:color="0000FF"/>
            </w:tcBorders>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191"/>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2"/>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2"/>
          </w:tcPr>
          <w:p>
            <w:pPr>
              <w:spacing w:after="0"/>
              <w:rPr>
                <w:sz w:val="16"/>
                <w:szCs w:val="16"/>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2"/>
          </w:tcPr>
          <w:p>
            <w:pPr>
              <w:spacing w:after="0"/>
              <w:rPr>
                <w:sz w:val="16"/>
                <w:szCs w:val="16"/>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5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costs related to litigation or infringement claims, indemnification claims and the inability to prevent misuse of our content;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social and ethical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including integration and other risks related to the recent acquisition of Envato Pty Ltd;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caption“Risk Factors” in our most recently filed Annual Report on Form 10-K, which was filed with the Securities and Exchange Commission (the “SEC”) on February 26, 2024 (our “2023 Form 10-K”) and in our consolidated financial statements, related notes, and the other information appearing elsewhere in the 2023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00" w:lineRule="exact"/>
        <w:rPr>
          <w:sz w:val="20"/>
          <w:szCs w:val="20"/>
          <w:color w:val="auto"/>
        </w:rPr>
      </w:pPr>
    </w:p>
    <w:p>
      <w:pPr>
        <w:spacing w:after="0" w:line="4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131,393</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$4,368 and $6,335</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91,139</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100,944</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277,382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292,573</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64,300</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383,325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1,348,841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203,463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53,108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22,949</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825,926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508,921</w:t>
            </w:r>
          </w:p>
        </w:tc>
        <w:tc>
          <w:tcPr>
            <w:tcW w:w="0" w:type="dxa"/>
            <w:vAlign w:val="bottom"/>
          </w:tcPr>
          <w:p>
            <w:pPr>
              <w:spacing w:after="0"/>
              <w:rPr>
                <w:sz w:val="1"/>
                <w:szCs w:val="1"/>
                <w:color w:val="auto"/>
              </w:rPr>
            </w:pPr>
          </w:p>
        </w:tc>
      </w:tr>
      <w:tr>
        <w:trPr>
          <w:trHeight w:val="201"/>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CCEEFF"/>
          </w:tcPr>
          <w:p>
            <w:pPr>
              <w:spacing w:after="0"/>
              <w:rPr>
                <w:sz w:val="13"/>
                <w:szCs w:val="13"/>
                <w:color w:val="auto"/>
              </w:rPr>
            </w:pPr>
          </w:p>
        </w:tc>
        <w:tc>
          <w:tcPr>
            <w:tcW w:w="7320" w:type="dxa"/>
            <w:vAlign w:val="bottom"/>
            <w:gridSpan w:val="3"/>
            <w:shd w:val="clear" w:color="auto" w:fill="CCEEFF"/>
          </w:tcPr>
          <w:p>
            <w:pPr>
              <w:ind w:left="6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40,371 and 39,982 shares issued and 34,850 and</w:t>
            </w: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35,572 shares outstanding as of September 30, 2024 and December 31, 2023, respectively</w:t>
            </w: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Treasury stock, at cost; 5,521 and 4,410 shares as of September 30, 2024 and December 31, 2023</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(228,213)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348,076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342,653</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522,915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527,094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1,348,841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96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0"/>
        </w:trPr>
        <w:tc>
          <w:tcPr>
            <w:tcW w:w="6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38"/>
        </w:trPr>
        <w:tc>
          <w:tcPr>
            <w:tcW w:w="6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233,248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657,368</w:t>
            </w:r>
          </w:p>
        </w:tc>
      </w:tr>
      <w:tr>
        <w:trPr>
          <w:trHeight w:val="197"/>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256,798</w:t>
            </w:r>
          </w:p>
        </w:tc>
      </w:tr>
      <w:tr>
        <w:trPr>
          <w:trHeight w:val="212"/>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152,084</w:t>
            </w: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72,722</w:t>
            </w:r>
          </w:p>
        </w:tc>
      </w:tr>
      <w:tr>
        <w:trPr>
          <w:trHeight w:val="212"/>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37,574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109,488</w:t>
            </w:r>
          </w:p>
        </w:tc>
      </w:tr>
      <w:tr>
        <w:trPr>
          <w:trHeight w:val="202"/>
        </w:trPr>
        <w:tc>
          <w:tcPr>
            <w:tcW w:w="6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216,056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591,092</w:t>
            </w:r>
          </w:p>
        </w:tc>
      </w:tr>
      <w:tr>
        <w:trPr>
          <w:trHeight w:val="20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17,192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66,276</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51,804</w:t>
            </w: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8"/>
              </w:rPr>
              <w:t>(5,574)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8"/>
              </w:rPr>
              <w:t>(1,286)</w:t>
            </w:r>
          </w:p>
        </w:tc>
      </w:tr>
      <w:tr>
        <w:trPr>
          <w:trHeight w:val="20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w:t>
            </w:r>
          </w:p>
        </w:tc>
      </w:tr>
      <w:tr>
        <w:trPr>
          <w:trHeight w:val="20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27,613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120,408</w:t>
            </w:r>
          </w:p>
        </w:tc>
      </w:tr>
      <w:tr>
        <w:trPr>
          <w:trHeight w:val="20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9,133</w:t>
            </w:r>
          </w:p>
        </w:tc>
      </w:tr>
      <w:tr>
        <w:trPr>
          <w:trHeight w:val="204"/>
        </w:trPr>
        <w:tc>
          <w:tcPr>
            <w:tcW w:w="6600" w:type="dxa"/>
            <w:vAlign w:val="bottom"/>
            <w:tcBorders>
              <w:bottom w:val="single" w:sz="8" w:color="CCEEFF"/>
            </w:tcBorders>
            <w:shd w:val="clear" w:color="auto" w:fill="CCEEFF"/>
          </w:tcPr>
          <w:p>
            <w:pPr>
              <w:ind w:left="14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17,615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28,419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37,361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111,275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6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0.79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0.79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35,174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35,912</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35,938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74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6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7"/>
        </w:trPr>
        <w:tc>
          <w:tcPr>
            <w:tcW w:w="68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0"/>
        </w:trPr>
        <w:tc>
          <w:tcPr>
            <w:tcW w:w="6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8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91"/>
        </w:trPr>
        <w:tc>
          <w:tcPr>
            <w:tcW w:w="6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28,419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37,361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111,275</w:t>
            </w:r>
          </w:p>
        </w:tc>
      </w:tr>
      <w:tr>
        <w:trPr>
          <w:trHeight w:val="209"/>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 / (loss)</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(1,457)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2,480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 (loss)</w:t>
            </w: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(1,457)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2,480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26,962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39,841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111,126</w:t>
            </w:r>
          </w:p>
        </w:tc>
      </w:tr>
      <w:tr>
        <w:trPr>
          <w:trHeight w:val="21"/>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341,072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520,412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(20,999)</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522,915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334,520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519,507</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13,003</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28,419</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412,861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353,303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531,963</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41,220</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(41,591)</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(31,938)</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37,361</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522,915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271,051</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447,482</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36,589</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(15,209)</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111,275</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412,861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353,303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531,963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5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72"/>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111,275</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59,373</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36,589</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Bargain purchase gain</w:t>
            </w:r>
          </w:p>
        </w:tc>
        <w:tc>
          <w:tcPr>
            <w:tcW w:w="3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 on investments, net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(42,167)</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Envato Seller Obligations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11,281</w:t>
            </w:r>
          </w:p>
        </w:tc>
      </w:tr>
      <w:tr>
        <w:trPr>
          <w:trHeight w:val="20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16,370</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106,603</w:t>
            </w:r>
          </w:p>
        </w:tc>
      </w:tr>
      <w:tr>
        <w:trPr>
          <w:trHeight w:val="74"/>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(34,715)</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(53,721)</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34,707</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(61,915)</w:t>
            </w:r>
          </w:p>
        </w:tc>
      </w:tr>
      <w:tr>
        <w:trPr>
          <w:trHeight w:val="74"/>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(15,209)</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(29,023)</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(83,234)</w:t>
            </w:r>
          </w:p>
        </w:tc>
      </w:tr>
      <w:tr>
        <w:trPr>
          <w:trHeight w:val="74"/>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 (decrease) in cash and cash equivalents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(39,926)</w:t>
            </w:r>
          </w:p>
        </w:tc>
      </w:tr>
      <w:tr>
        <w:trPr>
          <w:trHeight w:val="94"/>
        </w:trPr>
        <w:tc>
          <w:tcPr>
            <w:tcW w:w="85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115,154</w:t>
            </w:r>
          </w:p>
        </w:tc>
      </w:tr>
      <w:tr>
        <w:trPr>
          <w:trHeight w:val="22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131,393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8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22,295</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24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90" w:lineRule="exact"/>
        <w:rPr>
          <w:sz w:val="20"/>
          <w:szCs w:val="20"/>
          <w:color w:val="auto"/>
        </w:rPr>
      </w:pPr>
    </w:p>
    <w:p>
      <w:pPr>
        <w:ind w:right="260" w:firstLine="632"/>
        <w:spacing w:after="0" w:line="256" w:lineRule="auto"/>
        <w:rPr>
          <w:sz w:val="20"/>
          <w:szCs w:val="20"/>
          <w:color w:val="auto"/>
        </w:rPr>
      </w:pPr>
      <w:r>
        <w:rPr>
          <w:rFonts w:ascii="Times New Roman" w:cs="Times New Roman" w:eastAsia="Times New Roman" w:hAnsi="Times New Roman"/>
          <w:sz w:val="18"/>
          <w:szCs w:val="18"/>
          <w:color w:val="auto"/>
        </w:rPr>
        <w:t>On February 1, 2024, the Company acquired Backgrid USA, Inc. and Backgrid London, Ltd. (collectively “Backgrid”). Backgrid supplies media organizations with real-time celebrity content. On July 22, 2024, the Company acquired Envato Pty Ltd. (“Envato). Envato offers digital creative assets and templates. See Note 3 Acquisitions.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2" w:lineRule="exact"/>
        <w:rPr>
          <w:sz w:val="20"/>
          <w:szCs w:val="20"/>
          <w:color w:val="auto"/>
        </w:rPr>
      </w:pPr>
    </w:p>
    <w:p>
      <w:pPr>
        <w:ind w:right="32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interim Consolidated Balance Sheet as of September 30, 2024, and the Consolidated Statements of Operations, Comprehensive Income and Stockholders’ Equity for the three and nine months ended September 30, 2024 and 2023, and the Consolidated Statements of Cash Flows for the nine months ended September 30, 2024 and 2023 are unaudited. The Consolidated Balance Sheet as of December 31, 2023,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adjustments, which include all normal recurring adjustments necessary to fairly state the Company’s financial position as of September 30, 2024, and its consolidated results of operations, comprehensive income, stockholders’ equity and cash flows for the three and nine months ended September 30, 2024 and 2023. The financial data and the other financial information disclosed in the notes to the financial statements related to these periods are also unaudited. The results of operations for the nine months ended September 30, 2024 are not necessarily indicative of the results to be expected for the fiscal year ending December 31, 2024 or for any other future annual or interim period.</w:t>
      </w:r>
    </w:p>
    <w:p>
      <w:pPr>
        <w:spacing w:after="0" w:line="80"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2023 included in the Company’s Annual Report on Form 10-K, which was filed with the SEC on February 26, 2024.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$56.4 million of unbilled receivables of which $31.1 million are recorded in Accounts Receivable and $25.3 million are recorded in Other Assets, as of September 30, 2024.</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 recorded bad debt recovery of $1.8 million. As of September 30, 2024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the Company’s allowance for doubtful accounts was approximately $4.4 million and $6.3 million, respectively. The allowance for doubtful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is included as a reduction of accounts receivable on the Consolidated Balance Sheets.</w:t>
      </w:r>
    </w:p>
    <w:p>
      <w:pPr>
        <w:spacing w:after="0" w:line="9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September 30, 2024 and December 31, 2023, approximately $13.2 million and $16.0 million of financing receivables, respectively, were included in accounts receivable and other assets on the Consolidated Balance Sheets.</w:t>
      </w:r>
    </w:p>
    <w:p>
      <w:pPr>
        <w:spacing w:after="0" w:line="7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addition, as of September 30, 2024 one customer accounted for approximately 18% of the accounts receivable balance. As of December 31, 2023, two customers accounted for approximately 29% of the accounts receivable balance.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40"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September 30, 2024 and December 31, 2023, the Company’s combined allowance for chargebacks and sales refunds was $0.3 million and $0.4 million, respectively, which was included as a component of other current liabilities on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downloaded over a specific period of time, or, on a transactional basis, whereby a customer pays for individual content licenses at the time of download. The Company also generates revenue from tools available through the Company’s platform.</w:t>
      </w:r>
    </w:p>
    <w:p>
      <w:pPr>
        <w:spacing w:after="0" w:line="10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w:t>
      </w:r>
    </w:p>
    <w:p>
      <w:pPr>
        <w:spacing w:after="0" w:line="115"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 had no assets or liabilities requiring fair value hierarchy disclosures as of September 30, 2024 or December 31, 2023, except as noted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37"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 The Company used the measurement alternative and the investment in ZCool was reported at cost, adjusted for impairments or any observable price changes in ordinary transactions with identical or similar investments.</w:t>
      </w:r>
    </w:p>
    <w:p>
      <w:pPr>
        <w:spacing w:after="0" w:line="80"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is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income, net in the Consolidated Statement of Operations. Its fair value level hierarchy and amount at September 30, 2024 are as follows (in thousands):</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r>
      <w:tr>
        <w:trPr>
          <w:trHeight w:val="24"/>
        </w:trPr>
        <w:tc>
          <w:tcPr>
            <w:tcW w:w="9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7"/>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17,758</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3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its Data, Distribution, and Services business, the Company may receive equity instruments in addition to cash for revenue contract consideration. As of September 30, 2024, the Company has $24.0 million recorded in Other Assets in the Consolidated Balance Sheet from equity instruments received. There were no customer equity instruments recorded at December 31, 2023. The Company estimated the value of these equity instruments based on issuers’ recent market transactions. The Company will use the measurement alternative for fair value since the equity instruments do not have a readily determinable fair value and will report the instruments at cost, adjusted for impairments or any observable price changes in ordinary transactions with identical or similar investments.</w:t>
      </w:r>
    </w:p>
    <w:p>
      <w:pPr>
        <w:spacing w:after="0" w:line="119"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the Company also had a long-term investment in an equity security with no readily determinable fair value totaling $5.0 million. The Company uses the measurement alternative for fair value and the investment’s carrying value is reported at cost, adjusted for impairments or any observable price changes in ordinary transactions with identical or similar investments.</w:t>
      </w:r>
    </w:p>
    <w:p>
      <w:pPr>
        <w:spacing w:after="0" w:line="112" w:lineRule="exact"/>
        <w:rPr>
          <w:sz w:val="20"/>
          <w:szCs w:val="20"/>
          <w:color w:val="auto"/>
        </w:rPr>
      </w:pPr>
    </w:p>
    <w:p>
      <w:pPr>
        <w:ind w:right="9860" w:firstLine="5"/>
        <w:spacing w:after="0" w:line="454" w:lineRule="auto"/>
        <w:tabs>
          <w:tab w:leader="none" w:pos="239"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b w:val="1"/>
          <w:bCs w:val="1"/>
          <w:u w:val="single" w:color="auto"/>
          <w:color w:val="auto"/>
        </w:rPr>
        <w:t>2024 Acquisitions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Envato</w:t>
      </w:r>
    </w:p>
    <w:p>
      <w:pPr>
        <w:spacing w:after="0" w:line="98" w:lineRule="exact"/>
        <w:rPr>
          <w:sz w:val="20"/>
          <w:szCs w:val="20"/>
          <w:color w:val="auto"/>
        </w:rPr>
      </w:pPr>
    </w:p>
    <w:p>
      <w:pPr>
        <w:ind w:right="60" w:firstLine="395"/>
        <w:spacing w:after="0" w:line="234"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pursuant to a Share Purchase Agreement (the “Purchase Agreement”) entered into on May 1, 2024, to acquire all of the issued and outstanding capital stock of Envato. The aggregate amount paid by the Company, after customary working capital and other adjustments in accordance with the terms of the Purchase Agreement, was $250.2 million. The consideration was sourced with cash obtained through the A&amp;R Credit Agreement. See Note 7 Debt for more information. In connection with the acquisition, the Company incurred approximately $7.6 million of transaction costs in total, which are included in general and administrative expenses on the Consolidated Statements of Operations.</w:t>
      </w:r>
    </w:p>
    <w:p>
      <w:pPr>
        <w:spacing w:after="0" w:line="197"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18"/>
          <w:szCs w:val="18"/>
          <w:color w:val="auto"/>
        </w:rPr>
        <w:t>Envato offers digital creative assets and templates, including Envato Elements, a creative subscription providing unlimited downloads of a diverse array of assets, templates, and more. The Company believes this acquisition complements Shutterstock’s existing offerings and expands its reach with faster growing audiences such as freelancers, hobbyists, small businesses and agencies.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00" w:firstLine="395"/>
        <w:spacing w:after="0" w:line="276" w:lineRule="auto"/>
        <w:rPr>
          <w:sz w:val="20"/>
          <w:szCs w:val="20"/>
          <w:color w:val="auto"/>
        </w:rPr>
      </w:pPr>
      <w:r>
        <w:rPr>
          <w:rFonts w:ascii="Times New Roman" w:cs="Times New Roman" w:eastAsia="Times New Roman" w:hAnsi="Times New Roman"/>
          <w:sz w:val="16"/>
          <w:szCs w:val="16"/>
          <w:color w:val="auto"/>
        </w:rPr>
        <w:t>The purchased assets included identifiable intangible assets, comprised of trademarks, developed technology and customer relationships, which have weighted average useful lives of approximately 10 years, 5 years and 6 years, respectively. The fair values of the trademark and developed technology were determined using the relief-from-royalty method, and the fair value of the customer relationships was determined using the excess of earnings method. The goodwill arising from the transaction is primarily attributable to expected operational synergies and is not deductible for income tax purposes.</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Backgrid</w:t>
      </w:r>
    </w:p>
    <w:p>
      <w:pPr>
        <w:spacing w:after="0" w:line="137"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In connection with the acquisition, the Company incurred approximately $1.5 million of transaction costs in total, which are included in general and administrative expenses on the Consolidated Statements of Operations.</w:t>
      </w:r>
    </w:p>
    <w:p>
      <w:pPr>
        <w:spacing w:after="0" w:line="118" w:lineRule="exact"/>
        <w:rPr>
          <w:sz w:val="20"/>
          <w:szCs w:val="20"/>
          <w:color w:val="auto"/>
        </w:rPr>
      </w:pPr>
    </w:p>
    <w:p>
      <w:pPr>
        <w:ind w:right="740" w:firstLine="395"/>
        <w:spacing w:after="0" w:line="268" w:lineRule="auto"/>
        <w:rPr>
          <w:sz w:val="20"/>
          <w:szCs w:val="20"/>
          <w:color w:val="auto"/>
        </w:rPr>
      </w:pPr>
      <w:r>
        <w:rPr>
          <w:rFonts w:ascii="Times New Roman" w:cs="Times New Roman" w:eastAsia="Times New Roman" w:hAnsi="Times New Roman"/>
          <w:sz w:val="18"/>
          <w:szCs w:val="18"/>
          <w:color w:val="auto"/>
        </w:rPr>
        <w:t>Backgrid supplies media organizations with real-time celebrity content. The Company believes this acquisition expands Shutterstock Editorial’s Newsroom offering of editorial images and footage across celebrity, red carpet and live-events.</w:t>
      </w:r>
    </w:p>
    <w:p>
      <w:pPr>
        <w:spacing w:after="0" w:line="104" w:lineRule="exact"/>
        <w:rPr>
          <w:sz w:val="20"/>
          <w:szCs w:val="20"/>
          <w:color w:val="auto"/>
        </w:rPr>
      </w:pPr>
    </w:p>
    <w:p>
      <w:pPr>
        <w:jc w:val="both"/>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identifiable intangible assets, trademark and developed technology, have useful lives of approximately 10 years and 5 years, respectively.The fair values of the trademark and developed technology were determined using the excess earnings and relief-from-royalty methods, respectively. The goodwill arising from the transaction is primarily attributable to expected operational synergies and is not deductible for income tax purposes.</w:t>
      </w:r>
    </w:p>
    <w:p>
      <w:pPr>
        <w:spacing w:after="0" w:line="6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Envato and Backgrid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w:t>
      </w:r>
    </w:p>
    <w:p>
      <w:pPr>
        <w:spacing w:after="0" w:line="200" w:lineRule="exact"/>
        <w:rPr>
          <w:sz w:val="20"/>
          <w:szCs w:val="20"/>
          <w:color w:val="auto"/>
        </w:rPr>
      </w:pPr>
    </w:p>
    <w:p>
      <w:pPr>
        <w:spacing w:after="0" w:line="39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The aggregate purchase price for the Envato and Backgrid acquisitions have been allocated to the assets acquired and liabilities assumed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Envato</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Backgrid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800" w:type="dxa"/>
            <w:vAlign w:val="bottom"/>
          </w:tcPr>
          <w:p>
            <w:pPr>
              <w:ind w:left="240"/>
              <w:spacing w:after="0" w:line="204"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0"/>
                <w:szCs w:val="20"/>
                <w:color w:val="auto"/>
                <w:vertAlign w:val="superscript"/>
              </w:rPr>
              <w:t>1</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92,309</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7,550</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5,481</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r>
      <w:tr>
        <w:trPr>
          <w:trHeight w:val="20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r>
      <w:tr>
        <w:trPr>
          <w:trHeight w:val="212"/>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31,300</w:t>
            </w:r>
          </w:p>
        </w:tc>
      </w:tr>
      <w:tr>
        <w:trPr>
          <w:trHeight w:val="21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47,900</w:t>
            </w:r>
          </w:p>
        </w:tc>
      </w:tr>
      <w:tr>
        <w:trPr>
          <w:trHeight w:val="20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12,400</w:t>
            </w:r>
          </w:p>
        </w:tc>
      </w:tr>
      <w:tr>
        <w:trPr>
          <w:trHeight w:val="206"/>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90,400</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91,600</w:t>
            </w:r>
          </w:p>
        </w:tc>
      </w:tr>
      <w:tr>
        <w:trPr>
          <w:trHeight w:val="202"/>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202,932</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222,775</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17,790</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17,790</w:t>
            </w:r>
          </w:p>
        </w:tc>
      </w:tr>
      <w:tr>
        <w:trPr>
          <w:trHeight w:val="20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415,103</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23,570</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438,673</w:t>
            </w:r>
          </w:p>
        </w:tc>
      </w:tr>
      <w:tr>
        <w:trPr>
          <w:trHeight w:val="35"/>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(34,066)</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(35,368)</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1"/>
        </w:trPr>
        <w:tc>
          <w:tcPr>
            <w:tcW w:w="68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(67,654)</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(164,888)</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(167,310)</w:t>
            </w:r>
          </w:p>
        </w:tc>
      </w:tr>
      <w:tr>
        <w:trPr>
          <w:trHeight w:val="231"/>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250,215</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271,363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right="320" w:firstLine="5"/>
        <w:spacing w:after="0" w:line="271" w:lineRule="auto"/>
        <w:tabs>
          <w:tab w:leader="none" w:pos="81"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Envato’s cash includes $63.4 million for the funding of Envato obligations that were triggered upon the closing of the acquisition (the “Envato Seller Obligations”). These obligations are also reported as assumed liabilities within Other liabilities. $45.7 million of the Envato Seller Obligations were paid during the three months ended September 30, 2024, and as of September 30, 2024, $17.7 million continues to be reported in Other liabilities.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Acquisition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Giphy, Inc.</w:t>
      </w:r>
    </w:p>
    <w:p>
      <w:pPr>
        <w:spacing w:after="0" w:line="111"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On May 22, 2023, the Company entered into a Stock Purchase Agreement with Meta Platforms, Inc. (“Meta”) dated May 22, 2023 (the “Purchase Agreement”). On June 23, 2023, the Company completed its acquisition of all of the outstanding shares of Giphy, Inc. (“Giphy”) from Meta. The consideration paid by the Company pursuant to the Purchase Agreement was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80" w:lineRule="exact"/>
        <w:rPr>
          <w:sz w:val="20"/>
          <w:szCs w:val="20"/>
          <w:color w:val="auto"/>
        </w:rPr>
      </w:pPr>
    </w:p>
    <w:p>
      <w:pPr>
        <w:ind w:right="140" w:firstLine="395"/>
        <w:spacing w:after="0" w:line="280" w:lineRule="auto"/>
        <w:rPr>
          <w:sz w:val="20"/>
          <w:szCs w:val="20"/>
          <w:color w:val="auto"/>
        </w:rPr>
      </w:pPr>
      <w:r>
        <w:rPr>
          <w:rFonts w:ascii="Times New Roman" w:cs="Times New Roman" w:eastAsia="Times New Roman" w:hAnsi="Times New Roman"/>
          <w:sz w:val="16"/>
          <w:szCs w:val="16"/>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w:t>
      </w:r>
    </w:p>
    <w:p>
      <w:pPr>
        <w:spacing w:after="0" w:line="1" w:lineRule="exact"/>
        <w:rPr>
          <w:sz w:val="20"/>
          <w:szCs w:val="20"/>
          <w:color w:val="auto"/>
        </w:rPr>
      </w:pPr>
    </w:p>
    <w:p>
      <w:pPr>
        <w:ind w:right="340" w:firstLine="5"/>
        <w:spacing w:after="0" w:line="246"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totaling $87.9 million, comprised of one-time employment inducement bonuses and the cash value of unvested Meta equity awards (collectively, the “Giphy Retention Compensation”) and certain costs related to technology and integration expenses, totaling $30 million to be paid in $1.25 million monthly installments through May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Giphy Retention Compensation will be paid to the individuals for being employees of the Company subsequent to the completion of the acquisition. Accordingly, it was determined that the payments by the Company are for future service requirements and will be reflected as operating expenses, less any amounts earned by the employees prior to the acquisition, in the Company’s Statements of Operations as incurred. The Giphy Retention Compensation is reflected as a reduction of the purchase price and has been funded into an escrow account.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Giphy purchase price was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r>
      <w:tr>
        <w:trPr>
          <w:trHeight w:val="20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 and other working capital 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on closing</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57,750</w:t>
            </w:r>
          </w:p>
        </w:tc>
      </w:tr>
      <w:tr>
        <w:trPr>
          <w:trHeight w:val="92"/>
        </w:trPr>
        <w:tc>
          <w:tcPr>
            <w:tcW w:w="9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1"/>
        </w:trPr>
        <w:tc>
          <w:tcPr>
            <w:tcW w:w="9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Giphy Retention Compensation contingent consideration</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(98,723)</w:t>
            </w:r>
          </w:p>
        </w:tc>
      </w:tr>
      <w:tr>
        <w:trPr>
          <w:trHeight w:val="211"/>
        </w:trPr>
        <w:tc>
          <w:tcPr>
            <w:tcW w:w="97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consideration attributable to pre-combination service</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34,972</w:t>
            </w:r>
          </w:p>
        </w:tc>
      </w:tr>
      <w:tr>
        <w:trPr>
          <w:trHeight w:val="92"/>
        </w:trPr>
        <w:tc>
          <w:tcPr>
            <w:tcW w:w="97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r>
      <w:tr>
        <w:trPr>
          <w:trHeight w:val="204"/>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 Relates to the cash value of replaced unvested Meta equity awards attributable to pre-combination services.</w:t>
      </w:r>
    </w:p>
    <w:p>
      <w:pPr>
        <w:spacing w:after="0" w:line="120"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Upon closing of the acquisition, the Company also entered into an agreement with Meta whereby the Company will provide Meta with access to Giphy content that is displayed through an API for a period of two years. The Company determined that the API arrangement represents a transaction separate from the business combination and was priced below market. Therefore, the Company allocated $30 million of the purchase price to these services, which represents the step-up to fair market value. This amount has been recognized in deferred revenue and will be recognized as revenue over-time as the API is provided.</w:t>
      </w:r>
    </w:p>
    <w:p>
      <w:pPr>
        <w:spacing w:after="0" w:line="49"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developed technology and the trade name have weighted average useful lives of approximately 7 years and 15 years, respectively. The fair value of the developed technology was determined using the cost to recreate method, and the fair value of the trade name was determined using the relief-from-royalty method.</w:t>
      </w:r>
    </w:p>
    <w:p>
      <w:pPr>
        <w:spacing w:after="0" w:line="75"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The Giphy transaction was accounted for using the acquisition method and, accordingly, the results of the acquired business have been included in the Company’s results of operations from the acquisition date. The fair value of consideration transferred in this business combination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this acquisition has been allocated to the assets acquired and liabilities assumed as follows (in thousands):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Giphy</w:t>
            </w:r>
          </w:p>
        </w:tc>
      </w:tr>
      <w:tr>
        <w:trPr>
          <w:trHeight w:val="202"/>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r>
      <w:tr>
        <w:trPr>
          <w:trHeight w:val="212"/>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09"/>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 of use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2"/>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9"/>
        </w:trPr>
        <w:tc>
          <w:tcPr>
            <w:tcW w:w="9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12"/>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r>
      <w:tr>
        <w:trPr>
          <w:trHeight w:val="202"/>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40,500</w:t>
            </w:r>
          </w:p>
        </w:tc>
      </w:tr>
      <w:tr>
        <w:trPr>
          <w:trHeight w:val="212"/>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0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50,299</w:t>
            </w:r>
          </w:p>
        </w:tc>
      </w:tr>
      <w:tr>
        <w:trPr>
          <w:trHeight w:val="53"/>
        </w:trPr>
        <w:tc>
          <w:tcPr>
            <w:tcW w:w="9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1"/>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0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Lease liability</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r>
      <w:tr>
        <w:trPr>
          <w:trHeight w:val="202"/>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44,260</w:t>
            </w:r>
          </w:p>
        </w:tc>
      </w:tr>
      <w:tr>
        <w:trPr>
          <w:trHeight w:val="20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recognized a non-taxable bargain purchase gain of $50.3 million, representing the excess of the fair value of the net assets acquired in addition to the net consideration to be received from Meta. The bargain purchase gain is the result of the CMA’s regulatory order requiring Meta’s divestiture of Giphy and the Giphy Retention Compensation payments. In connection with the acquisition, the Company incurred approximately $3.0 million of transaction costs, which are included in general and administrative expenses on the Consolidated Statements of Operations.</w:t>
      </w:r>
    </w:p>
    <w:p>
      <w:pPr>
        <w:spacing w:after="0" w:line="7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2024, Shutterstock’s receivable of $13.8 million, is against an escrow fully funded by Meta. $12.0 million and $1.8 million are included within Prepaid expenses and other current assets and Other assets, respectively,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20" w:firstLine="395"/>
        <w:spacing w:after="0" w:line="281"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(in thousands) reflects the results of operations of the Company for the three and nine months ended September 30, 2024 and 2023, respectively, as if the Envato and Backgrid acquisitions had been completed on January 1, 2023, and as if the Giphy acquisition had been completed on January 1, 2022, after giving effect to certain purchase accounting adjustments, primarily related to Giphy Retention Compensation - non-recurring, intangible assets and transaction costs.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53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233,248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657,368</w:t>
            </w:r>
          </w:p>
        </w:tc>
      </w:tr>
      <w:tr>
        <w:trPr>
          <w:trHeight w:val="209"/>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286,487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827,085</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27,613</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120,408</w:t>
            </w:r>
          </w:p>
        </w:tc>
      </w:tr>
      <w:tr>
        <w:trPr>
          <w:trHeight w:val="212"/>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22,909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57,248</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80" w:type="dxa"/>
            <w:vAlign w:val="bottom"/>
          </w:tcPr>
          <w:p>
            <w:pPr>
              <w:spacing w:after="0"/>
              <w:rPr>
                <w:sz w:val="16"/>
                <w:szCs w:val="16"/>
                <w:color w:val="auto"/>
              </w:rPr>
            </w:pPr>
          </w:p>
        </w:tc>
        <w:tc>
          <w:tcPr>
            <w:tcW w:w="18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308,473</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10,829</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338,455</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(274,155)</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1"/>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Depreciation expense related to property and equipment was $10.7 million and $9.5 million for the three months ended September 30, 2024 and 2023, respectively, and $31.4 million and $27.7 million for the nine months ended September 30, 2024 and 2023, respectively. Cost of revenues included depreciation expense of $10.3 million and $9.1 million for the three months ended September 30, 2024 and 2023, respectively, and $30.2 million and $26.5 million for the nine months ended September 30, 2024 and 2023, respectively. General and administrative expense included depreciation expense of $0.5 million for the three months ended September 30, 2024 and 2023, and $1.2 million and $1.3 million for the nine months ended September 30, 2024 and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$9.2 million and $12.1 million for the three months ended September 30, 2024 and 2023, respectively, and $27.8 million and $33.7 million for the nine months ended September 30, 2024 and 2023, respectively. Capitalized amounts are included as a component of property and equipment under computer equipment and software on the Consolidated Balance Sheets.</w:t>
      </w:r>
    </w:p>
    <w:p>
      <w:pPr>
        <w:spacing w:after="0" w:line="40" w:lineRule="exact"/>
        <w:rPr>
          <w:sz w:val="20"/>
          <w:szCs w:val="20"/>
          <w:color w:val="auto"/>
        </w:rPr>
      </w:pPr>
    </w:p>
    <w:p>
      <w:pPr>
        <w:ind w:right="500" w:firstLine="395"/>
        <w:spacing w:after="0" w:line="303" w:lineRule="auto"/>
        <w:rPr>
          <w:sz w:val="20"/>
          <w:szCs w:val="20"/>
          <w:color w:val="auto"/>
        </w:rPr>
      </w:pPr>
      <w:r>
        <w:rPr>
          <w:rFonts w:ascii="Times New Roman" w:cs="Times New Roman" w:eastAsia="Times New Roman" w:hAnsi="Times New Roman"/>
          <w:sz w:val="16"/>
          <w:szCs w:val="16"/>
          <w:color w:val="auto"/>
        </w:rPr>
        <w:t>The portion of total depreciation expense related to capitalized internal-use software was $10.0 million and $8.8 million for the three months ended September 30, 2024 and 2023, respectively, and $29.3 million and $25.6 million for the nine months ended September 30, 2024 and 2023, respectively. Depreciation expense related to capitalized internal-use software is included in cost of revenue in the Consolidated Statements of Operations.</w:t>
      </w:r>
    </w:p>
    <w:p>
      <w:pPr>
        <w:spacing w:after="0" w:line="4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capitalized internal-use software of $58.7 million and $60.3 million, respectively, net of accumulated depreciation, which was included in property and equipment, net.</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nine months ended September 30, 2024.</w:t>
      </w:r>
    </w:p>
    <w:p>
      <w:pPr>
        <w:spacing w:after="0" w:line="64" w:lineRule="exact"/>
        <w:rPr>
          <w:sz w:val="20"/>
          <w:szCs w:val="20"/>
          <w:color w:val="auto"/>
        </w:rPr>
      </w:pPr>
    </w:p>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nine months ended September 30, 2024 (in thousands):</w:t>
      </w:r>
    </w:p>
    <w:p>
      <w:pPr>
        <w:spacing w:after="0" w:line="1"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163" w:hanging="1163"/>
        <w:spacing w:after="0"/>
        <w:tabs>
          <w:tab w:leader="none" w:pos="11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383,325</w:t>
      </w:r>
    </w:p>
    <w:p>
      <w:pPr>
        <w:spacing w:after="0" w:line="26" w:lineRule="exact"/>
        <w:rPr>
          <w:rFonts w:ascii="Times New Roman" w:cs="Times New Roman" w:eastAsia="Times New Roman" w:hAnsi="Times New Roman"/>
          <w:sz w:val="16"/>
          <w:szCs w:val="16"/>
          <w:color w:val="auto"/>
        </w:rPr>
      </w:pPr>
    </w:p>
    <w:p>
      <w:pPr>
        <w:ind w:left="11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222,775</w:t>
      </w:r>
    </w:p>
    <w:p>
      <w:pPr>
        <w:spacing w:after="0" w:line="26" w:lineRule="exact"/>
        <w:rPr>
          <w:rFonts w:ascii="Times New Roman" w:cs="Times New Roman" w:eastAsia="Times New Roman" w:hAnsi="Times New Roman"/>
          <w:sz w:val="16"/>
          <w:szCs w:val="16"/>
          <w:color w:val="auto"/>
        </w:rPr>
      </w:pPr>
    </w:p>
    <w:p>
      <w:pPr>
        <w:ind w:left="13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0" w:lineRule="exact"/>
        <w:rPr>
          <w:sz w:val="20"/>
          <w:szCs w:val="20"/>
          <w:color w:val="auto"/>
        </w:rPr>
      </w:pPr>
    </w:p>
    <w:p>
      <w:pPr>
        <w:ind w:left="1163" w:hanging="1163"/>
        <w:spacing w:after="0"/>
        <w:tabs>
          <w:tab w:leader="none" w:pos="116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9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42545</wp:posOffset>
            </wp:positionV>
            <wp:extent cx="11195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43"/>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September 30, 2024 and December 31, 2023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As of September 30, 2024</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0"/>
                <w:szCs w:val="10"/>
                <w:color w:val="auto"/>
              </w:rPr>
            </w:pPr>
          </w:p>
        </w:tc>
        <w:tc>
          <w:tcPr>
            <w:tcW w:w="900" w:type="dxa"/>
            <w:vAlign w:val="bottom"/>
          </w:tcPr>
          <w:p>
            <w:pPr>
              <w:jc w:val="center"/>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6"/>
                <w:szCs w:val="16"/>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103,374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(26,982)</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37,731</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406,155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245,671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right="100" w:firstLine="395"/>
        <w:spacing w:after="0" w:line="282" w:lineRule="auto"/>
        <w:rPr>
          <w:sz w:val="20"/>
          <w:szCs w:val="20"/>
          <w:color w:val="auto"/>
        </w:rPr>
      </w:pPr>
      <w:r>
        <w:rPr>
          <w:rFonts w:ascii="Times New Roman" w:cs="Times New Roman" w:eastAsia="Times New Roman" w:hAnsi="Times New Roman"/>
          <w:sz w:val="16"/>
          <w:szCs w:val="16"/>
          <w:color w:val="auto"/>
        </w:rPr>
        <w:t>Amortization expense was $10.9 million and $11.7 million for the three months ended September 30, 2024 and 2023, respectively, and $32.9 million and $31.7 million for the nine months ended September 30, 2024 and 2023, respectively. Cost of revenue included amortization expense of $9.4 million and $10.8 million for the three months ended September 30, 2024 and 2023, respectively, and $29.4 million for the nine months ended September 30, 2024 and 2023.</w:t>
      </w:r>
    </w:p>
    <w:p>
      <w:pPr>
        <w:spacing w:after="0" w:line="1"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General and administrative expense included amortization expense of $1.5 million and $1.0 million for the three months ended September 30, 2024 and 2023, respectively, and $3.5 million and $2.3 million for the nine months ended September 30, 2024 and 2023, respectively.</w:t>
      </w:r>
    </w:p>
    <w:p>
      <w:pPr>
        <w:spacing w:after="0" w:line="81"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$11.5 million for the remaining three months of 2024, $43.0 million in 2025, $40.7 million in 2026, $34.3 million in 2027, $31.4 million in 2028, $25.5 million in 2029 and $59.4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75,752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23,702</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11,804</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20,185</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131,443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firstLine="395"/>
        <w:spacing w:after="0" w:line="303" w:lineRule="auto"/>
        <w:rPr>
          <w:sz w:val="20"/>
          <w:szCs w:val="20"/>
          <w:color w:val="auto"/>
        </w:rPr>
      </w:pPr>
      <w:r>
        <w:rPr>
          <w:rFonts w:ascii="Times New Roman" w:cs="Times New Roman" w:eastAsia="Times New Roman" w:hAnsi="Times New Roman"/>
          <w:sz w:val="16"/>
          <w:szCs w:val="16"/>
          <w:color w:val="auto"/>
        </w:rPr>
        <w:t>As of September 30, 2024 and December 31, 2023, compensation-related accrued expenses included amounts due to Giphy employees for compensation earned pre-acquisition and severance costs associated with workforce optimizations. Approximately $3.9 million and $7.7 million of severance costs associated with workforce optimization is included within accrued expenses as of September 30, 2024 and December 31, 2023,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included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$125 million and (ii) senior unsecured revolving credit facility (the “Revolver”) in an aggregate principal amount of $250 million. The A&amp;R Credit Agreement also provides for a letter of credit subfacility and a swingline facility.</w:t>
      </w:r>
    </w:p>
    <w:p>
      <w:pPr>
        <w:spacing w:after="0" w:line="80"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w:t>
      </w:r>
    </w:p>
    <w:p>
      <w:pPr>
        <w:spacing w:after="0" w:line="80"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replaces the Company’s existing Credit Facility, which was fully repaid and terminated upon the effectiveness of the A&amp;R Credit Agreement. In connection with the closing of the Credit Facility, the Company repaid $30.0 million of existing outstanding borrowings and accrued interest.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2024, the Company had a remaining borrowing capacity of $94 million, net of standby letters of credit.</w:t>
      </w:r>
    </w:p>
    <w:p>
      <w:pPr>
        <w:spacing w:after="0" w:line="109"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September 30, 2024, the Company was in compliance with these covenants.</w:t>
      </w:r>
    </w:p>
    <w:p>
      <w:pPr>
        <w:spacing w:after="0" w:line="78"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The Company’s outstanding debt (in thousands) is reflected in the table below. The Company classifies the Revolver as a current liability since the Company could draw upon and repay the outstanding amount as needed. The maturity of the Revolver is in 2029.</w:t>
      </w:r>
    </w:p>
    <w:p>
      <w:pPr>
        <w:spacing w:after="0" w:line="200" w:lineRule="exact"/>
        <w:rPr>
          <w:sz w:val="20"/>
          <w:szCs w:val="20"/>
          <w:color w:val="auto"/>
        </w:rPr>
      </w:pPr>
    </w:p>
    <w:p>
      <w:pPr>
        <w:spacing w:after="0" w:line="3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Credit Facility</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120,392</w:t>
            </w:r>
          </w:p>
        </w:tc>
        <w:tc>
          <w:tcPr>
            <w:tcW w:w="1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75"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interest expense of $4.5 million and $5.6 million, respectively. As of September 30, 2024, unamortized debt issuance cost related to the Term Loan - A&amp;R Credit Agreement is $0.8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85,000 and 72,000 shares of common stock during the three months ended September 30, 2024 and 2023,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w:t>
      </w:r>
    </w:p>
    <w:p>
      <w:pPr>
        <w:spacing w:after="0" w:line="6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As of September 30, 2024, the Company has repurchased approximately 5.5 million shares of common stock under the 2023 Share Repurchase Program at an average per-share cost of $48.86. During the three and nine months ended September 30, 2024, the Company repurchased approximately 594,400 and 1,111,500 shares of common stock at an average cost of $35.33 and $37.42, respectively, under the 2023 Share Repurchase Program. During the three and nine months ended September 30, 2023, the Company repurchased approximately 351,000 and 431,000 shares of its common stock at an average cost of $42.75 and $44.06, respectively, under the 2023 Share Repurchase Program. As of September 30, 2024, the Company had $30.2 million of remaining authorization for purchases under the 2023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Company declared and paid cash dividends of $0.30 and $0.90 per share of common stock, or $10.6 million and $31.9 million during the three and nine months ended September 30, 2024, respectively, and $0.27 and $0.81 per share of common stock, or $9.6 million and $29.0 million, during the three and nine months ended September 30, 2023, respectively.</w:t>
      </w:r>
    </w:p>
    <w:p>
      <w:pPr>
        <w:spacing w:after="0" w:line="18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On October 21, 2024, the Company’s Board of Directors declared a quarterly cash dividend of $0.30 per share of outstanding common stock payable on December 13, 2024 to stockholders of record at the close of business on November 29, 2024.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00" w:lineRule="exact"/>
        <w:rPr>
          <w:sz w:val="20"/>
          <w:szCs w:val="20"/>
          <w:color w:val="auto"/>
        </w:rPr>
      </w:pPr>
    </w:p>
    <w:p>
      <w:pPr>
        <w:ind w:right="80" w:firstLine="395"/>
        <w:spacing w:after="0" w:line="233"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spacing w:after="0" w:line="21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nine months ended September 30, 2024 and 2023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20,583</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substantially all of the Company’s non-cash equity-based compensation expense related to RSUs.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2024, no options to purchase shares of its common stock were granted. As of September 30, 2024, there were approximately 299,000 options vested and exercisable with a weighted average exercise price of $34.14.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had RSU grants, net of forfeitures, of approximately 1,940,000. As of September 30, 2024, there are approximately 3,214,000 non-vested RSUs outstanding with a weighted average grant-date fair value of $47.50. As of September 30, 2024, the total unrecognized non-cash equity-based compensation expense related to the non-vested RSUs was approximately $98.9 million, which is expected to be recognized through 2028.</w:t>
      </w:r>
    </w:p>
    <w:p>
      <w:pPr>
        <w:spacing w:after="0" w:line="7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2024 and 2023, shares of common stock with an aggregate value of $11.7 million and $15.2 million were withheld upon vesting of RSUs and paid in connection with related remittance of employee withholding taxes to taxing authorities.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33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and nine months ended September 30, 2024 and 2023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203,713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547,494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559,738</w:t>
            </w:r>
          </w:p>
        </w:tc>
      </w:tr>
      <w:tr>
        <w:trPr>
          <w:trHeight w:val="20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137,462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97,630</w:t>
            </w:r>
          </w:p>
        </w:tc>
      </w:tr>
      <w:tr>
        <w:trPr>
          <w:trHeight w:val="231"/>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657,368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September 30, 2024 deferred revenue balance will be earned as content is downloaded or upon the expiration of subscription-based products, and nearly all is expected to be earned within the next twelve months. $167.8 million of total revenue recognized for the nine months ended September 30, 2024 was reflected in deferred revenue as of December 31, 2023. In addition, as of September 30, 2024, the Company has approximately $42.9 million of contracted but unsatisfied performance obligations relating primarily to our data deal offerings, which are not included as a component of deferred revenue and that the Company expects to recognize over a five year period. In certain of our data deal contracts, the Company has provided customers with the right to cancel. As of September 30, 2024, the total refund reserve related to these contracts is $19.5 million and is recorded in Other current liabilities. Should these cancellation rights not be exercised, this refund reserve would convert to revenue. For the three months ended September 30, 2024, the Company recognized $10.3 million of revenue from the reversal of refund reserves.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(Expense) /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nine months ended September 30, 2024 and 2023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unrealized gain / (loss) on investments, and other</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r>
      <w:tr>
        <w:trPr>
          <w:trHeight w:val="202"/>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 income, net</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1"/>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The Company’s effective tax rates yielded a net benefit of 0.5% and 2.9% for the three months ended September 30, 2024 and 2023, respectively, and a net expense of 31.4% and 7.6% for the nine months ended September 30, 2024 and 2023, respectively.</w:t>
      </w:r>
    </w:p>
    <w:p>
      <w:pPr>
        <w:spacing w:after="0" w:line="64"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net effect of discrete items decreased the effective tax rate by 32.9% and increased the effective tax rate by 8.2%, respectively. The discrete items for the three months ended September 30, 2024, primarily relate to the reversal of unrecognized tax benefits of $7.3 million due to the settlement of an IRS audit. The discrete items for the nine months ended September 30, 2024, primarily relate to shortfalls on equity award vestings and a one-time charge of $6.3 million related to the reversal of a deferred tax asset resulting from the expiration of equity awards granted to the Company’s Founder and Executive Chairman, partially offset by the reversal of unrecognized tax benefits of $7.3 million due to the settlement of an IRS audit. Excluding discrete items, the Company’s effective tax rate would have been 32.4% and 23.2% for the three and nine months ended September 30, 2024, respectively.</w:t>
      </w:r>
    </w:p>
    <w:p>
      <w:pPr>
        <w:spacing w:after="0" w:line="8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net effect of discrete items decreased the effective tax rate by 14.9% and 8.9%, respectively. The discrete items for the three months ended September 30, 2023, primarily relate to the effect of the U.S. Research and Development (“R&amp;D”) tax credit claimed on the Company’s 2022 tax return, which was</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substantially completed in the third quarter of 2023. The discrete items for the nine months ended September 30, 2023, primarily relate to the non-taxable bargain purchase gain associated with the acquisition of Giphy and the effect of the U.S. Research and Development (“R&amp;D”) tax credit claimed on the Company’s 2022 tax return, which was substantially completed in the third quarter of 2023. Excluding discrete items, the Company’s effective tax rate would have been 12.0% and 16.5% for the three and nine months ended September 30, 2023, respectively.</w:t>
      </w:r>
    </w:p>
    <w:p>
      <w:pPr>
        <w:spacing w:after="0" w:line="7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additions to unrecognized tax benefits of $4.4 million and $5.0 million, respectively. During the three and nine months ended 2023, additions to unrecognized tax benefits recorded by the Company were not significant. To the extent the remaining unrecognized tax benefits are ultimately recognized, the Company’s effective tax rate may be impacted in future periods.</w:t>
      </w:r>
    </w:p>
    <w:p>
      <w:pPr>
        <w:spacing w:after="0" w:line="2" w:lineRule="exact"/>
        <w:rPr>
          <w:sz w:val="20"/>
          <w:szCs w:val="20"/>
          <w:color w:val="auto"/>
        </w:rPr>
      </w:pPr>
    </w:p>
    <w:p>
      <w:pPr>
        <w:ind w:right="100" w:firstLine="395"/>
        <w:spacing w:after="0" w:line="244"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nine months ended September 30, 2024 and 2023.</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the Company paid net cash taxes of $22.3 million and $16.0 million,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3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nine months ended September 30,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0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111,275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35,174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35,912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35,486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35,938</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6"/>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35,472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36,081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351,088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318,672</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174,006</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155,639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164,690</w:t>
            </w:r>
          </w:p>
        </w:tc>
        <w:tc>
          <w:tcPr>
            <w:tcW w:w="0" w:type="dxa"/>
            <w:vAlign w:val="bottom"/>
          </w:tcPr>
          <w:p>
            <w:pPr>
              <w:spacing w:after="0"/>
              <w:rPr>
                <w:sz w:val="1"/>
                <w:szCs w:val="1"/>
                <w:color w:val="auto"/>
              </w:rPr>
            </w:pP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657,368</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660" w:firstLine="395"/>
        <w:spacing w:after="0" w:line="332"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48% and 45% of consolidated revenue for the nine months ended September 30, 2024 and 2023, respectively. No other country accounts for more than 10% of the Company’s revenue in any period presented.</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46,531</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1"/>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65% and 68% of total long-lived tangible assets as of September 30, 2024 and December 31, 2023, respectively. Ireland, included in Europe in the above table, accounted for 21% of total long-lived tangible assets as of September 30, 2024 and December 31, 2023. No other country accounts for more than 10% of the Company’s long-lived tangible assets in any period presented.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1" w:lineRule="exact"/>
        <w:rPr>
          <w:sz w:val="20"/>
          <w:szCs w:val="20"/>
          <w:color w:val="auto"/>
        </w:rPr>
      </w:pPr>
    </w:p>
    <w:p>
      <w:pPr>
        <w:ind w:right="34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2024, the Company had total non-lease obligations in the amount of approximately $54.6 million, which consisted primarily of minimum royalty guarantees and unconditional purchase obligations related to contracts for infrastructure and other business services. As of September 30, 2024, the Company’s non-lease obligations for the remainder of 2024 and for the years ending December 31, 2025, and 2026 were approximately $10.3 million, $38.0 million, and $6.3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5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occurrence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The Company currently has no material pending litigation matters and, accordingly, no material reserves related to litigation.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52" w:lineRule="exact"/>
        <w:rPr>
          <w:sz w:val="20"/>
          <w:szCs w:val="20"/>
          <w:color w:val="auto"/>
        </w:rPr>
      </w:pPr>
    </w:p>
    <w:p>
      <w:pPr>
        <w:ind w:right="4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nine months ended September 30, 2024, the Company made no material payments for losses on customer indemnification claims and recorded no liabilities related to indemnification for loss contingencies, before considering any insurance recoveries.</w:t>
      </w:r>
    </w:p>
    <w:p>
      <w:pPr>
        <w:spacing w:after="0" w:line="86"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4"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2023 Form 10-K.</w:t>
      </w:r>
    </w:p>
    <w:p>
      <w:pPr>
        <w:spacing w:after="0" w:line="11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and the “Risk Factors” disclosures contained in our 2023 Form 10-K for additional discussion of the risks and uncertainties that could cause our actual results to differ materially from those expressed or implied in our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04"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19" w:lineRule="exact"/>
        <w:rPr>
          <w:sz w:val="20"/>
          <w:szCs w:val="20"/>
          <w:color w:val="auto"/>
        </w:rPr>
      </w:pPr>
    </w:p>
    <w:p>
      <w:pPr>
        <w:ind w:firstLine="395"/>
        <w:spacing w:after="0" w:line="303" w:lineRule="auto"/>
        <w:rPr>
          <w:sz w:val="20"/>
          <w:szCs w:val="20"/>
          <w:color w:val="auto"/>
        </w:rPr>
      </w:pPr>
      <w:r>
        <w:rPr>
          <w:rFonts w:ascii="Times New Roman" w:cs="Times New Roman" w:eastAsia="Times New Roman" w:hAnsi="Times New Roman"/>
          <w:sz w:val="16"/>
          <w:szCs w:val="16"/>
          <w:color w:val="auto"/>
        </w:rPr>
        <w:t>As of September 30, 2024, our content library includes 800 million images and 55 million footage clips available for distribution in our Content and Data, Distribution and Services offerings. We believe this large selection of high-quality content enables us to attract and retain customers and drives our network effect. In addition, we had over 4.1 million active, paying customers contributing to our revenue for the twelve-month period ended September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90"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90" w:lineRule="exact"/>
        <w:rPr>
          <w:rFonts w:ascii="Times New Roman" w:cs="Times New Roman" w:eastAsia="Times New Roman" w:hAnsi="Times New Roman"/>
          <w:sz w:val="18"/>
          <w:szCs w:val="18"/>
          <w:color w:val="auto"/>
        </w:rPr>
      </w:pPr>
    </w:p>
    <w:p>
      <w:pPr>
        <w:ind w:left="1040" w:right="360" w:hanging="324"/>
        <w:spacing w:after="0" w:line="268" w:lineRule="auto"/>
        <w:tabs>
          <w:tab w:leader="none" w:pos="1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104"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Envato; and Offset. Shutterstock, our flagship brand, includes various content types such as image, footage, music and editorial.</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08" w:lineRule="exact"/>
        <w:rPr>
          <w:sz w:val="20"/>
          <w:szCs w:val="20"/>
          <w:color w:val="auto"/>
        </w:rPr>
      </w:pPr>
    </w:p>
    <w:p>
      <w:pPr>
        <w:ind w:right="80"/>
        <w:spacing w:after="0" w:line="332" w:lineRule="auto"/>
        <w:rPr>
          <w:sz w:val="20"/>
          <w:szCs w:val="20"/>
          <w:color w:val="auto"/>
        </w:rPr>
      </w:pPr>
      <w:r>
        <w:rPr>
          <w:rFonts w:ascii="Times New Roman" w:cs="Times New Roman" w:eastAsia="Times New Roman" w:hAnsi="Times New Roman"/>
          <w:sz w:val="16"/>
          <w:szCs w:val="16"/>
          <w:color w:val="auto"/>
        </w:rPr>
        <w:t>On February 1, 2024, we acquired Backgrid USA, Inc. and Backgrid London, Ltd. (collectively “Backgrid”). Backgrid supplies media organizations with real-time celebrity content. On July 22, 2024, we completed our acquisition of Envato Pty Ltd. (“Envato”). Envato offers digital creative assets and templates.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right="10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users to personalize casual conversations with GIFs, and generates billions of monthly impressions through over 14,000 API partners. We believe customers in all industries will look to use Giphy in marketing campaigns as another advertising outlet.</w:t>
      </w:r>
    </w:p>
    <w:p>
      <w:pPr>
        <w:spacing w:after="0" w:line="75"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Backgrid USA, Inc. and Backgrid London LTD</w:t>
      </w:r>
    </w:p>
    <w:p>
      <w:pPr>
        <w:spacing w:after="0" w:line="137"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Backgrid supplies media organizations with real-time celebrity content. The Company believes this acquisition expands Shutterstock Editorial’s Newsroom offering of editorial images and footage across celebrity, red carpet and live-events.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Envato Pty Ltd.</w:t>
      </w:r>
    </w:p>
    <w:p>
      <w:pPr>
        <w:spacing w:after="0" w:line="111" w:lineRule="exact"/>
        <w:rPr>
          <w:sz w:val="20"/>
          <w:szCs w:val="20"/>
          <w:color w:val="auto"/>
        </w:rPr>
      </w:pPr>
    </w:p>
    <w:p>
      <w:pPr>
        <w:ind w:right="20" w:firstLine="395"/>
        <w:spacing w:after="0" w:line="303" w:lineRule="auto"/>
        <w:rPr>
          <w:sz w:val="20"/>
          <w:szCs w:val="20"/>
          <w:color w:val="auto"/>
        </w:rPr>
      </w:pPr>
      <w:r>
        <w:rPr>
          <w:rFonts w:ascii="Times New Roman" w:cs="Times New Roman" w:eastAsia="Times New Roman" w:hAnsi="Times New Roman"/>
          <w:sz w:val="16"/>
          <w:szCs w:val="16"/>
          <w:color w:val="auto"/>
        </w:rPr>
        <w:t>On July 22, 2024, the Company completed its previously announced acquisition of Envato Pty Ltd. (“Envato”) pursuant to a Share Purchase Agreement (the “Purchase Agreement”) entered into on May 1, 2024, to acquire all of the issued and outstanding capital stock of Envato. The aggregate consideration paid by the Company, after customary working capital and other adjustments in accordance with the terms of the Purchase Agreement, was $250 million.</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addition of Envato has:</w:t>
      </w:r>
    </w:p>
    <w:p>
      <w:pPr>
        <w:spacing w:after="0" w:line="109" w:lineRule="exact"/>
        <w:rPr>
          <w:sz w:val="20"/>
          <w:szCs w:val="20"/>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Complemented Shutterstock’s existing offering with Envato Elements, a leading unlimited multi-asset subscription offering,</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Shutterstock’s reach within faster growing audiences such as freelancers, hobbyists, small businesses and agencies,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Shutterstock’s Content revenue from video, audio, graphics, fonts and templates, and</w:t>
      </w:r>
    </w:p>
    <w:p>
      <w:pPr>
        <w:spacing w:after="0" w:line="1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diversified Shutterstock into new content types including code &amp; web themes, product mock-ups, fonts and templates (e.g. Slides, PowerPoint, Keynote, WordPress, video, designs for social posts, gaming, podcasts and print-on-demand).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2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from Giphy beginning July 2024. These metrics exclude the respective counts and revenues from Backgrid and Envato.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18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tables summarize our key operating metrics, which are unaudited, for the three and nine months ended September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3"/>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5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9"/>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64"/>
              <w:spacing w:after="0" w:line="179" w:lineRule="exact"/>
              <w:rPr>
                <w:sz w:val="20"/>
                <w:szCs w:val="20"/>
                <w:color w:val="auto"/>
              </w:rPr>
            </w:pPr>
            <w:r>
              <w:rPr>
                <w:rFonts w:ascii="Times New Roman" w:cs="Times New Roman" w:eastAsia="Times New Roman" w:hAnsi="Times New Roman"/>
                <w:sz w:val="14"/>
                <w:szCs w:val="14"/>
                <w:b w:val="1"/>
                <w:bCs w:val="1"/>
                <w:color w:val="auto"/>
                <w:w w:val="97"/>
              </w:rPr>
              <w:t>Shutterstock</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Pr>
          <w:p>
            <w:pPr>
              <w:spacing w:after="0"/>
              <w:rPr>
                <w:sz w:val="15"/>
                <w:szCs w:val="15"/>
                <w:color w:val="auto"/>
              </w:rPr>
            </w:pPr>
          </w:p>
        </w:tc>
        <w:tc>
          <w:tcPr>
            <w:tcW w:w="1200" w:type="dxa"/>
            <w:vAlign w:val="bottom"/>
          </w:tcPr>
          <w:p>
            <w:pPr>
              <w:jc w:val="center"/>
              <w:ind w:right="205"/>
              <w:spacing w:after="0" w:line="179" w:lineRule="exact"/>
              <w:rPr>
                <w:sz w:val="20"/>
                <w:szCs w:val="20"/>
                <w:color w:val="auto"/>
              </w:rPr>
            </w:pPr>
            <w:r>
              <w:rPr>
                <w:rFonts w:ascii="Times New Roman" w:cs="Times New Roman" w:eastAsia="Times New Roman" w:hAnsi="Times New Roman"/>
                <w:sz w:val="14"/>
                <w:szCs w:val="14"/>
                <w:b w:val="1"/>
                <w:bCs w:val="1"/>
                <w:color w:val="auto"/>
                <w:w w:val="98"/>
              </w:rPr>
              <w:t>Envato</w:t>
            </w:r>
            <w:r>
              <w:rPr>
                <w:rFonts w:ascii="Times New Roman" w:cs="Times New Roman" w:eastAsia="Times New Roman" w:hAnsi="Times New Roman"/>
                <w:sz w:val="18"/>
                <w:szCs w:val="18"/>
                <w:b w:val="1"/>
                <w:bCs w:val="1"/>
                <w:color w:val="auto"/>
                <w:w w:val="98"/>
                <w:vertAlign w:val="superscript"/>
              </w:rPr>
              <w:t>2</w:t>
            </w:r>
          </w:p>
        </w:tc>
        <w:tc>
          <w:tcPr>
            <w:tcW w:w="280" w:type="dxa"/>
            <w:vAlign w:val="bottom"/>
          </w:tcPr>
          <w:p>
            <w:pPr>
              <w:spacing w:after="0"/>
              <w:rPr>
                <w:sz w:val="15"/>
                <w:szCs w:val="15"/>
                <w:color w:val="auto"/>
              </w:rPr>
            </w:pPr>
          </w:p>
        </w:tc>
        <w:tc>
          <w:tcPr>
            <w:tcW w:w="1220" w:type="dxa"/>
            <w:vAlign w:val="bottom"/>
          </w:tcPr>
          <w:p>
            <w:pPr>
              <w:jc w:val="center"/>
              <w:ind w:right="164"/>
              <w:spacing w:after="0" w:line="179" w:lineRule="exact"/>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18"/>
                <w:szCs w:val="18"/>
                <w:b w:val="1"/>
                <w:bCs w:val="1"/>
                <w:color w:val="auto"/>
                <w:w w:val="97"/>
                <w:vertAlign w:val="superscript"/>
              </w:rPr>
              <w:t>3</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12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6"/>
                <w:szCs w:val="16"/>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1"/>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Subscribers (end of period)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470,000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635,000</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1,105,000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551,000</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78.7</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34.4</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113.1</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94"/>
        </w:trPr>
        <w:tc>
          <w:tcPr>
            <w:tcW w:w="5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revenue per customer (last twelve months)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446</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85</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254</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32.9</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79.4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112.3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83"/>
        </w:trPr>
        <w:tc>
          <w:tcPr>
            <w:tcW w:w="5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484"/>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86"/>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64"/>
              <w:spacing w:after="0" w:line="186" w:lineRule="exact"/>
              <w:rPr>
                <w:sz w:val="20"/>
                <w:szCs w:val="20"/>
                <w:color w:val="auto"/>
              </w:rPr>
            </w:pPr>
            <w:r>
              <w:rPr>
                <w:rFonts w:ascii="Times New Roman" w:cs="Times New Roman" w:eastAsia="Times New Roman" w:hAnsi="Times New Roman"/>
                <w:sz w:val="14"/>
                <w:szCs w:val="14"/>
                <w:b w:val="1"/>
                <w:bCs w:val="1"/>
                <w:color w:val="auto"/>
                <w:w w:val="97"/>
              </w:rPr>
              <w:t>Shutterstock</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Pr>
          <w:p>
            <w:pPr>
              <w:spacing w:after="0"/>
              <w:rPr>
                <w:sz w:val="16"/>
                <w:szCs w:val="16"/>
                <w:color w:val="auto"/>
              </w:rPr>
            </w:pPr>
          </w:p>
        </w:tc>
        <w:tc>
          <w:tcPr>
            <w:tcW w:w="1200" w:type="dxa"/>
            <w:vAlign w:val="bottom"/>
          </w:tcPr>
          <w:p>
            <w:pPr>
              <w:jc w:val="center"/>
              <w:ind w:right="205"/>
              <w:spacing w:after="0" w:line="186" w:lineRule="exact"/>
              <w:rPr>
                <w:sz w:val="20"/>
                <w:szCs w:val="20"/>
                <w:color w:val="auto"/>
              </w:rPr>
            </w:pPr>
            <w:r>
              <w:rPr>
                <w:rFonts w:ascii="Times New Roman" w:cs="Times New Roman" w:eastAsia="Times New Roman" w:hAnsi="Times New Roman"/>
                <w:sz w:val="14"/>
                <w:szCs w:val="14"/>
                <w:b w:val="1"/>
                <w:bCs w:val="1"/>
                <w:color w:val="auto"/>
                <w:w w:val="98"/>
              </w:rPr>
              <w:t>Envato</w:t>
            </w:r>
            <w:r>
              <w:rPr>
                <w:rFonts w:ascii="Times New Roman" w:cs="Times New Roman" w:eastAsia="Times New Roman" w:hAnsi="Times New Roman"/>
                <w:sz w:val="18"/>
                <w:szCs w:val="18"/>
                <w:b w:val="1"/>
                <w:bCs w:val="1"/>
                <w:color w:val="auto"/>
                <w:w w:val="98"/>
                <w:vertAlign w:val="superscript"/>
              </w:rPr>
              <w:t>2</w:t>
            </w:r>
          </w:p>
        </w:tc>
        <w:tc>
          <w:tcPr>
            <w:tcW w:w="280" w:type="dxa"/>
            <w:vAlign w:val="bottom"/>
          </w:tcPr>
          <w:p>
            <w:pPr>
              <w:spacing w:after="0"/>
              <w:rPr>
                <w:sz w:val="16"/>
                <w:szCs w:val="16"/>
                <w:color w:val="auto"/>
              </w:rPr>
            </w:pPr>
          </w:p>
        </w:tc>
        <w:tc>
          <w:tcPr>
            <w:tcW w:w="1220" w:type="dxa"/>
            <w:vAlign w:val="bottom"/>
          </w:tcPr>
          <w:p>
            <w:pPr>
              <w:jc w:val="center"/>
              <w:ind w:right="164"/>
              <w:spacing w:after="0" w:line="186" w:lineRule="exact"/>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18"/>
                <w:szCs w:val="18"/>
                <w:b w:val="1"/>
                <w:bCs w:val="1"/>
                <w:color w:val="auto"/>
                <w:w w:val="97"/>
                <w:vertAlign w:val="superscript"/>
              </w:rPr>
              <w:t>3</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120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6"/>
                <w:szCs w:val="16"/>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1"/>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Subscribers (end of period)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470,000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635,000</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1,105,000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551,000</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242.9</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102.0</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344.9</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r>
      <w:tr>
        <w:trPr>
          <w:trHeight w:val="94"/>
        </w:trPr>
        <w:tc>
          <w:tcPr>
            <w:tcW w:w="5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revenue per customer (last twelve months)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446</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85</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254</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101.3</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229.6</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330.9</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213" w:lineRule="exact"/>
        <w:rPr>
          <w:sz w:val="20"/>
          <w:szCs w:val="20"/>
          <w:color w:val="auto"/>
        </w:rPr>
      </w:pPr>
    </w:p>
    <w:p>
      <w:pPr>
        <w:ind w:right="40" w:firstLine="5"/>
        <w:spacing w:after="0" w:line="219" w:lineRule="auto"/>
        <w:tabs>
          <w:tab w:leader="none" w:pos="10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Shutterstock, Inc. key operating metrics before combining the Envato related metrics. 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from Giphy beginning July 2024. These metrics exclude the respective counts and revenues from our acquisitions of Backgrid and Envato.</w:t>
      </w:r>
    </w:p>
    <w:p>
      <w:pPr>
        <w:spacing w:after="0" w:line="186" w:lineRule="exact"/>
        <w:rPr>
          <w:sz w:val="20"/>
          <w:szCs w:val="20"/>
          <w:color w:val="auto"/>
        </w:rPr>
      </w:pPr>
    </w:p>
    <w:p>
      <w:pPr>
        <w:ind w:right="220" w:firstLine="5"/>
        <w:spacing w:after="0" w:line="199" w:lineRule="auto"/>
        <w:tabs>
          <w:tab w:leader="none" w:pos="10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Envato Subscribers and Subscriber Revenue are presented as if Envato was acquired as of the beginning of the period presented, and represent metrics incremental to amounts presented under the “Shutterstock, Inc.” heading. Envato Average revenue per customer is derived from Envato historical results over the last twelve months.</w:t>
      </w:r>
    </w:p>
    <w:p>
      <w:pPr>
        <w:spacing w:after="0" w:line="105" w:lineRule="exact"/>
        <w:rPr>
          <w:sz w:val="20"/>
          <w:szCs w:val="20"/>
          <w:color w:val="auto"/>
        </w:rPr>
      </w:pPr>
    </w:p>
    <w:p>
      <w:pPr>
        <w:ind w:left="100" w:hanging="95"/>
        <w:spacing w:after="0"/>
        <w:tabs>
          <w:tab w:leader="none" w:pos="1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Pro Forma key operating metrics are derived from (i) the Shutterstock amounts before combining with Envato and (ii) the historical Envato metrics, as discussed in footnote 2 above.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37"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2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2023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2023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ethically sourced and licensable metadata at unique scales and quality. Our metadata customer base ranges from large technology and media companies to smaller start-up organizations.</w:t>
      </w:r>
    </w:p>
    <w:p>
      <w:pPr>
        <w:spacing w:after="0" w:line="77"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used to personalize casual conversations with GIFs, and generates billions of monthly impressions through over 14,000 API partners. We believe customers in all industries will look to use Giphy in marketing campaigns as another advertising outlet.</w:t>
      </w:r>
    </w:p>
    <w:p>
      <w:pPr>
        <w:spacing w:after="0" w:line="11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nine months ended September 30, 2024 and 2023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0"/>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37"/>
        </w:trPr>
        <w:tc>
          <w:tcPr>
            <w:tcW w:w="5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203,713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178,791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547,494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559,738</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54,457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137,462</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97,630</w:t>
            </w:r>
          </w:p>
        </w:tc>
      </w:tr>
      <w:tr>
        <w:trPr>
          <w:trHeight w:val="23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233,248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657,368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01" w:lineRule="exact"/>
        <w:rPr>
          <w:sz w:val="20"/>
          <w:szCs w:val="20"/>
          <w:color w:val="auto"/>
        </w:rPr>
      </w:pPr>
    </w:p>
    <w:p>
      <w:pPr>
        <w:ind w:right="4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Bargain Purchase Gain. </w:t>
      </w:r>
      <w:r>
        <w:rPr>
          <w:rFonts w:ascii="Times New Roman" w:cs="Times New Roman" w:eastAsia="Times New Roman" w:hAnsi="Times New Roman"/>
          <w:sz w:val="18"/>
          <w:szCs w:val="18"/>
          <w:color w:val="auto"/>
        </w:rPr>
        <w:t>A bargain purchase gain is recognized subsequent to an acquisition, if the fair value of the net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exceeds the net consideration.</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on our debt and amortization of deferred financing fees.</w:t>
      </w:r>
    </w:p>
    <w:p>
      <w:pPr>
        <w:spacing w:after="0" w:line="148" w:lineRule="exact"/>
        <w:rPr>
          <w:sz w:val="20"/>
          <w:szCs w:val="20"/>
          <w:color w:val="auto"/>
        </w:rPr>
      </w:pPr>
    </w:p>
    <w:p>
      <w:pPr>
        <w:ind w:right="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of non-operating costs such as foreign currency transaction gains and losses, in addition to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on investments and interest income and expense.</w:t>
      </w:r>
    </w:p>
    <w:p>
      <w:pPr>
        <w:spacing w:after="0" w:line="85"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233,248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657,368</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256,798</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152,084</w:t>
            </w: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72,722</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109,488</w:t>
            </w:r>
          </w:p>
        </w:tc>
      </w:tr>
      <w:tr>
        <w:trPr>
          <w:trHeight w:val="202"/>
        </w:trPr>
        <w:tc>
          <w:tcPr>
            <w:tcW w:w="5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591,092</w:t>
            </w:r>
          </w:p>
        </w:tc>
      </w:tr>
      <w:tr>
        <w:trPr>
          <w:trHeight w:val="20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66,276</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51,804</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7"/>
              </w:rPr>
              <w:t>(562)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r>
      <w:tr>
        <w:trPr>
          <w:trHeight w:val="209"/>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w:t>
            </w:r>
          </w:p>
        </w:tc>
      </w:tr>
      <w:tr>
        <w:trPr>
          <w:trHeight w:val="20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120,408</w:t>
            </w:r>
          </w:p>
        </w:tc>
      </w:tr>
      <w:tr>
        <w:trPr>
          <w:trHeight w:val="209"/>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97"/>
              </w:rPr>
              <w:t>(806)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9,133</w:t>
            </w:r>
          </w:p>
        </w:tc>
      </w:tr>
      <w:tr>
        <w:trPr>
          <w:trHeight w:val="229"/>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111,275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2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0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4"/>
        </w:trPr>
        <w:tc>
          <w:tcPr>
            <w:tcW w:w="50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2"/>
        </w:trPr>
        <w:tc>
          <w:tcPr>
            <w:tcW w:w="5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2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06"/>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6"/>
        </w:trPr>
        <w:tc>
          <w:tcPr>
            <w:tcW w:w="5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29"/>
        </w:trPr>
        <w:tc>
          <w:tcPr>
            <w:tcW w:w="5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233,248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94,219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37,574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5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216,056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16,383</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Benefit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9"/>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28,419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increased by $17.3 million, or 7%, to $250.6 million for the three months ended September 30, 2024, compared to the same period in 2023.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not impacted on a constant currency basis in the three months ended September 30, 2024, compared to the same period in 2023.</w:t>
      </w:r>
    </w:p>
    <w:p>
      <w:pPr>
        <w:spacing w:after="0" w:line="131"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color w:val="auto"/>
        </w:rPr>
        <w:t>The Company’s Content revenues increased by 14%, to $203.7 million in the three months ended September 30, 2024, compared to the same period in 2023. On a constant currency basis, Content revenues grew 13% in the three months ended September 30, 2024, compared to the same period in 2023. During the three months ended September 30, 2024, growth in our Content revenue was driven by the contribution of Envato, which was acquired on July 22, 2024. The increase was partially offset by a reduction in Content revenue generated from Shutterstock’s content offering due to weakness in new customer acquisition.</w:t>
      </w:r>
    </w:p>
    <w:p>
      <w:pPr>
        <w:spacing w:after="0" w:line="119"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Company’s Data, Distribution, and Services revenues decreased by 14%, to $46.9 million in the three months ended September 30, 2024, compared to the same period in 2023. The decrease in Data, Distribution, and Services revenues was driven by a decline in our data offering, which was offset by growth in our Distribution and Services offerings.</w:t>
      </w:r>
    </w:p>
    <w:p>
      <w:pPr>
        <w:spacing w:after="0" w:line="101" w:lineRule="exact"/>
        <w:rPr>
          <w:sz w:val="20"/>
          <w:szCs w:val="20"/>
          <w:color w:val="auto"/>
        </w:rPr>
      </w:pPr>
    </w:p>
    <w:p>
      <w:pPr>
        <w:jc w:val="both"/>
        <w:ind w:right="60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decreased by $2.8 million, or 2%, to $120.5 million, revenue from Europe increased by $12.9 million, or 23%, to $69.5 million and revenue from outside Europe and North America increased by $7.2 million, or 14%, to $60.6 million, in the three months ended September 30, 2024 compared to the same period in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16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increased by $10.2 million to $104.4 million in the three months ended September 30, 2024 compared to the same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in 2023. As a percentage of revenue, cost of revenue increased to 42% for the three months ended September 30, 2024, from 40% for the same period in 2023. This increase was driven by increased royalties, content expenses, and employee-related costs driven by the acquisition of Envato. These amounts were partially offset by a decrease in Shutterstock-legacy related royalties, content expenses, production costs and employee-related costs, and a decrease in recurring and non-recurring Giphy Retention Compensation. We expect that our cost of revenue will continue to fluctuate in-line with changes in revenue.</w:t>
      </w:r>
    </w:p>
    <w:p>
      <w:pPr>
        <w:spacing w:after="0" w:line="50" w:lineRule="exact"/>
        <w:rPr>
          <w:sz w:val="20"/>
          <w:szCs w:val="20"/>
          <w:color w:val="auto"/>
        </w:rPr>
      </w:pPr>
    </w:p>
    <w:p>
      <w:pPr>
        <w:ind w:right="4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$0.8 million, or 1%, to $55.4 million in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As a percentage of revenue, sales and marketing</w:t>
      </w:r>
    </w:p>
    <w:p>
      <w:pPr>
        <w:spacing w:after="0" w:line="200" w:lineRule="exact"/>
        <w:rPr>
          <w:sz w:val="20"/>
          <w:szCs w:val="20"/>
          <w:color w:val="auto"/>
        </w:rPr>
      </w:pPr>
    </w:p>
    <w:p>
      <w:pPr>
        <w:spacing w:after="0" w:line="29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expenses decreased to 22% for the three months ended September 30, 2024, from 24% for the same period in 2023. This was driven by a decrease in Shutterstock-legacy brand and performance-based marketing expenses and a decrease in consultant expenses. This was partially offset by marketing spend and employee-related costs attributable to the Envato business. In addition, there were $0.9 million and $1.1 million increases from recurring and non-recurring Giphy Retention Compensation expenses, respectively. We expect sales and marketing expenses to continue to fluctuate as we optimize our sales channels and invest in new customer acquisition, products and geographies.</w:t>
      </w:r>
    </w:p>
    <w:p>
      <w:pPr>
        <w:spacing w:after="0" w:line="7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increased by $0.5 million to $28.6 million in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2023. The increase in product development was driven by an increase in employee-related costs associated with the Envato business, offset by a decline in Shutterstock-legacy employee-related costs. In addition, there was a $1.2 million decrease and a $2.7 million increase from recurring and non-recurring Giphy Retention Compensation expenses, respectively.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$6.4 million to $44.0 million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This increase was driven by an increase in professional fees and employee-related costs associated with by the Envato business, offset by a decline in the Shutterstock-legacy employee-related costs. In addition, there were $0.7 million and $1.1 million decreases from recurring and non-recurring Giphy Retention Compensation expenses, respectively. In the three months ended September 30, 2024, the Company also incurred $3.2 million of transaction costs associated with the acquisition of Envato.</w:t>
      </w:r>
    </w:p>
    <w:p>
      <w:pPr>
        <w:spacing w:after="0" w:line="80" w:lineRule="exact"/>
        <w:rPr>
          <w:sz w:val="20"/>
          <w:szCs w:val="20"/>
          <w:color w:val="auto"/>
        </w:rPr>
      </w:pPr>
    </w:p>
    <w:p>
      <w:pPr>
        <w:ind w:right="4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In the three months ended September 30, 2023, we recorded an increase to the Giphy bargain purchase gain of $9.9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updates to deferred income tax balances recorded on the Giphy opening balance sheet.</w:t>
      </w:r>
    </w:p>
    <w:p>
      <w:pPr>
        <w:spacing w:after="0" w:line="59" w:lineRule="exact"/>
        <w:rPr>
          <w:sz w:val="20"/>
          <w:szCs w:val="20"/>
          <w:color w:val="auto"/>
        </w:rPr>
      </w:pPr>
    </w:p>
    <w:p>
      <w:pPr>
        <w:ind w:right="46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three months ended September 30, 2024 and September 30, 2023, we recognized interest expense of $4.5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$0.6 million, respectively, related to our credit facility and the amortization of deferred financing fees. Interest expense for the three months ended September 30, 2024 increased due to the borrowings under A&amp;R Credit Agreement entered into during the quarter ended September 30, 2024 to fund the acquisition of Envato.</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In the three months ended September 30, 2024, other income, net was driven by $1.6 million of unrealized gains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Meitu, Inc. In addition, other income, net had $1.1 million of interest income and $1.2 million of unrealized foreign currency gains. During the three months ended September 30, 2023, other income, net substantially consisted of $1.9 million of interest income and $0.8 million of unrealized foreign currency losses.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income tax benefit decreased by $0.7 million for the three months ended September 30, 2024, compared to the same period in 2023.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rates yielded a net benefit of 0.5% and 2.9% for the three months ended September 30, 2024 and 2023, respectively.</w:t>
      </w:r>
    </w:p>
    <w:p>
      <w:pPr>
        <w:spacing w:after="0" w:line="91"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For the three months ended September 30, 2024, the net effect of discrete items decreased the effective tax rate by 32.9%. The discrete items for the three months ended September 30, 2024 primarily relate to reversal of unrecognized tax benefits of $7.3 million due to the settlement of an IRS audit. Excluding discrete items, our effective tax rate would have been 32.4% for the three months ended September 30, 2024.</w:t>
      </w:r>
    </w:p>
    <w:p>
      <w:pPr>
        <w:spacing w:after="0" w:line="201"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2023, the net effect of discrete items decreased the effective tax rate by 14.9%. The discrete items for the three months ended September 30, 2023 primarily relate to the effect of the U.S. Research and Development (“R&amp;D”) tax credit claimed on the Company’s 2022 tax return, which was substantially completed in the third quarter of 2023. Excluding discrete items, our effective tax rate would have been 12.0% for the three months ended September 30, 2023.</w:t>
      </w:r>
    </w:p>
    <w:p>
      <w:pPr>
        <w:spacing w:after="0" w:line="11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6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657,368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256,798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152,084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72,722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109,488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2"/>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591,092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38,303</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66,276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51,804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333 %</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120,408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(65,931)</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29"/>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111,275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(73,914)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 meaningful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increased by $27.6 million, or 4%, to $685.0 million in the nine months ended September 30, 2024 compared to the same period in 2023.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not impacted on a constant currency basis in the nine months ended September 30, 2024, compared to the same period in 2023.</w:t>
      </w:r>
    </w:p>
    <w:p>
      <w:pPr>
        <w:spacing w:after="0" w:line="13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Company’s Content revenues decreased by 2%, to $547.5 million in the nine months ended September 30, 2024, compared to the same period in 2023. Foreign currency fluctuations did not have a significant impact on the Company’s Content revenues in the nine months ended September 30, 2024. The decline in our Content revenues was driven by weakness in new customer acquisition, partially offset by revenue from Envato, which was acquired on July 22, 2024.</w:t>
      </w:r>
    </w:p>
    <w:p>
      <w:pPr>
        <w:spacing w:after="0" w:line="118" w:lineRule="exact"/>
        <w:rPr>
          <w:sz w:val="20"/>
          <w:szCs w:val="20"/>
          <w:color w:val="auto"/>
        </w:rPr>
      </w:pPr>
    </w:p>
    <w:p>
      <w:pPr>
        <w:jc w:val="both"/>
        <w:ind w:right="80" w:firstLine="395"/>
        <w:spacing w:after="0" w:line="252" w:lineRule="auto"/>
        <w:rPr>
          <w:sz w:val="20"/>
          <w:szCs w:val="20"/>
          <w:color w:val="auto"/>
        </w:rPr>
      </w:pPr>
      <w:r>
        <w:rPr>
          <w:rFonts w:ascii="Times New Roman" w:cs="Times New Roman" w:eastAsia="Times New Roman" w:hAnsi="Times New Roman"/>
          <w:sz w:val="18"/>
          <w:szCs w:val="18"/>
          <w:color w:val="auto"/>
        </w:rPr>
        <w:t>The Company’s Data, Distribution, and Services revenues increased by 41%, to $137.5 million in the nine months ended September 30, 2024, compared to the same period in 2023. Foreign currency fluctuations did not have a significant impact on the Company’s Data, Distribution, and Services revenues in the nine months ended September 30, 2024. The increase in Data, Distribution, and Services revenues was driven by growth in our data offering, which grew 22% in the nine months ended September 30, 2024, as well as growth in our Distribution and Services offerings.</w:t>
      </w:r>
    </w:p>
    <w:p>
      <w:pPr>
        <w:spacing w:after="0" w:line="78"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$32.4 million, or 10%, to $351.1 million, revenue from Europe increased by $4.2 million, or 2%, to $178.2 million and revenue from outside Europe and North America decreased by $9.1 million, or 5%, to $155.6 million, in the nine months ended September 30, 2024 compared to the same period in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$27.1 million, or 11%, to $283.9 million in the nine months ended September 30,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As a percent of revenue, cost of revenue increased to 41% for the nine months ended September 30, 2024, from 39% for the same period in 2023. This increase was driven by increased royalty and content costs, costs associated with website hosting, hardware and software licenses, and employee related costs, and depreciation and amortization driven by the acquisition of Envato. We expect that our cost of revenue will continue to fluctuate in line with changes in revenue.</w:t>
      </w:r>
    </w:p>
    <w:p>
      <w:pPr>
        <w:spacing w:after="0" w:line="80"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$11.4 million, or 8%, to $163.5 million in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As a percent of revenue, sales and marketing expenses increased to 24% for the nine months ended September 30, 2024, from 23% for the same period in 2023. This increase was driven by increases in employee-related costs performance marketing spend driven by the Envato business, offset by a decline</w:t>
      </w: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Shutterstock’s performance marketing spend. In addition, there were $3.2 million and $0.8 million increases from recurring and non-recurring Giphy Retention Compensation, respectively. We expect sales and marketing expenses to continue to fluctuate as we optimize our sales channels and invest in new customer acquisition, products and geographies.</w:t>
      </w:r>
    </w:p>
    <w:p>
      <w:pPr>
        <w:spacing w:after="0" w:line="73"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decreased by $3.2 million, or 4%, to $69.5 million in the nine months ended September 30,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The decrease in product development was driven by a decrease in outside consultant expenses and a decrease Shutterstock-legacy employee-related costs. This was partially offset by increases in employee-related costs driven by the Envato business. In addition, there was a $2.7 million increase and a $0.7 million decrease from recurring and non-recurring Giphy Retention Compensation expenses, respectively.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206"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$3.0 million, or 3%, to $112.5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the same period in 2023. The increase was driven by an increase in professional fees associated with the acquisitions of Envato and Backgrid, and increase in employee-related costs driven by the the acquisition of Envato. This was partially offset by a decrease in bad debt expense, and a decrease in Shutterstock-legacy employee-related costs. In addition, there was a $0.3 million increase and a $1.5 million decrease from recurring and non-recurring Giphy Retention Compensation expenses, respectively. General and Administrative expenses for the nine months ended September 30, 2024 also includes $8.2 million of transaction costs for the Backgrid and Envato acquisitions.</w:t>
      </w:r>
    </w:p>
    <w:p>
      <w:pPr>
        <w:spacing w:after="0" w:line="80" w:lineRule="exact"/>
        <w:rPr>
          <w:sz w:val="20"/>
          <w:szCs w:val="20"/>
          <w:color w:val="auto"/>
        </w:rPr>
      </w:pPr>
    </w:p>
    <w:p>
      <w:pPr>
        <w:ind w:right="1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In the nine months ended September 30, 2023, we recognized a bargain purchase gain of $51.8 million related to the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Giphy, which represents the excess of the fair value of the net assets acquired in addition to the net negative purchase price.</w:t>
      </w:r>
    </w:p>
    <w:p>
      <w:pPr>
        <w:spacing w:after="0" w:line="59" w:lineRule="exact"/>
        <w:rPr>
          <w:sz w:val="20"/>
          <w:szCs w:val="20"/>
          <w:color w:val="auto"/>
        </w:rPr>
      </w:pPr>
    </w:p>
    <w:p>
      <w:pPr>
        <w:ind w:right="20" w:firstLine="395"/>
        <w:spacing w:after="0" w:line="304" w:lineRule="auto"/>
        <w:rPr>
          <w:sz w:val="20"/>
          <w:szCs w:val="20"/>
          <w:color w:val="auto"/>
        </w:rPr>
      </w:pP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In the nine months ended September 30, 2024 and September 30, 2023, we recognized interest expense of $5.6 million and $1.3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related to our credit facility and the amortization of deferred financing fees. Interest expense for the nine months ended September 30, 2024 increased due to borrowings under the A&amp;R Credit Agreement entered into during the quarter ended September 30, 2024 to fund the acquisition of Envato.</w:t>
      </w:r>
    </w:p>
    <w:p>
      <w:pPr>
        <w:spacing w:after="0" w:line="38"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During the nine months ended September 30, 2024, other income, net substantially consisted of $3.5 million of interest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 million of unrealized gains related to our investment in Meitu, Inc., partially offset by $0.7 million of unrealized foreign currency losses. During the nine months ended September 30, 2023 other income, net consisted of $0.9 million of unrealized foreign currency gains and $2.7 million of interest income.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right="6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$8.0 million for the nine months ended September 30, 2024 as compared to the same period in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yielded an expense of 31.4% and 7.6% for the nine months ended September 30, 2024 and 2023, respectively.</w:t>
      </w:r>
    </w:p>
    <w:p>
      <w:pPr>
        <w:spacing w:after="0" w:line="6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2024, the net effect of discrete items increased the effective tax rate by 8.2%. The discrete items for the nine months ended September 30, 2024 relate to shortfalls on equity award vestings and a one-time charge of $6.3 million related to the reversal of a deferred tax asset resulting from the expiration of equity awards granted to the Company’s Founder and Executive Chairman, partially offset by the reversal of unrecognized tax benefits of $7.3 million due to the settlement of an IRS audit. Excluding discrete items, our effective tax rate would have been 23.2% for the nine months ended September 30, 2024.</w:t>
      </w:r>
    </w:p>
    <w:p>
      <w:pPr>
        <w:spacing w:after="0" w:line="80"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2023, the net effect of discrete items decreased the effective tax rate by 8.9%. The discrete items for the nine months ended September 30, 2023 primarily relate to the non-taxable bargain purchase gain associated with the acquisition of Giphy and the effect of the U.S. Research and Development (“R&amp;D”) tax credit claimed on the Company’s 2022 tax return, which was substantially completed in the third quarter of 2023. Excluding discrete items, our effective tax rate would have been 16.5% for the nine months ended September 30, 2023.</w:t>
      </w:r>
    </w:p>
    <w:p>
      <w:pPr>
        <w:spacing w:after="0" w:line="78"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 For example, for the Content business,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106" w:lineRule="exact"/>
        <w:rPr>
          <w:sz w:val="20"/>
          <w:szCs w:val="20"/>
          <w:color w:val="auto"/>
        </w:rPr>
      </w:pPr>
    </w:p>
    <w:p>
      <w:pPr>
        <w:jc w:val="both"/>
        <w:ind w:right="20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As of September 30, 2024, we had cash and cash equivalents totaling $131.4 million which consisted primarily of bank balances. Since inception, we have financed our operations primarily through cash flows generated from operations. In addition, if necessary, we have the ability to draw on our A&amp;R Credit Agreement dated July 22, 2024.</w:t>
      </w:r>
    </w:p>
    <w:p>
      <w:pPr>
        <w:spacing w:after="0" w:line="75"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 our capital allocation strategies also include funding business combinations and asset acquisitions that enhance our strategic position, cash dividend payments, 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$0.90 per share of common stock, or $31.9 million during the nine months ended September 30, 2024.</w:t>
      </w:r>
    </w:p>
    <w:p>
      <w:pPr>
        <w:spacing w:after="0" w:line="91"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On October 21, 2024, our Board of Directors declared a quarterly cash dividend of $0.30 per share of outstanding common stock payable on December 13, 2024 to stockholders of record at the close of business on November 29, 2024.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74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“2023 Share Repurchase Program”), providing authorization to repurchase up to $100 million of our common stock.</w:t>
      </w:r>
    </w:p>
    <w:p>
      <w:pPr>
        <w:spacing w:after="0" w:line="64"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We expect to fund future repurchases, if any, through a combination of cash on hand, cash generated by operations and future financing transactions, if appropriate. Accordingly, our 2023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78"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As of September 30, 2024, we have repurchased approximately 5.5 million shares of our common stock under the 2023 Share Repurchase Program at an average per-share cost of $48.86. During the three and nine months ended September 30, 2024, we repurchased approximately 594,400 and 1,111,500 shares of our common stock at an average cost of $35.33 and $37.42, respectively. During the three and nine months ended September 30, 2023, we repurchased approximately 351,000 and 431,000 shares of common stock at an average cost of $42.75 and $44.06, respectively, under the 2023 Share Repurchase Program. As of September 30, 2024, we had $30 million of remaining authorization for repurchases under the 2023 Share Repurchase Program.</w:t>
      </w:r>
    </w:p>
    <w:p>
      <w:pPr>
        <w:spacing w:after="0" w:line="200" w:lineRule="exact"/>
        <w:rPr>
          <w:sz w:val="20"/>
          <w:szCs w:val="20"/>
          <w:color w:val="auto"/>
        </w:rPr>
      </w:pPr>
    </w:p>
    <w:p>
      <w:pPr>
        <w:spacing w:after="0" w:line="28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A&amp;R Credit Agreement</w:t>
      </w:r>
    </w:p>
    <w:p>
      <w:pPr>
        <w:spacing w:after="0" w:line="5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we entered into an amended and restated credit agreement (the “A&amp;R Credit Agreement”), which was entered into among us,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certain direct and indirect subsidiaries of our as guarantors, the lenders party thereto, and Bank of America, N.A., as Administrative Agent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A&amp;R Credit Agreement provides for a five-year (i) senior unsecured term loan facility (the “Term Loan”) in an aggregate principal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and (ii) senior unsecured revolving credit facility (the “Revolver”) in an aggregate principal amount of $250 million. The A&amp;R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 letter of credit subfacility and a swingline facility.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our option, loans under the A&amp;R Credit Agreement accrue interest at a per annum rate based on either (i) the base rate plus a margin ranging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leverage ratio or (ii) the Term Secured Overnight Financing Rate (“SOFR”) (for interest periods of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or 6 months) plus a margin ranging from 1.375% to 1.750%, determined based on our consolidated leverage ratio, plus a credit spread of 0.100%. We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an unused commitment fee ranging from 0.175% to 0.250%, determined based on our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we paid debt issuance costs of approximately $2.2 million.</w:t>
      </w:r>
    </w:p>
    <w:p>
      <w:pPr>
        <w:spacing w:after="0" w:line="91" w:lineRule="exact"/>
        <w:rPr>
          <w:sz w:val="20"/>
          <w:szCs w:val="20"/>
          <w:color w:val="auto"/>
        </w:rPr>
      </w:pPr>
    </w:p>
    <w:p>
      <w:pPr>
        <w:ind w:right="540" w:firstLine="395"/>
        <w:spacing w:after="0" w:line="332" w:lineRule="auto"/>
        <w:rPr>
          <w:sz w:val="20"/>
          <w:szCs w:val="20"/>
          <w:color w:val="auto"/>
        </w:rPr>
      </w:pPr>
      <w:r>
        <w:rPr>
          <w:rFonts w:ascii="Times New Roman" w:cs="Times New Roman" w:eastAsia="Times New Roman" w:hAnsi="Times New Roman"/>
          <w:sz w:val="16"/>
          <w:szCs w:val="16"/>
          <w:color w:val="auto"/>
        </w:rPr>
        <w:t>The A&amp;R Credit Agreement replaces our existing Credit Facility, which was fully repaid and terminated upon the effectiveness of the A&amp;R Credit Agreement. In connection with the closing of the Credit Facility, we repaid $30 million of existing outstanding borrowings and accrued interest.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2024, we had a remaining borrowing capacity of $94 million, net of standby letters of credit.</w:t>
      </w:r>
    </w:p>
    <w:p>
      <w:pPr>
        <w:spacing w:after="0" w:line="10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our activities, which are customary for this type of credit facility. We are also required to maintain compliance with a consolidated leverage ratio and a consolidated interest coverage ratio, in each case, determined in accordance with the terms of the A&amp;R Credit Agreement. As of September 30, 2024, we were in compliance with these covenants.</w:t>
      </w:r>
    </w:p>
    <w:p>
      <w:pPr>
        <w:spacing w:after="0" w:line="7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Our outstanding debt (in thousands) is reflected in the table below. We classify the Revolver as a current liability since we could draw upon and repay the outstanding amount as needed. The maturity of the Revolver is in 2029.</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debt consists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90"/>
        </w:trPr>
        <w:tc>
          <w:tcPr>
            <w:tcW w:w="888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Revolver - Credit Facility</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2"/>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155,000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120,392</w:t>
            </w:r>
          </w:p>
        </w:tc>
        <w:tc>
          <w:tcPr>
            <w:tcW w:w="1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17"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recognized interest expense of $4.5 million and $5.6 million, respectively. As of September 30, 2024, unamortized debt issuance cost related to the Term Loan - A&amp;R Credit Agreement is $0.8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2024, we had approximately $55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September 30, 2024, we had approximately $40 million in operating lease obligations with lease payments extending through 2029.</w:t>
      </w:r>
    </w:p>
    <w:p>
      <w:pPr>
        <w:spacing w:after="0" w:line="78"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See Note 14 to our Unaudited Consolidated Financial Statements included in Part I, Item 1 of this Quarterly Report on Form 10-Q for information regarding our existing capital commitments as of September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nine months ended September 30, 2024 and 2023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106,603</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(156,120)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8"/>
              </w:rPr>
              <w:t>(61,915)</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8"/>
              </w:rPr>
              <w:t>(83,234)</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$24.7 million for the nine months ended September 30, 2024, compared to Net cash provided by operating activities of $106.6 million for the nine months ended September 30, 2023. In the nine months ended September 30, 2024 and 2023, operating cash flows included a $28.7 million increase in the recurring and non-recurring payments made to the Giphy workforce, the reimbursement of which is reflected in Investing Activities on the Statement of Cash Flows. In the nine months ended September 30, 2024, operating cash flows included $45.7 million of cash outflows made for the Envato Seller Obligations.</w:t>
      </w:r>
    </w:p>
    <w:p>
      <w:pPr>
        <w:spacing w:after="0" w:line="119"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In addition, operating cash flows for the nine months ended September 30, 2023 were favorably impacted from an increase in operating income and changes in the timing of cash collections from data deal customers and payments pertaining to operating expenses, which can cause operating cash flow to fluctuate from period to period. In addition, operating cash flows for the nine months ended September 30, 2023 were unfavorably impacted by the recurring and non-recurring payments made to the Giphy workforce, the reimbursement of which is reflected in Investing Activities on the Statement of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7"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$156.1 million, consisting primarily of (i) $179.1 million used in the acquisition of Envato and Backgrid, net of cash acquired; (ii) capital expenditures of $38.3 million for internal-use software and website development costs and purchases of software and equipment; and (iii) $2.5 million paid to acquire the rights to distribute certain digital content into perpetuity. These cash outflows were partially offset by $63.4 million of Giphy Retention Compensation, as reimbursed by the Giphy seller.</w:t>
      </w:r>
    </w:p>
    <w:p>
      <w:pPr>
        <w:spacing w:after="0" w:line="78"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September 30, 2023 was $61.9 million, consisting primarily of (i) $53.7 million used in the acquisition of Giphy, net of cash acquired, (ii) capital expenditures of $34.7 million for internal-use software and website development costs and purchases of software and equipment, and (iii) $9.7 million paid to acquire the rights to distribute certain digital content in perpetuity. These cash outflows were partially offset by (i) $34.7 million of Giphy Retention Compensation, as reimbursed by the Giphy seller.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Cash provided by financing activities for the nine months ended September 30, 2024 was $162.6 million, consisting of (i) $280.0 million received from our A&amp;R Credit Agreement; (ii) $30.0 million used for the repayment of our Credit Facility; (iii) $31.9 million, related to the payment of the quarterly cash dividend; (vi) $41.6 million paid in connection with the repurchase of common stock under our 2023 Share Repurchase Program; (v) $11.7 million paid in the settlement of tax withholding obligations related to employee stock-based compensation awards; and (vi) $2.2 million paid for debt issuance costs.</w:t>
      </w: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2023 was $83.2 million, consisting of (i) $50.0 million used for the repayment of our Credit Facility; (ii) $29.0 million related to the payment of the quarterly cash dividend; (iii) $19.0 million paid in connection with the repurchase of common stock under the 2023 Share Repurchase Program; and (iv) $15.2 million paid in settlement of tax withholding obligations related to employee stock-based compensation awards. These amounts were partially offset by $30.0 million proceeds received from our Credit Facility.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shd w:val="clear" w:color="auto" w:fill="CCEEFF"/>
          </w:tcPr>
          <w:p>
            <w:pPr>
              <w:spacing w:after="0"/>
              <w:rPr>
                <w:sz w:val="17"/>
                <w:szCs w:val="17"/>
                <w:color w:val="auto"/>
              </w:rPr>
            </w:pPr>
          </w:p>
        </w:tc>
        <w:tc>
          <w:tcPr>
            <w:tcW w:w="2760" w:type="dxa"/>
            <w:vAlign w:val="bottom"/>
            <w:gridSpan w:val="4"/>
            <w:shd w:val="clear" w:color="auto" w:fill="CCEEFF"/>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4"/>
        </w:trPr>
        <w:tc>
          <w:tcPr>
            <w:tcW w:w="50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46,351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45,549</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115,369</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131,741</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69,997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64,690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188,046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194,509</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45,672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12,651</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93,102</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96,870</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bl>
    <w:p>
      <w:pPr>
        <w:spacing w:after="0" w:line="200" w:lineRule="exact"/>
        <w:rPr>
          <w:sz w:val="20"/>
          <w:szCs w:val="20"/>
          <w:color w:val="auto"/>
        </w:rPr>
      </w:pPr>
    </w:p>
    <w:p>
      <w:pPr>
        <w:spacing w:after="0" w:line="32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w:t>
      </w:r>
    </w:p>
    <w:p>
      <w:pPr>
        <w:spacing w:after="0" w:line="200" w:lineRule="exact"/>
        <w:rPr>
          <w:sz w:val="20"/>
          <w:szCs w:val="20"/>
          <w:color w:val="auto"/>
        </w:rPr>
      </w:pPr>
    </w:p>
    <w:p>
      <w:pPr>
        <w:spacing w:after="0" w:line="32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support the Company’s ongoing business operations and provides them with the same measures that management uses as the basis for making resource allocation decisions.</w:t>
      </w:r>
    </w:p>
    <w:p>
      <w:pPr>
        <w:spacing w:after="0" w:line="10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6"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0"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September 30, 2024, the Company also incurred $4.5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3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 xml:space="preserve">We define adjusted net income as net income adjusted for the impact of non-cash equity-based compensation, the amortization of acquisition-related intangible assets, Giphy Retention Compensation Expense - non-recurring, unrealized gains and losses on investments, severance costs associated with strategic workforce optimizations, and the estimated tax impact of such adjustments. We define adjusted net income per diluted common share as </w:t>
      </w: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divided by weighted average diluted shares.</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0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5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65"/>
        </w:trPr>
        <w:tc>
          <w:tcPr>
            <w:tcW w:w="5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17,615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111,275</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(1)(2)</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(8,599)</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(3)</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25,580</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(6,011)</w:t>
            </w:r>
          </w:p>
        </w:tc>
      </w:tr>
      <w:tr>
        <w:trPr>
          <w:trHeight w:val="211"/>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(51,804)</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25,389</w:t>
            </w:r>
          </w:p>
        </w:tc>
      </w:tr>
      <w:tr>
        <w:trPr>
          <w:trHeight w:val="212"/>
        </w:trPr>
        <w:tc>
          <w:tcPr>
            <w:tcW w:w="5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(4)</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04"/>
        </w:trPr>
        <w:tc>
          <w:tcPr>
            <w:tcW w:w="53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0"/>
                <w:szCs w:val="20"/>
                <w:color w:val="auto"/>
                <w:vertAlign w:val="superscript"/>
              </w:rPr>
              <w:t>(4)</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46,351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45,549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131,741</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5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53"/>
        </w:trPr>
        <w:tc>
          <w:tcPr>
            <w:tcW w:w="5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8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35,472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15" w:lineRule="exact"/>
        <w:rPr>
          <w:rFonts w:ascii="Times New Roman" w:cs="Times New Roman" w:eastAsia="Times New Roman" w:hAnsi="Times New Roman"/>
          <w:sz w:val="12"/>
          <w:szCs w:val="12"/>
          <w:color w:val="auto"/>
        </w:rPr>
      </w:pPr>
    </w:p>
    <w:p>
      <w:pPr>
        <w:ind w:left="320" w:right="40" w:hanging="315"/>
        <w:spacing w:after="0" w:line="261"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2024, the tax effect of non-cash equity-based compensation includes a $6.3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80" w:lineRule="exact"/>
        <w:rPr>
          <w:rFonts w:ascii="Times New Roman" w:cs="Times New Roman" w:eastAsia="Times New Roman" w:hAnsi="Times New Roman"/>
          <w:sz w:val="14"/>
          <w:szCs w:val="14"/>
          <w:color w:val="auto"/>
        </w:rPr>
      </w:pPr>
    </w:p>
    <w:p>
      <w:pPr>
        <w:ind w:left="320" w:right="180" w:hanging="315"/>
        <w:spacing w:after="0" w:line="271"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$7.8 million and $8.1 million are included in cost of revenue for the three months ended September 30, 2024 and 2023, respectively, and $24.1 million and $23.4 million are included in cost of revenue for the nine months ended September 30, 2024 and 2023, respectively. The remainder of acquisition-related amortization expense is included in general and administrative expense in the Statement of Operations.</w:t>
      </w:r>
    </w:p>
    <w:p>
      <w:pPr>
        <w:spacing w:after="0" w:line="73"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consists of unrealized gains and losses on investments and severance costs associated with strategic workforce optimizations.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45" w:lineRule="exact"/>
        <w:rPr>
          <w:sz w:val="20"/>
          <w:szCs w:val="20"/>
          <w:color w:val="auto"/>
        </w:rPr>
      </w:pPr>
    </w:p>
    <w:p>
      <w:pPr>
        <w:ind w:right="380" w:firstLine="395"/>
        <w:spacing w:after="0" w:line="230"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unrealized gains and losses on investments, interest income and expense and income taxes. We define adjusted EBITDA margin as the ratio of adjusted EBITDA to revenue.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5"/>
        </w:trPr>
        <w:tc>
          <w:tcPr>
            <w:tcW w:w="5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17,615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28,419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37,361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111,275</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4,451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1,286</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(2,727)</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17,116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9,133</w:t>
            </w:r>
          </w:p>
        </w:tc>
      </w:tr>
      <w:tr>
        <w:trPr>
          <w:trHeight w:val="20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21,643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21,271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64,339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59,373</w:t>
            </w:r>
          </w:p>
        </w:tc>
      </w:tr>
      <w:tr>
        <w:trPr>
          <w:trHeight w:val="20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42,535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47,552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120,913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178,340</w:t>
            </w: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15,094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13,003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41,220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36,589</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(9,864)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(51,804)</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10,281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8,198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21,825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25,389</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(gain) / loss</w:t>
            </w:r>
          </w:p>
        </w:tc>
        <w:tc>
          <w:tcPr>
            <w:tcW w:w="260" w:type="dxa"/>
            <w:vAlign w:val="bottom"/>
          </w:tcPr>
          <w:p>
            <w:pPr>
              <w:spacing w:after="0"/>
              <w:rPr>
                <w:sz w:val="18"/>
                <w:szCs w:val="18"/>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(887)</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5,101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6,882</w:t>
            </w:r>
          </w:p>
        </w:tc>
      </w:tr>
      <w:tr>
        <w:trPr>
          <w:trHeight w:val="23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69,997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64,690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188,046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194,509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250,588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233,248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657,368</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margin</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product offering) on a Constant Currency Basis</w:t>
      </w:r>
    </w:p>
    <w:p>
      <w:pPr>
        <w:spacing w:after="0" w:line="400"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250,588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233,248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684,956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657,368</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203,713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178,791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547,494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559,738</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46,875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54,457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137,462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97,630</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611 %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433 %</w:t>
            </w:r>
          </w:p>
        </w:tc>
        <w:tc>
          <w:tcPr>
            <w:tcW w:w="0" w:type="dxa"/>
            <w:vAlign w:val="bottom"/>
          </w:tcPr>
          <w:p>
            <w:pPr>
              <w:spacing w:after="0"/>
              <w:rPr>
                <w:sz w:val="1"/>
                <w:szCs w:val="1"/>
                <w:color w:val="auto"/>
              </w:rPr>
            </w:pPr>
          </w:p>
        </w:tc>
      </w:tr>
      <w:tr>
        <w:trPr>
          <w:trHeight w:val="159"/>
        </w:trPr>
        <w:tc>
          <w:tcPr>
            <w:tcW w:w="50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w:t>
            </w:r>
          </w:p>
        </w:tc>
        <w:tc>
          <w:tcPr>
            <w:tcW w:w="2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609 %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433 %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basis</w:t>
            </w: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Envato Seller Obligations.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 provided by operating activities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106,603</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 provided by investing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(61,915)</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213,334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162,556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(83,234)</w:t>
            </w:r>
          </w:p>
        </w:tc>
      </w:tr>
      <w:tr>
        <w:trPr>
          <w:trHeight w:val="265"/>
        </w:trPr>
        <w:tc>
          <w:tcPr>
            <w:tcW w:w="5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 provided by operating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106,603</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(34,715)</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34,707</w:t>
            </w:r>
          </w:p>
        </w:tc>
      </w:tr>
      <w:tr>
        <w:trPr>
          <w:trHeight w:val="212"/>
        </w:trPr>
        <w:tc>
          <w:tcPr>
            <w:tcW w:w="5340" w:type="dxa"/>
            <w:vAlign w:val="bottom"/>
            <w:shd w:val="clear" w:color="auto" w:fill="CCEEFF"/>
          </w:tcPr>
          <w:p>
            <w:pPr>
              <w:ind w:left="120"/>
              <w:spacing w:after="0" w:line="212" w:lineRule="exact"/>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93,102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96,870</w:t>
            </w: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320" w:right="60" w:hanging="315"/>
        <w:spacing w:after="0" w:line="268"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27% and 29% for the nine months ended September 30, 2024 and 2023,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nine months ended September 30, 2024,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00" w:type="dxa"/>
            <w:vAlign w:val="bottom"/>
            <w:tcBorders>
              <w:bottom w:val="single" w:sz="8" w:color="auto"/>
            </w:tcBorders>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800" w:type="dxa"/>
            <w:vAlign w:val="bottom"/>
            <w:tcBorders>
              <w:bottom w:val="single" w:sz="8" w:color="auto"/>
            </w:tcBorders>
          </w:tcPr>
          <w:p>
            <w:pPr>
              <w:spacing w:after="0"/>
              <w:rPr>
                <w:sz w:val="14"/>
                <w:szCs w:val="14"/>
                <w:color w:val="auto"/>
              </w:rPr>
            </w:pPr>
          </w:p>
        </w:tc>
      </w:tr>
      <w:tr>
        <w:trPr>
          <w:trHeight w:val="116"/>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7"/>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33,841</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33,186</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102,724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104,563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95,986</w:t>
            </w: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14,784</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11,424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34,061</w:t>
            </w:r>
          </w:p>
        </w:tc>
      </w:tr>
      <w:tr>
        <w:trPr>
          <w:trHeight w:val="211"/>
        </w:trPr>
        <w:tc>
          <w:tcPr>
            <w:tcW w:w="324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41,382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185,852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172,745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499,324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468,719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1"/>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233,248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Amounts borrowed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A hypothetical 10% change in interest rates would not have a material impact on our interest expense as of September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70" w:lineRule="exact"/>
        <w:rPr>
          <w:sz w:val="20"/>
          <w:szCs w:val="20"/>
          <w:color w:val="auto"/>
        </w:rPr>
      </w:pPr>
    </w:p>
    <w:p>
      <w:pPr>
        <w:ind w:right="20" w:firstLine="474"/>
        <w:spacing w:after="0" w:line="237"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Management is currently integrating Envato into our operations and internal control processes and, pursuant to the SEC’s guidance that an assessment of a recently acquired business may be omitted from the scope of an assessment in the year of acquisition, the Company is excluding the internal control over financial reporting of Envato from its evaluation of the effectiveness of the Company’s disclosure controls and procedures as of September 30, 2024.</w:t>
      </w:r>
    </w:p>
    <w:p>
      <w:pPr>
        <w:spacing w:after="0" w:line="20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2024, and subject to the foregoing,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As mentioned above, the Company completed its acquisition of Envato on July 22, 2024. The Company is in the process of reviewing the internal control structure of Envato and, if necessary, will make appropriate changes as it integrates Envato into the Company’s overall internal control over financial reporting process.</w:t>
      </w:r>
    </w:p>
    <w:p>
      <w:pPr>
        <w:spacing w:after="0" w:line="200" w:lineRule="exact"/>
        <w:rPr>
          <w:sz w:val="20"/>
          <w:szCs w:val="20"/>
          <w:color w:val="auto"/>
        </w:rPr>
      </w:pPr>
    </w:p>
    <w:p>
      <w:pPr>
        <w:spacing w:after="0" w:line="2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36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pending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4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2023 Form 10-K, which could materially affect our business, financial condition or future results. During the three months ended September 30, 2024, there were no material changes to these risk factors as described in our 2023 Form 10-K.</w:t>
      </w:r>
    </w:p>
    <w:p>
      <w:pPr>
        <w:sectPr>
          <w:pgSz w:w="11900" w:h="16838" w:orient="portrait"/>
          <w:cols w:equalWidth="0" w:num="1">
            <w:col w:w="11340"/>
          </w:cols>
          <w:pgMar w:left="320" w:top="121" w:right="239" w:bottom="1440" w:gutter="0" w:footer="0" w:header="0"/>
        </w:sectPr>
      </w:pPr>
    </w:p>
    <w:p>
      <w:pPr>
        <w:spacing w:after="0" w:line="3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44"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538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w w:val="99"/>
              </w:rPr>
              <w:t>ISSUER PURCHASES OF EQUITY SECURITIES</w:t>
            </w:r>
          </w:p>
        </w:tc>
        <w:tc>
          <w:tcPr>
            <w:tcW w:w="0" w:type="dxa"/>
            <w:vAlign w:val="bottom"/>
          </w:tcPr>
          <w:p>
            <w:pPr>
              <w:spacing w:after="0"/>
              <w:rPr>
                <w:sz w:val="1"/>
                <w:szCs w:val="1"/>
                <w:color w:val="auto"/>
              </w:rPr>
            </w:pPr>
          </w:p>
        </w:tc>
      </w:tr>
      <w:tr>
        <w:trPr>
          <w:trHeight w:val="57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80" w:type="dxa"/>
            <w:vAlign w:val="bottom"/>
          </w:tcPr>
          <w:p>
            <w:pPr>
              <w:jc w:val="center"/>
              <w:ind w:left="1150"/>
              <w:spacing w:after="0"/>
              <w:rPr>
                <w:sz w:val="20"/>
                <w:szCs w:val="20"/>
                <w:color w:val="auto"/>
              </w:rPr>
            </w:pPr>
            <w:r>
              <w:rPr>
                <w:rFonts w:ascii="Times New Roman" w:cs="Times New Roman" w:eastAsia="Times New Roman" w:hAnsi="Times New Roman"/>
                <w:sz w:val="14"/>
                <w:szCs w:val="14"/>
                <w:b w:val="1"/>
                <w:bCs w:val="1"/>
                <w:color w:val="auto"/>
                <w:w w:val="99"/>
              </w:rPr>
              <w:t>(a) Total Number of Shares (or</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 Average Price Paid Per</w:t>
            </w:r>
          </w:p>
        </w:tc>
        <w:tc>
          <w:tcPr>
            <w:tcW w:w="0" w:type="dxa"/>
            <w:vAlign w:val="bottom"/>
          </w:tcPr>
          <w:p>
            <w:pPr>
              <w:spacing w:after="0"/>
              <w:rPr>
                <w:sz w:val="1"/>
                <w:szCs w:val="1"/>
                <w:color w:val="auto"/>
              </w:rPr>
            </w:pPr>
          </w:p>
        </w:tc>
      </w:tr>
      <w:tr>
        <w:trPr>
          <w:trHeight w:val="185"/>
        </w:trPr>
        <w:tc>
          <w:tcPr>
            <w:tcW w:w="1760" w:type="dxa"/>
            <w:vAlign w:val="bottom"/>
            <w:vMerge w:val="continue"/>
          </w:tcPr>
          <w:p>
            <w:pPr>
              <w:spacing w:after="0"/>
              <w:rPr>
                <w:sz w:val="16"/>
                <w:szCs w:val="16"/>
                <w:color w:val="auto"/>
              </w:rPr>
            </w:pPr>
          </w:p>
        </w:tc>
        <w:tc>
          <w:tcPr>
            <w:tcW w:w="3380" w:type="dxa"/>
            <w:vAlign w:val="bottom"/>
          </w:tcPr>
          <w:p>
            <w:pPr>
              <w:jc w:val="center"/>
              <w:ind w:left="1150"/>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(c) Total Number of Shares (or</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 Maximum Number (o</w:t>
            </w:r>
          </w:p>
        </w:tc>
        <w:tc>
          <w:tcPr>
            <w:tcW w:w="0" w:type="dxa"/>
            <w:vAlign w:val="bottom"/>
          </w:tcPr>
          <w:p>
            <w:pPr>
              <w:spacing w:after="0"/>
              <w:rPr>
                <w:sz w:val="1"/>
                <w:szCs w:val="1"/>
                <w:color w:val="auto"/>
              </w:rPr>
            </w:pPr>
          </w:p>
        </w:tc>
      </w:tr>
      <w:tr>
        <w:trPr>
          <w:trHeight w:val="143"/>
        </w:trPr>
        <w:tc>
          <w:tcPr>
            <w:tcW w:w="1940" w:type="dxa"/>
            <w:vAlign w:val="bottom"/>
            <w:vMerge w:val="continue"/>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32"/>
        </w:trPr>
        <w:tc>
          <w:tcPr>
            <w:tcW w:w="1940" w:type="dxa"/>
            <w:vAlign w:val="bottom"/>
          </w:tcPr>
          <w:p>
            <w:pPr>
              <w:jc w:val="center"/>
              <w:ind w:right="30"/>
              <w:spacing w:after="0" w:line="132" w:lineRule="exact"/>
              <w:rPr>
                <w:sz w:val="20"/>
                <w:szCs w:val="20"/>
                <w:color w:val="auto"/>
              </w:rPr>
            </w:pPr>
            <w:r>
              <w:rPr>
                <w:rFonts w:ascii="Times New Roman" w:cs="Times New Roman" w:eastAsia="Times New Roman" w:hAnsi="Times New Roman"/>
                <w:sz w:val="14"/>
                <w:szCs w:val="14"/>
                <w:b w:val="1"/>
                <w:bCs w:val="1"/>
                <w:color w:val="auto"/>
                <w:w w:val="99"/>
              </w:rPr>
              <w:t>Units) Purchased as Part of</w:t>
            </w:r>
          </w:p>
        </w:tc>
        <w:tc>
          <w:tcPr>
            <w:tcW w:w="17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b w:val="1"/>
                <w:bCs w:val="1"/>
                <w:color w:val="auto"/>
              </w:rPr>
              <w:t>Shares (or Units) That May</w:t>
            </w:r>
          </w:p>
        </w:tc>
        <w:tc>
          <w:tcPr>
            <w:tcW w:w="0" w:type="dxa"/>
            <w:vAlign w:val="bottom"/>
          </w:tcPr>
          <w:p>
            <w:pPr>
              <w:spacing w:after="0"/>
              <w:rPr>
                <w:sz w:val="1"/>
                <w:szCs w:val="1"/>
                <w:color w:val="auto"/>
              </w:rPr>
            </w:pPr>
          </w:p>
        </w:tc>
      </w:tr>
      <w:tr>
        <w:trPr>
          <w:trHeight w:val="145"/>
        </w:trPr>
        <w:tc>
          <w:tcPr>
            <w:tcW w:w="194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7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Be Purchased Under the Pl</w:t>
            </w:r>
          </w:p>
        </w:tc>
        <w:tc>
          <w:tcPr>
            <w:tcW w:w="0" w:type="dxa"/>
            <w:vAlign w:val="bottom"/>
          </w:tcPr>
          <w:p>
            <w:pPr>
              <w:spacing w:after="0"/>
              <w:rPr>
                <w:sz w:val="1"/>
                <w:szCs w:val="1"/>
                <w:color w:val="auto"/>
              </w:rPr>
            </w:pPr>
          </w:p>
        </w:tc>
      </w:tr>
      <w:tr>
        <w:trPr>
          <w:trHeight w:val="197"/>
        </w:trPr>
        <w:tc>
          <w:tcPr>
            <w:tcW w:w="1940" w:type="dxa"/>
            <w:vAlign w:val="bottom"/>
          </w:tcPr>
          <w:p>
            <w:pPr>
              <w:jc w:val="center"/>
              <w:ind w:right="10"/>
              <w:spacing w:after="0" w:line="197"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(1)</w:t>
            </w:r>
          </w:p>
        </w:tc>
        <w:tc>
          <w:tcPr>
            <w:tcW w:w="1740" w:type="dxa"/>
            <w:vAlign w:val="bottom"/>
          </w:tcPr>
          <w:p>
            <w:pPr>
              <w:jc w:val="right"/>
              <w:ind w:right="210"/>
              <w:spacing w:after="0" w:line="197" w:lineRule="exact"/>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560" w:space="100"/>
            <w:col w:w="3680"/>
          </w:cols>
          <w:pgMar w:left="320" w:top="121" w:right="239" w:bottom="1440" w:gutter="0" w:footer="0" w:header="0"/>
          <w:type w:val="continuous"/>
        </w:sectPr>
      </w:pPr>
    </w:p>
    <w:tbl>
      <w:tblPr>
        <w:tblLayout w:type="fixed"/>
        <w:tblInd w:w="400" w:type="dxa"/>
        <w:tblCellMar>
          <w:top w:w="0" w:type="dxa"/>
          <w:left w:w="0" w:type="dxa"/>
          <w:bottom w:w="0" w:type="dxa"/>
          <w:right w:w="0" w:type="dxa"/>
        </w:tblCellMar>
      </w:tblPr>
      <w:tr>
        <w:trPr>
          <w:trHeight w:val="204"/>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1 - 31, 2024</w:t>
            </w:r>
          </w:p>
        </w:tc>
        <w:tc>
          <w:tcPr>
            <w:tcW w:w="1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9"/>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1 - 31, 2024</w:t>
            </w:r>
          </w:p>
        </w:tc>
        <w:tc>
          <w:tcPr>
            <w:tcW w:w="1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478,946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478,946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1 - 30, 2024</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115,485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12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6"/>
        </w:trPr>
        <w:tc>
          <w:tcPr>
            <w:tcW w:w="3100" w:type="dxa"/>
            <w:vAlign w:val="bottom"/>
          </w:tcPr>
          <w:p>
            <w:pPr>
              <w:spacing w:after="0"/>
              <w:rPr>
                <w:sz w:val="17"/>
                <w:szCs w:val="17"/>
                <w:color w:val="auto"/>
              </w:rPr>
            </w:pPr>
          </w:p>
        </w:tc>
        <w:tc>
          <w:tcPr>
            <w:tcW w:w="1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594,431</w:t>
            </w:r>
          </w:p>
        </w:tc>
        <w:tc>
          <w:tcPr>
            <w:tcW w:w="900" w:type="dxa"/>
            <w:vAlign w:val="bottom"/>
            <w:gridSpan w:val="2"/>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594,431</w:t>
            </w: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30,203,</w:t>
            </w:r>
          </w:p>
        </w:tc>
      </w:tr>
      <w:tr>
        <w:trPr>
          <w:trHeight w:val="20"/>
        </w:trPr>
        <w:tc>
          <w:tcPr>
            <w:tcW w:w="3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jc w:val="both"/>
        <w:ind w:left="320" w:right="380" w:hanging="315"/>
        <w:spacing w:after="0" w:line="261"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shares of our common stock in open market purchases pursuant to share repurchases authorized by our Board of Directors. In June 2023, our Board of Directors authorized the repurchase of up to $100 million of our common stock, which the Company announced on June 7, 2023. As of September 30, 2024, $30.2 million remained available for purchase under this authorization.</w:t>
      </w:r>
    </w:p>
    <w:p>
      <w:pPr>
        <w:spacing w:after="0" w:line="200" w:lineRule="exact"/>
        <w:rPr>
          <w:sz w:val="20"/>
          <w:szCs w:val="20"/>
          <w:color w:val="auto"/>
        </w:rPr>
      </w:pPr>
    </w:p>
    <w:p>
      <w:pPr>
        <w:spacing w:after="0" w:line="22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27" w:lineRule="exact"/>
        <w:rPr>
          <w:sz w:val="20"/>
          <w:szCs w:val="20"/>
          <w:color w:val="auto"/>
        </w:rPr>
      </w:pPr>
    </w:p>
    <w:p>
      <w:pPr>
        <w:ind w:right="380" w:firstLine="395"/>
        <w:spacing w:after="0" w:line="241"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47" w:name="page48"/>
    <w:bookmarkEnd w:id="4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8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80" w:type="dxa"/>
            <w:vAlign w:val="bottom"/>
            <w:gridSpan w:val="4"/>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82"/>
        </w:trPr>
        <w:tc>
          <w:tcPr>
            <w:tcW w:w="9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10.1</w:t>
            </w:r>
          </w:p>
        </w:tc>
        <w:tc>
          <w:tcPr>
            <w:tcW w:w="9960" w:type="dxa"/>
            <w:vAlign w:val="bottom"/>
            <w:gridSpan w:val="6"/>
          </w:tcPr>
          <w:p>
            <w:pPr>
              <w:spacing w:after="0" w:line="182" w:lineRule="exact"/>
              <w:rPr>
                <w:sz w:val="20"/>
                <w:szCs w:val="20"/>
                <w:color w:val="auto"/>
              </w:rPr>
            </w:pPr>
            <w:r>
              <w:rPr>
                <w:rFonts w:ascii="Times New Roman" w:cs="Times New Roman" w:eastAsia="Times New Roman" w:hAnsi="Times New Roman"/>
                <w:sz w:val="16"/>
                <w:szCs w:val="16"/>
                <w:color w:val="auto"/>
              </w:rPr>
              <w:t>Amended and Restated Credit Agreement, dated as of July 22, 2024, by and among Shutterstock, Inc., as borrower, certain subsidiary guarantors, certain</w:t>
            </w:r>
          </w:p>
        </w:tc>
      </w:tr>
      <w:tr>
        <w:trPr>
          <w:trHeight w:val="207"/>
        </w:trPr>
        <w:tc>
          <w:tcPr>
            <w:tcW w:w="960" w:type="dxa"/>
            <w:vAlign w:val="bottom"/>
          </w:tcPr>
          <w:p>
            <w:pPr>
              <w:spacing w:after="0"/>
              <w:rPr>
                <w:sz w:val="17"/>
                <w:szCs w:val="17"/>
                <w:color w:val="auto"/>
              </w:rPr>
            </w:pP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financial institutions, as lenders and Bank of America, N.A., as administrative agent for such lenders.</w:t>
            </w:r>
          </w:p>
        </w:tc>
      </w:tr>
      <w:tr>
        <w:trPr>
          <w:trHeight w:val="175"/>
        </w:trPr>
        <w:tc>
          <w:tcPr>
            <w:tcW w:w="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99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w w:val="98"/>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5"/>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780" w:type="dxa"/>
            <w:vAlign w:val="bottom"/>
            <w:gridSpan w:val="4"/>
          </w:tcPr>
          <w:p>
            <w:pPr>
              <w:spacing w:after="0" w:line="20" w:lineRule="exact"/>
              <w:rPr>
                <w:sz w:val="1"/>
                <w:szCs w:val="1"/>
                <w:color w:val="auto"/>
              </w:rPr>
            </w:pPr>
          </w:p>
        </w:tc>
      </w:tr>
      <w:tr>
        <w:trPr>
          <w:trHeight w:val="177"/>
        </w:trPr>
        <w:tc>
          <w:tcPr>
            <w:tcW w:w="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9960" w:type="dxa"/>
            <w:vAlign w:val="bottom"/>
            <w:gridSpan w:val="6"/>
          </w:tcPr>
          <w:p>
            <w:pPr>
              <w:spacing w:after="0" w:line="178" w:lineRule="exact"/>
              <w:rPr>
                <w:sz w:val="20"/>
                <w:szCs w:val="20"/>
                <w:color w:val="auto"/>
              </w:rPr>
            </w:pPr>
            <w:r>
              <w:rPr>
                <w:rFonts w:ascii="Times New Roman" w:cs="Times New Roman" w:eastAsia="Times New Roman" w:hAnsi="Times New Roman"/>
                <w:sz w:val="16"/>
                <w:szCs w:val="16"/>
                <w:color w:val="auto"/>
                <w:w w:val="98"/>
              </w:rPr>
              <w:t>XBRL Instance Document - the instance document does not appear in the Interactive Data File because its XBRL tags are embedded within the Inline XBRL</w:t>
            </w:r>
          </w:p>
        </w:tc>
      </w:tr>
      <w:tr>
        <w:trPr>
          <w:trHeight w:val="207"/>
        </w:trPr>
        <w:tc>
          <w:tcPr>
            <w:tcW w:w="960" w:type="dxa"/>
            <w:vAlign w:val="bottom"/>
          </w:tcPr>
          <w:p>
            <w:pPr>
              <w:spacing w:after="0"/>
              <w:rPr>
                <w:sz w:val="17"/>
                <w:szCs w:val="17"/>
                <w:color w:val="auto"/>
              </w:rPr>
            </w:pP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960" w:hanging="958"/>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134620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400" w:top="121" w:right="59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500" w:type="dxa"/>
            <w:vAlign w:val="bottom"/>
          </w:tcPr>
          <w:p>
            <w:pPr>
              <w:spacing w:after="0"/>
              <w:rPr>
                <w:sz w:val="18"/>
                <w:szCs w:val="18"/>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Dated: October 29,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202"/>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10"/>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Dated: October 29,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bl>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21"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October 29, 2024</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October 29,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September 30, 2024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October 29, 2024</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September 30, 2024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October 29,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2024-10-29T06:40:36Z</dcterms:created>
  <dcterms:modified xsi:type="dcterms:W3CDTF">2024-10-29T06:40:36Z</dcterms:modified>
</cp:coreProperties>
</file>