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699135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657225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 w:lineRule="exact"/>
        <w:rPr>
          <w:rFonts w:ascii="MS PGothic" w:cs="MS PGothic" w:eastAsia="MS PGothic" w:hAnsi="MS PGothic"/>
          <w:sz w:val="16"/>
          <w:szCs w:val="16"/>
          <w:color w:val="auto"/>
        </w:rPr>
      </w:pPr>
    </w:p>
    <w:p>
      <w:pPr>
        <w:ind w:left="390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2"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41" w:lineRule="exact"/>
        <w:rPr>
          <w:sz w:val="24"/>
          <w:szCs w:val="24"/>
          <w:color w:val="auto"/>
        </w:rPr>
      </w:pPr>
    </w:p>
    <w:p>
      <w:pPr>
        <w:ind w:left="2600"/>
        <w:spacing w:after="0"/>
        <w:tabs>
          <w:tab w:leader="none" w:pos="83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80-0812659</w:t>
      </w:r>
    </w:p>
    <w:p>
      <w:pPr>
        <w:spacing w:after="0" w:line="46" w:lineRule="exact"/>
        <w:rPr>
          <w:sz w:val="24"/>
          <w:szCs w:val="24"/>
          <w:color w:val="auto"/>
        </w:rPr>
      </w:pPr>
    </w:p>
    <w:p>
      <w:pPr>
        <w:ind w:left="1240"/>
        <w:spacing w:after="0"/>
        <w:tabs>
          <w:tab w:leader="none" w:pos="768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12"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32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October 31, 2025, 35,513,216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4"/>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80" w:type="dxa"/>
            <w:vAlign w:val="bottom"/>
            <w:tcBorders>
              <w:bottom w:val="single" w:sz="8" w:color="0000FF"/>
            </w:tcBorders>
          </w:tcPr>
          <w:p>
            <w:pPr>
              <w:spacing w:after="0"/>
              <w:rPr>
                <w:sz w:val="16"/>
                <w:szCs w:val="16"/>
                <w:color w:val="auto"/>
              </w:rPr>
            </w:pPr>
          </w:p>
        </w:tc>
        <w:tc>
          <w:tcPr>
            <w:tcW w:w="28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4"/>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3"/>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8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3"/>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3"/>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our proposed merger with Getty Images Holdings, Inc. (the “Merger”),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the proposed Merger;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 Form 10-K, which was filed with the Securities and Exchange Commission (the “SEC”) on February 25, 2025 (our “2024 Form 10-K”) and in our consolidated financial statements, related notes, and the other information appearing elsewhere in the 2024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00" w:lineRule="exact"/>
        <w:rPr>
          <w:sz w:val="20"/>
          <w:szCs w:val="20"/>
          <w:color w:val="auto"/>
        </w:rPr>
      </w:pPr>
    </w:p>
    <w:p>
      <w:pPr>
        <w:spacing w:after="0" w:line="4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8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165,536</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$3,726 and $3,101</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49,482</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255,958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569,668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110,780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1,375,599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158,106</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630,986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625,286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781,238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790,806</w:t>
            </w:r>
          </w:p>
        </w:tc>
        <w:tc>
          <w:tcPr>
            <w:tcW w:w="0" w:type="dxa"/>
            <w:vAlign w:val="bottom"/>
          </w:tcPr>
          <w:p>
            <w:pPr>
              <w:spacing w:after="0"/>
              <w:rPr>
                <w:sz w:val="1"/>
                <w:szCs w:val="1"/>
                <w:color w:val="auto"/>
              </w:rPr>
            </w:pPr>
          </w:p>
        </w:tc>
      </w:tr>
      <w:tr>
        <w:trPr>
          <w:trHeight w:val="201"/>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CCEEFF"/>
          </w:tcPr>
          <w:p>
            <w:pPr>
              <w:spacing w:after="0"/>
              <w:rPr>
                <w:sz w:val="13"/>
                <w:szCs w:val="13"/>
                <w:color w:val="auto"/>
              </w:rPr>
            </w:pPr>
          </w:p>
        </w:tc>
        <w:tc>
          <w:tcPr>
            <w:tcW w:w="732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41,024 and 40,395 shares issued and 35,503 and</w:t>
            </w: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34,874 shares outstanding as of September 30, 2025 and December 31, 2024, respectively</w:t>
            </w: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5,521 shares as of September 30, 2025 and December 31, 2024</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468,390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336,202</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594,361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1,375,599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222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684,956</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102,558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283,863</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59,358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163,520</w:t>
            </w:r>
          </w:p>
        </w:tc>
        <w:tc>
          <w:tcPr>
            <w:tcW w:w="0" w:type="dxa"/>
            <w:vAlign w:val="bottom"/>
          </w:tcPr>
          <w:p>
            <w:pPr>
              <w:spacing w:after="0"/>
              <w:rPr>
                <w:sz w:val="1"/>
                <w:szCs w:val="1"/>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69,520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43,313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112,492</w:t>
            </w:r>
          </w:p>
        </w:tc>
        <w:tc>
          <w:tcPr>
            <w:tcW w:w="0" w:type="dxa"/>
            <w:vAlign w:val="bottom"/>
          </w:tcPr>
          <w:p>
            <w:pPr>
              <w:spacing w:after="0"/>
              <w:rPr>
                <w:sz w:val="1"/>
                <w:szCs w:val="1"/>
                <w:color w:val="auto"/>
              </w:rPr>
            </w:pPr>
          </w:p>
        </w:tc>
      </w:tr>
      <w:tr>
        <w:trPr>
          <w:trHeight w:val="202"/>
        </w:trPr>
        <w:tc>
          <w:tcPr>
            <w:tcW w:w="5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692,281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629,395</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55,561</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8"/>
              </w:rPr>
              <w:t>(12,748)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4,490</w:t>
            </w:r>
          </w:p>
        </w:tc>
        <w:tc>
          <w:tcPr>
            <w:tcW w:w="0" w:type="dxa"/>
            <w:vAlign w:val="bottom"/>
          </w:tcPr>
          <w:p>
            <w:pPr>
              <w:spacing w:after="0"/>
              <w:rPr>
                <w:sz w:val="1"/>
                <w:szCs w:val="1"/>
                <w:color w:val="auto"/>
              </w:rPr>
            </w:pPr>
          </w:p>
        </w:tc>
      </w:tr>
      <w:tr>
        <w:trPr>
          <w:trHeight w:val="202"/>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54,477</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17,116</w:t>
            </w:r>
          </w:p>
        </w:tc>
        <w:tc>
          <w:tcPr>
            <w:tcW w:w="0" w:type="dxa"/>
            <w:vAlign w:val="bottom"/>
          </w:tcPr>
          <w:p>
            <w:pPr>
              <w:spacing w:after="0"/>
              <w:rPr>
                <w:sz w:val="1"/>
                <w:szCs w:val="1"/>
                <w:color w:val="auto"/>
              </w:rPr>
            </w:pPr>
          </w:p>
        </w:tc>
      </w:tr>
      <w:tr>
        <w:trPr>
          <w:trHeight w:val="177"/>
        </w:trPr>
        <w:tc>
          <w:tcPr>
            <w:tcW w:w="554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tcPr>
          <w:p>
            <w:pPr>
              <w:jc w:val="right"/>
              <w:ind w:right="2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6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17,615</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61,515</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37,361</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36,642</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35,979</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520" w:top="121" w:right="51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840" w:type="dxa"/>
            <w:vAlign w:val="bottom"/>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6"/>
                <w:szCs w:val="16"/>
                <w:color w:val="auto"/>
              </w:rPr>
            </w:pPr>
          </w:p>
        </w:tc>
      </w:tr>
      <w:tr>
        <w:trPr>
          <w:trHeight w:val="37"/>
        </w:trPr>
        <w:tc>
          <w:tcPr>
            <w:tcW w:w="6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0"/>
        </w:trPr>
        <w:tc>
          <w:tcPr>
            <w:tcW w:w="6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91"/>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r>
      <w:tr>
        <w:trPr>
          <w:trHeight w:val="209"/>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w:t>
            </w:r>
          </w:p>
        </w:tc>
      </w:tr>
      <w:tr>
        <w:trPr>
          <w:trHeight w:val="20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r>
      <w:tr>
        <w:trPr>
          <w:trHeight w:val="202"/>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11,027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21,875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73,467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39,841</w:t>
            </w:r>
          </w:p>
        </w:tc>
      </w:tr>
      <w:tr>
        <w:trPr>
          <w:trHeight w:val="21"/>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(Loss) / Income</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361,206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586,163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362,894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594,361</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520,412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(20,999)</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522,915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336,202</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46,471</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(34,823)</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594,361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41,220</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(31,938)</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40,371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453,734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348,076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522,915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0"/>
        </w:trPr>
        <w:tc>
          <w:tcPr>
            <w:tcW w:w="8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37,361</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64,339</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 of long-term investment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 on investments, net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(47,433)</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Envato Seller Obligations</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(45,748)</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22,626</w:t>
            </w:r>
          </w:p>
        </w:tc>
      </w:tr>
      <w:tr>
        <w:trPr>
          <w:trHeight w:val="20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(24,129)</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(38,297)</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(179,071)</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(156,120)</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(11,715)</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(31,938)</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(46,271)</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162,556</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30,903</w:t>
            </w:r>
          </w:p>
        </w:tc>
      </w:tr>
      <w:tr>
        <w:trPr>
          <w:trHeight w:val="92"/>
        </w:trPr>
        <w:tc>
          <w:tcPr>
            <w:tcW w:w="8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165,536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131,393</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0"/>
        </w:trPr>
        <w:tc>
          <w:tcPr>
            <w:tcW w:w="85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22,295</w:t>
            </w:r>
          </w:p>
        </w:tc>
      </w:tr>
      <w:tr>
        <w:trPr>
          <w:trHeight w:val="207"/>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 Agreement with Getty Images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On January 6, 2025, the Company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40" w:lineRule="exact"/>
        <w:rPr>
          <w:sz w:val="20"/>
          <w:szCs w:val="20"/>
          <w:color w:val="auto"/>
        </w:rPr>
      </w:pPr>
    </w:p>
    <w:p>
      <w:pPr>
        <w:ind w:left="640" w:right="160" w:hanging="319"/>
        <w:spacing w:after="0" w:line="268" w:lineRule="auto"/>
        <w:tabs>
          <w:tab w:leader="none" w:pos="6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6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208"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0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A majority of Shutterstock stockholders approved the adoption of the Merger Agreement at a special meeting of stockholders held on June 10, 2025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The Merger is subject to the satisfaction of customary closing conditions, further described below, including receipt of required regulatory approvals.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80" w:lineRule="exact"/>
        <w:rPr>
          <w:sz w:val="20"/>
          <w:szCs w:val="20"/>
          <w:color w:val="auto"/>
        </w:rPr>
      </w:pPr>
    </w:p>
    <w:p>
      <w:pPr>
        <w:ind w:left="640" w:right="2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Stockholder Approval, which condition was subsequently satisfied as described above, and the Getty Images stockholder approval, which condition was subsequently satisfied by the Getty Images stockholder written consent;</w:t>
      </w:r>
    </w:p>
    <w:p>
      <w:pPr>
        <w:spacing w:after="0" w:line="64" w:lineRule="exact"/>
        <w:rPr>
          <w:rFonts w:ascii="Times New Roman" w:cs="Times New Roman" w:eastAsia="Times New Roman" w:hAnsi="Times New Roman"/>
          <w:sz w:val="18"/>
          <w:szCs w:val="18"/>
          <w:color w:val="auto"/>
        </w:rPr>
      </w:pPr>
    </w:p>
    <w:p>
      <w:pPr>
        <w:ind w:left="640" w:hanging="319"/>
        <w:spacing w:after="0" w:line="332" w:lineRule="auto"/>
        <w:tabs>
          <w:tab w:leader="none" w:pos="6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to be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95" w:lineRule="exact"/>
        <w:rPr>
          <w:rFonts w:ascii="Times New Roman" w:cs="Times New Roman" w:eastAsia="Times New Roman" w:hAnsi="Times New Roman"/>
          <w:sz w:val="18"/>
          <w:szCs w:val="18"/>
          <w:color w:val="auto"/>
        </w:rPr>
      </w:pPr>
    </w:p>
    <w:p>
      <w:pPr>
        <w:ind w:left="640" w:right="20" w:hanging="319"/>
        <w:spacing w:after="0" w:line="232"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 including but not limited to the U.K. Competition and Markets Authority (the “CMA”). On April 2, 2025, the Company and Getty Images each received a Request for Additional Information and Documentary Material from the U.S. Department of Justice (“DOJ”) in connection with the Merger and on November 3, 2025, the Company announced that the CMA has referred the Merger to a Phase 2 review process. The Company remains committed to the proposed Merger and will continue to engage with the DOJ and the CMA and work with Getty Images to expeditiously secure the necessary clearances;</w:t>
      </w:r>
    </w:p>
    <w:p>
      <w:pPr>
        <w:spacing w:after="0" w:line="22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108"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left="640" w:right="20" w:hanging="319"/>
        <w:spacing w:after="0" w:line="268" w:lineRule="auto"/>
        <w:tabs>
          <w:tab w:leader="none" w:pos="6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50" w:lineRule="exact"/>
        <w:rPr>
          <w:rFonts w:ascii="Times New Roman" w:cs="Times New Roman" w:eastAsia="Times New Roman" w:hAnsi="Times New Roman"/>
          <w:sz w:val="18"/>
          <w:szCs w:val="18"/>
          <w:color w:val="auto"/>
        </w:rPr>
      </w:pPr>
    </w:p>
    <w:p>
      <w:pPr>
        <w:ind w:left="640" w:right="100" w:hanging="319"/>
        <w:spacing w:after="0" w:line="241" w:lineRule="auto"/>
        <w:tabs>
          <w:tab w:leader="none" w:pos="6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On September 18, 2025, the Company and Getty Images agreed to waive this condition such that it is no longer a condition to the Merger.</w:t>
      </w:r>
    </w:p>
    <w:p>
      <w:pPr>
        <w:spacing w:after="0" w:line="11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The interim Consolidated Balance Sheet as of September 30, 2025, and the Consolidated Statements of Operations, Comprehensive Income and Stockholders’ Equity for the three and nine months ended September 30, 2025 and 2024, and the Consolidated Statements of Cash Flows for the nine months ended September 30, 2025 and 2024 are unaudited. The Consolidated Balance Sheet as of December 31, 2024,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September 30, 2025, and its consolidated results of operations, comprehensive income, stockholders’ equity and cash flows for the three and nine months ended September 30, 2025 and 2024. The financial data and the other financial information disclosed in the notes to the financial statements related to these periods are also unaudited. The results of operations for the nine months ended September 30, 2025 are not necessarily indicative of the results to be expected for the fiscal year ending December 31, 2025 or for any other future annual or interim period.</w:t>
      </w:r>
    </w:p>
    <w:p>
      <w:pPr>
        <w:spacing w:after="0" w:line="89"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2024 included in the Company’s Annual Report on Form 10-K, which was filed with the SEC on February 25, 2025.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$76.3 million of unbilled receivables of which $53.7 million are recorded in Accounts Receivable and $22.6 million are recorded in Other Assets, as of September 30, 2025.</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recorded bad debt expense of $1.0 million. As of September 30, 2025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the Company’s allowance for doubtful accounts was approximately $3.7 million and $3.1 million, respectively. The allowance for doubtful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is included as a reduction of accounts receivable on the Consolidated Balance Sheets.</w:t>
      </w:r>
    </w:p>
    <w:p>
      <w:pPr>
        <w:spacing w:after="0" w:line="9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September 30, 2025 and December 31, 2024, approximately $9.5 million and $13.3 million of financing receivables, respectively, were included in accounts receivable and other assets on the Consolidated Balance Sheets.</w:t>
      </w:r>
    </w:p>
    <w:p>
      <w:pPr>
        <w:spacing w:after="0" w:line="78"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September 30, 2025 two customers accounted for approximately 29% of the accounts receivable balance. As of December 31, 2024, one customer accounted for approximately 17%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40"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September 30, 2025 and December 31, 2024, the Company’s combined allowance for chargebacks and sales refunds was $0.2 million and $0.3 million, respectively, which was included as a component of other current liabilities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80" w:firstLine="395"/>
        <w:spacing w:after="0" w:line="252"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11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10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129"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w:t>
      </w:r>
    </w:p>
    <w:p>
      <w:pPr>
        <w:spacing w:after="0" w:line="200" w:lineRule="exact"/>
        <w:rPr>
          <w:sz w:val="20"/>
          <w:szCs w:val="20"/>
          <w:color w:val="auto"/>
        </w:rPr>
      </w:pPr>
    </w:p>
    <w:p>
      <w:pPr>
        <w:spacing w:after="0" w:line="3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assets or liabilities requiring fair value hierarchy disclosures as of September 30, 2025 or December 31, 2024, except as noted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w:t>
      </w:r>
    </w:p>
    <w:p>
      <w:pPr>
        <w:spacing w:after="0" w:line="40"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net in the Consolidated Statement of Operations. The investment is subject to a contractual sale restriction that limits the sale or transfer of the investment for a period of 3 years, ending March 2027. Its fair value level hierarchy and amount at September 30, 2025 are as follows (in thousands):</w:t>
      </w:r>
    </w:p>
    <w:p>
      <w:pPr>
        <w:spacing w:after="0" w:line="9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53,354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37"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September 30, 2025 and December 31, 2024, the Company had $30.5 million and $24.0 million, respectively, recorded in Other Assets in the Consolidated Balance Sheet from equity instruments received. The Company estimated the value of these equity instruments based on issuers’ recent market transactions at the time the instruments were received from the customers.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119" w:lineRule="exact"/>
        <w:rPr>
          <w:sz w:val="20"/>
          <w:szCs w:val="20"/>
          <w:color w:val="auto"/>
        </w:rPr>
      </w:pPr>
    </w:p>
    <w:p>
      <w:pPr>
        <w:ind w:right="220" w:firstLine="395"/>
        <w:spacing w:after="0" w:line="289" w:lineRule="auto"/>
        <w:rPr>
          <w:sz w:val="20"/>
          <w:szCs w:val="20"/>
          <w:color w:val="auto"/>
        </w:rPr>
      </w:pPr>
      <w:r>
        <w:rPr>
          <w:rFonts w:ascii="Times New Roman" w:cs="Times New Roman" w:eastAsia="Times New Roman" w:hAnsi="Times New Roman"/>
          <w:sz w:val="16"/>
          <w:szCs w:val="16"/>
          <w:color w:val="auto"/>
        </w:rPr>
        <w:t>As of December 31, 2024, the Company also had a long-term investment in an equity security with no readily determinable fair value totaling $5.0 million. The Company used the measurement alternative for fair value and the investment’s carrying value was reported at cost, adjusted for impairments or any observable price changes in ordinary transactions with identical or similar investments. In the second quarter of 2025, the issuer of this security raised additional capital at a valuation that would result in the Company not recovering its investment in a liquidation event. Accordingly, as of June 30, 2025, the Company concluded this investment was fully impaired and recorded a $5.0 million impairment charge in the three-month period ended June 30, 2025.</w:t>
      </w:r>
    </w:p>
    <w:p>
      <w:pPr>
        <w:spacing w:after="0" w:line="88" w:lineRule="exact"/>
        <w:rPr>
          <w:sz w:val="20"/>
          <w:szCs w:val="20"/>
          <w:color w:val="auto"/>
        </w:rPr>
      </w:pPr>
    </w:p>
    <w:p>
      <w:pPr>
        <w:ind w:right="9860" w:firstLine="5"/>
        <w:spacing w:after="0" w:line="454" w:lineRule="auto"/>
        <w:tabs>
          <w:tab w:leader="none" w:pos="239"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b w:val="1"/>
          <w:bCs w:val="1"/>
          <w:u w:val="single" w:color="auto"/>
          <w:color w:val="auto"/>
        </w:rPr>
        <w:t>2024 Acquisitions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Envato</w:t>
      </w:r>
    </w:p>
    <w:p>
      <w:pPr>
        <w:spacing w:after="0" w:line="98" w:lineRule="exact"/>
        <w:rPr>
          <w:sz w:val="20"/>
          <w:szCs w:val="20"/>
          <w:color w:val="auto"/>
        </w:rPr>
      </w:pPr>
    </w:p>
    <w:p>
      <w:pPr>
        <w:ind w:right="60" w:firstLine="395"/>
        <w:spacing w:after="0" w:line="234"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pursuant to a Share Purchase Agreement (the “Purchase Agreement”) entered into on May 1, 2024, to acquire all of the issued and outstanding capital stock of Envato. The aggregate amount paid by the Company, after customary working capital and other adjustments in accordance with the terms of the Purchase Agreement, was $250.2 million. The consideration was sourced with cash obtained through the A&amp;R Credit Agreement. See Note 9 Debt for more information. In connection with the acquisition, the Company incurred approximately $7.0 million of transaction costs in total, which are included in general and administrative expenses on the Consolidated Statements of Operations.</w:t>
      </w:r>
    </w:p>
    <w:p>
      <w:pPr>
        <w:spacing w:after="0" w:line="197"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8"/>
          <w:szCs w:val="18"/>
          <w:color w:val="auto"/>
        </w:rPr>
        <w:t>Envato offers digital creative assets and templates, including Envato Elements, a creative subscription providing unlimited downloads of a diverse array of assets, templates, and more. The Company believes this acquisition complements Shutterstock’s existing offerings and expands its reach with faster growing audiences such as freelancers, hobbyists, small businesses and agencies.</w:t>
      </w:r>
    </w:p>
    <w:p>
      <w:pPr>
        <w:spacing w:after="0" w:line="205" w:lineRule="exact"/>
        <w:rPr>
          <w:sz w:val="20"/>
          <w:szCs w:val="20"/>
          <w:color w:val="auto"/>
        </w:rPr>
      </w:pPr>
    </w:p>
    <w:p>
      <w:pPr>
        <w:jc w:val="both"/>
        <w:ind w:right="240" w:firstLine="395"/>
        <w:spacing w:after="0" w:line="276" w:lineRule="auto"/>
        <w:rPr>
          <w:sz w:val="20"/>
          <w:szCs w:val="20"/>
          <w:color w:val="auto"/>
        </w:rPr>
      </w:pPr>
      <w:r>
        <w:rPr>
          <w:rFonts w:ascii="Times New Roman" w:cs="Times New Roman" w:eastAsia="Times New Roman" w:hAnsi="Times New Roman"/>
          <w:sz w:val="16"/>
          <w:szCs w:val="16"/>
          <w:color w:val="auto"/>
        </w:rPr>
        <w:t>The purchased assets included identifiable intangible assets, comprised of trademarks, developed technology and customer relationships, which have weighted average useful lives of approximately 10 years, 5 years and 6 years, respectively. The fair values of the trademark and developed technology were determined using the relief-from-royalty method, and the fair value of the customer relationships was determined using the excess of earnings method. The goodwill arising from the transaction is primarily attributable to expected operational synergies and is not deductible for income tax purposes.</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50"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104"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104"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trademark and developed technology, have useful lives of approximately 10 years and 5 years, respectively. The fair values of the trademark and developed technology were determined using the excess earnings and relief-from-royalty methods,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3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Envato and Backgrid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aggregate purchase price for the Envato and Backgrid acquisitions have been allocated to the assets acquired and liabilities assumed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Backgrid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800" w:type="dxa"/>
            <w:vAlign w:val="bottom"/>
          </w:tcPr>
          <w:p>
            <w:pPr>
              <w:ind w:left="240"/>
              <w:spacing w:after="0" w:line="204"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92,309</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7,550</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5,481</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r>
      <w:tr>
        <w:trPr>
          <w:trHeight w:val="20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r>
      <w:tr>
        <w:trPr>
          <w:trHeight w:val="212"/>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31,300</w:t>
            </w:r>
          </w:p>
        </w:tc>
      </w:tr>
      <w:tr>
        <w:trPr>
          <w:trHeight w:val="21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61,900</w:t>
            </w:r>
          </w:p>
        </w:tc>
      </w:tr>
      <w:tr>
        <w:trPr>
          <w:trHeight w:val="20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14,200</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14,200</w:t>
            </w:r>
          </w:p>
        </w:tc>
      </w:tr>
      <w:tr>
        <w:trPr>
          <w:trHeight w:val="20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106,200</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107,400</w:t>
            </w:r>
          </w:p>
        </w:tc>
      </w:tr>
      <w:tr>
        <w:trPr>
          <w:trHeight w:val="204"/>
        </w:trPr>
        <w:tc>
          <w:tcPr>
            <w:tcW w:w="6800" w:type="dxa"/>
            <w:vAlign w:val="bottom"/>
          </w:tcPr>
          <w:p>
            <w:pPr>
              <w:ind w:left="240"/>
              <w:spacing w:after="0" w:line="204" w:lineRule="exact"/>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0"/>
                <w:szCs w:val="20"/>
                <w:color w:val="auto"/>
                <w:vertAlign w:val="superscript"/>
              </w:rPr>
              <w:t>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189,004</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36,956</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36,956</w:t>
            </w:r>
          </w:p>
        </w:tc>
      </w:tr>
      <w:tr>
        <w:trPr>
          <w:trHeight w:val="20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416,298</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23,570</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439,868</w:t>
            </w:r>
          </w:p>
        </w:tc>
      </w:tr>
      <w:tr>
        <w:trPr>
          <w:trHeight w:val="20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(30,461)</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1"/>
        </w:trPr>
        <w:tc>
          <w:tcPr>
            <w:tcW w:w="68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(72,682)</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(73,756)</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(166,083)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(168,505)</w:t>
            </w:r>
          </w:p>
        </w:tc>
      </w:tr>
      <w:tr>
        <w:trPr>
          <w:trHeight w:val="231"/>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250,215</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271,363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right="420" w:firstLine="5"/>
        <w:spacing w:after="0" w:line="238" w:lineRule="auto"/>
        <w:tabs>
          <w:tab w:leader="none" w:pos="81"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Envato’s cash includes $63.4 million for the funding of Envato obligations that were triggered upon the closing of the acquisition (the “Envato Seller Obligations”). These obligations are also reported as assumed liabilities within Other liabilities. The Envato Obligations would not have been incurred had the acquisition not closed, and are presented “on-the-line” because they are not reflected in either the acquirer’s or acquiree’s statement of operations.</w:t>
      </w:r>
    </w:p>
    <w:p>
      <w:pPr>
        <w:spacing w:after="0" w:line="120" w:lineRule="exact"/>
        <w:rPr>
          <w:sz w:val="20"/>
          <w:szCs w:val="20"/>
          <w:color w:val="auto"/>
        </w:rPr>
      </w:pPr>
    </w:p>
    <w:p>
      <w:pPr>
        <w:ind w:right="180" w:firstLine="5"/>
        <w:spacing w:after="0" w:line="222" w:lineRule="auto"/>
        <w:tabs>
          <w:tab w:leader="none" w:pos="68"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the first quarter of 2025, the Company updated its preliminary allocation of the Envato purchase price to the assets acquired and liabilities assumed. This resulted in (i) a $1.6 million increase to goodwill, (ii) a $0.4 million decrease to Deferred tax assets, and (iii) a $1.2 million increase to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and nine months ended September 30, 2025 and 2024, respectively, as if the Envato and Backgrid acquisitions had been completed on January 1, 2023.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0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5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250,588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684,956</w:t>
            </w:r>
          </w:p>
        </w:tc>
      </w:tr>
      <w:tr>
        <w:trPr>
          <w:trHeight w:val="209"/>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261,610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795,085</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17,527</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54,477</w:t>
            </w:r>
          </w:p>
        </w:tc>
      </w:tr>
      <w:tr>
        <w:trPr>
          <w:trHeight w:val="212"/>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21,245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69,812</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80" w:type="dxa"/>
            <w:vAlign w:val="bottom"/>
          </w:tcPr>
          <w:p>
            <w:pPr>
              <w:spacing w:after="0"/>
              <w:rPr>
                <w:sz w:val="16"/>
                <w:szCs w:val="16"/>
                <w:color w:val="auto"/>
              </w:rPr>
            </w:pPr>
          </w:p>
        </w:tc>
        <w:tc>
          <w:tcPr>
            <w:tcW w:w="18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351,062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382,529</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(316,129)</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1"/>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$11.0 million and $10.7 million for the three months ended September 30, 2025 and 2024, respectively, and $32.5 million and $31.4 million for the nine months ended September 30, 2025 and 2024, respectively. Cost of revenues included depreciation and amortization expense of $10.6 million and $10.3 million for the three months ended September 30, 2025 and 2024, respectively, and $31.5 million and $30.2 million for the nine months ended September 30, 2025 and 2024, respectively. General and administrative expense included depreciation and amortization expense of $0.4 million and $0.5 million for the three months ended September 30, 2025 and 2024, respectively, and $1.0 million and $1.2 million for the nine months ended September 30, 2025 and 2024, respectively.</w:t>
      </w:r>
    </w:p>
    <w:p>
      <w:pPr>
        <w:spacing w:after="0" w:line="80"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$10.4 million and $9.2 million for the three months ended September 30, 2025 and 2024, respectively, and $30.7 million and $27.8 million for the nine months ended September 30, 2025 and 2024, respectively. Capitalized amounts are included as a component of property and equipment under computer equipment and software on the Consolidated Balance Sheets.</w:t>
      </w:r>
    </w:p>
    <w:p>
      <w:pPr>
        <w:spacing w:after="0" w:line="40" w:lineRule="exact"/>
        <w:rPr>
          <w:sz w:val="20"/>
          <w:szCs w:val="20"/>
          <w:color w:val="auto"/>
        </w:rPr>
      </w:pPr>
    </w:p>
    <w:p>
      <w:pPr>
        <w:ind w:right="420" w:firstLine="395"/>
        <w:spacing w:after="0" w:line="303" w:lineRule="auto"/>
        <w:rPr>
          <w:sz w:val="20"/>
          <w:szCs w:val="20"/>
          <w:color w:val="auto"/>
        </w:rPr>
      </w:pPr>
      <w:r>
        <w:rPr>
          <w:rFonts w:ascii="Times New Roman" w:cs="Times New Roman" w:eastAsia="Times New Roman" w:hAnsi="Times New Roman"/>
          <w:sz w:val="16"/>
          <w:szCs w:val="16"/>
          <w:color w:val="auto"/>
        </w:rPr>
        <w:t>The portion of total depreciation expense related to capitalized internal-use software was $10.4 million and $10.0 million for the three months ended September 30, 2025 and 2024, respectively, and $30.8 million and $29.3 million for the nine months ended September 30, 2025 and 2024, respectively. Depreciation expense related to capitalized internal-use software is included in cost of revenue in the Consolidated Statements of Operations.</w:t>
      </w:r>
    </w:p>
    <w:p>
      <w:pPr>
        <w:spacing w:after="0" w:line="4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capitalized internal-use software of $57.7 million and $57.8 million, respectively, net of accumulated depreciation, which was included in property and equipment, net.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nine months ended September 30, 2025.</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nine months ended September 30, 2025 (in thousands):</w:t>
      </w:r>
    </w:p>
    <w:p>
      <w:pPr>
        <w:spacing w:after="0" w:line="1"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Envato measurement period adjustment</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September 30, 2025</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63" w:hanging="1163"/>
        <w:spacing w:after="0"/>
        <w:tabs>
          <w:tab w:leader="none" w:pos="116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569,668</w:t>
      </w:r>
    </w:p>
    <w:p>
      <w:pPr>
        <w:spacing w:after="0" w:line="26" w:lineRule="exact"/>
        <w:rPr>
          <w:rFonts w:ascii="Times New Roman" w:cs="Times New Roman" w:eastAsia="Times New Roman" w:hAnsi="Times New Roman"/>
          <w:sz w:val="16"/>
          <w:szCs w:val="16"/>
          <w:color w:val="auto"/>
        </w:rPr>
      </w:pPr>
    </w:p>
    <w:p>
      <w:pPr>
        <w:ind w:left="13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1,588</w:t>
      </w:r>
    </w:p>
    <w:p>
      <w:pPr>
        <w:spacing w:after="0" w:line="26" w:lineRule="exact"/>
        <w:rPr>
          <w:rFonts w:ascii="Times New Roman" w:cs="Times New Roman" w:eastAsia="Times New Roman" w:hAnsi="Times New Roman"/>
          <w:sz w:val="16"/>
          <w:szCs w:val="16"/>
          <w:color w:val="auto"/>
        </w:rPr>
      </w:pPr>
    </w:p>
    <w:p>
      <w:pPr>
        <w:ind w:left="13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0" w:lineRule="exact"/>
        <w:rPr>
          <w:sz w:val="20"/>
          <w:szCs w:val="20"/>
          <w:color w:val="auto"/>
        </w:rPr>
      </w:pPr>
    </w:p>
    <w:p>
      <w:pPr>
        <w:ind w:left="1163" w:hanging="1163"/>
        <w:spacing w:after="0"/>
        <w:tabs>
          <w:tab w:leader="none" w:pos="116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574,594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9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119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September 30, 2025 and December 31, 2024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As of September 30, 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106,512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(34,847)</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68,283</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56,039</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Acquired content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227,107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Amortization expense was $11.9 million and $10.9 million for the three months ended September 30, 2025 and 2024, respectively, and $35.6 million and $32.9 million for the nine months ended September 30, 2025 and 2024, respectively. Cost of revenue included amortization expense of $10.4 million and $9.4 million for the three months ended September 30, 2025 and 2024, respectively, and $31.1 million and $29.4 million for the nine months ended September 30, 2025 and 2024, respectively. General and administrative expense included amortization expense of $1.5 million for the three months ended September 30, 2025 and 2024, respectively, and $4.6 million and $3.5 million for the nine months ended September 30, 2025 and 2024, respectively.</w:t>
      </w:r>
    </w:p>
    <w:p>
      <w:pPr>
        <w:spacing w:after="0" w:line="80"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$11.8 million for the remaining three months of 2025, $45.2 million in 2026, $38.8 million in 2027, $36.0 million in 2028, $29.3 million in 2029, $17.9 million in 2030 and $48.1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46,753</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43,171</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27,151</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firstLine="395"/>
        <w:spacing w:after="0" w:line="303" w:lineRule="auto"/>
        <w:rPr>
          <w:sz w:val="20"/>
          <w:szCs w:val="20"/>
          <w:color w:val="auto"/>
        </w:rPr>
      </w:pPr>
      <w:r>
        <w:rPr>
          <w:rFonts w:ascii="Times New Roman" w:cs="Times New Roman" w:eastAsia="Times New Roman" w:hAnsi="Times New Roman"/>
          <w:sz w:val="16"/>
          <w:szCs w:val="16"/>
          <w:color w:val="auto"/>
        </w:rPr>
        <w:t>As of September 30, 2025 and December 31, 2024, compensation-related accrued expenses included amounts due to Giphy employees for compensation earned pre-acquisition and severance costs associated with workforce optimizations. Approximately $2.6 million and $5.8 million of severance costs associated with workforce optimization is included within accrued expenses as of September 30, 2025 and December 31, 2024,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included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$125 million and (ii) senior unsecured revolving credit facility (the “Revolver”) in an aggregate principal amount of $250 million. The A&amp;R Credit Agreement also provides for a letter of credit subfacility and a swingline facility.</w:t>
      </w:r>
    </w:p>
    <w:p>
      <w:pPr>
        <w:spacing w:after="0" w:line="80"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replaces the Company’s existing Credit Facility, which was fully repaid and terminated upon the effectiveness of the A&amp;R Credit Agreement. In connection with the closing of the Credit Facility, the Company repaid $30 million of existing outstanding borrowings and accrued interest.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the Company had a remaining borrowing capacity of $94 million, net of standby letters of credit.</w:t>
      </w:r>
    </w:p>
    <w:p>
      <w:pPr>
        <w:spacing w:after="0" w:line="109"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September 30, 2025, the Company was in compliance with these covenants.</w:t>
      </w:r>
    </w:p>
    <w:p>
      <w:pPr>
        <w:spacing w:after="0" w:line="78"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interest expense of $4.2 million and $12.7 million, respectively. As of September 30, 2025, unamortized debt issuance cost related to the Term Loan - A&amp;R Credit Agreement is $0.6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72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216,000 and 85,000 shares of common stock during the three months ended September 30, 2025 and 2024,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6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the Company has repurchased approximately 5.5 million shares of common stock in total since 2015 under the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programs (including the 2015 and 2017 Share Repurchase Programs and the 2023 Share Repurchase Program) at an average per-share cost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$48.86. During the three and nine months ended September 30, 2025, the Company did not repurchase any shares of common stock. During the three and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months ended September 30, 2024, the Company repurchased approximately 594,400 and 1,111,500 shares of its common stock at an average cost of $35.33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$37.42, respectively, under the 2023 Share Repurchase Program. As of September 30, 2025, the Company had $30.2 million of remaining authorization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under the 2023 Share Repurchase Program.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40" w:firstLine="395"/>
        <w:spacing w:after="0" w:line="289" w:lineRule="auto"/>
        <w:rPr>
          <w:sz w:val="20"/>
          <w:szCs w:val="20"/>
          <w:color w:val="auto"/>
        </w:rPr>
      </w:pPr>
      <w:r>
        <w:rPr>
          <w:rFonts w:ascii="Times New Roman" w:cs="Times New Roman" w:eastAsia="Times New Roman" w:hAnsi="Times New Roman"/>
          <w:sz w:val="16"/>
          <w:szCs w:val="16"/>
          <w:color w:val="auto"/>
        </w:rPr>
        <w:t>The Company declared and paid cash dividends of $0.33 and $0.99 per share of common stock, or $11.7 million and $34.8 million during the three and nine months ended September 30, 2025, respectively, and $0.30 and $0.90 per share of common stock, or $10.6 million and $31.9 million, during the three and nine months ended September 30, 2024, respectively.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213"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nine months ended September 30, 2025 and 2024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8,404</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22,648</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substantially all of the Company’s non-cash equity-based compensation expense related to RSUs.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2025, no options to purchase shares of its common stock were granted. As of September 30, 2025, there were approximately 264,000 options vested and exercisable with a weighted average exercise price of $32.95.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had RSU grants, net of forfeitures, of approximately 2,651,000. As of September 30, 2025, there are approximately 4,453,000 non-vested RSUs outstanding with a weighted average grant-date fair value of $25.36. As of September 30, 2025, the total unrecognized non-cash equity-based compensation expense related to the non-vested RSUs was approximately $74.9 million, which is expected to be recognized through 2029.</w:t>
      </w:r>
    </w:p>
    <w:p>
      <w:pPr>
        <w:spacing w:after="0" w:line="78"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2025 and 2024, shares of common stock with an aggregate value of $9.1 million and $11.7 million were withheld upon vesting of RSUs and paid in connection with related remittance of employee withholding taxes to taxing authorities.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33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and nine months ended September 30, 2025 and 2024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547,494</w:t>
            </w:r>
          </w:p>
        </w:tc>
      </w:tr>
      <w:tr>
        <w:trPr>
          <w:trHeight w:val="20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172,594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137,462</w:t>
            </w:r>
          </w:p>
        </w:tc>
      </w:tr>
      <w:tr>
        <w:trPr>
          <w:trHeight w:val="23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September 30, 2025 deferred revenue balance will be earned as content is downloaded or upon the expiration of subscription-based products, and nearly all is expected to be earned within the next twelve months. $201.5 million of total revenue recognized for the nine months ended September 30, 2025 was reflected in deferred revenue as of December 31, 2024. In addition, as of September 30, 2025, the Company has approximately $30.1 million of contracted but unsatisfied performance obligations relating primarily to our data deal offerings, which are not included as a component of deferred revenue and that the Company expects to recognize over a five year period. In certain of the Company’s data deal contracts, the Company has provided customers with the right to cancel and has estimated a refund reserve. Should these cancellation rights not be exercised, this refund reserve would convert to revenue. For the nine months ended September 30, 2025, the Company recognized $4.9 million of revenue from the reversal of refund reserves. As of September 30, 2025, the Company does not have a refund reserve liability. As of December 31, 2024, the total refund reserve related to these contracts is $7.3 million and $5.7 million and is recorded in Other current liabilities and Other non-current liabilities,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nine months ended September 30, 2025 and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8"/>
              </w:rPr>
              <w:t>(1,733)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long-term investment</w:t>
            </w:r>
          </w:p>
        </w:tc>
        <w:tc>
          <w:tcPr>
            <w:tcW w:w="9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8"/>
              </w:rPr>
              <w:t>(5,000)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unrealized gain on investments, and other</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37,010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02"/>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income, net</w:t>
            </w:r>
          </w:p>
        </w:tc>
        <w:tc>
          <w:tcPr>
            <w:tcW w:w="9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r>
      <w:tr>
        <w:trPr>
          <w:trHeight w:val="21"/>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11"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yielded a net expense of 57.4% and a net benefit of 0.5% for the three months ended September 30, 2025 and 2024, respectively, and a net expense of 35.2% and 31.4% for the nine months ended September 30, 2025 and 2024, respectively.</w:t>
      </w:r>
    </w:p>
    <w:p>
      <w:pPr>
        <w:spacing w:after="0" w:line="64"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net effect of discrete items decreased the effective tax rate by 19.5% and 9.6%, respectively. The discrete items for the three months ended September 30, 2025, primarily relate to a decrease in the valuation allowance and a release of an uncertain tax position. The discrete items for the nine months ended September 30, 2025, primarily relate to a decrease in the valuation allowance and a release of an uncertain tax position, partially offset by shortfalls on equity award vestings. Excluding discrete items, the Company’s effective tax rate would have been 76.9% and 44.8% for the three and nine months ended September 30, 2025, respectively.</w:t>
      </w:r>
    </w:p>
    <w:p>
      <w:pPr>
        <w:spacing w:after="0" w:line="8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net effect of discrete items decreased the effective tax rate by 32.9% and increased the effective tax rate by 8.2%, respectively. The discrete items for the three months ended September 30, 2024 relate to the reversal of unrecognized tax benefits of $7.3 million due to the settlement of an IRS audit. The</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8"/>
          <w:szCs w:val="18"/>
          <w:color w:val="auto"/>
        </w:rPr>
        <w:t>discrete items for the nine months ended September 30, 2024, primarily relate to shortfalls on equity award vestings and a one time charge of $6.3 million related to the reversal of a deferred tax asset resulting from the expiration of equity awards granted to the Company’s Founder and Executive Chairman. Excluding discrete items, the Company’s effective tax rate would have been 32.4% and 23.2% for the three and nine months ended September 30, 2024, respectively.</w:t>
      </w:r>
    </w:p>
    <w:p>
      <w:pPr>
        <w:spacing w:after="0" w:line="7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During the three and nine months ended September 30, 2025, additions to unrecognized tax benefits recorded were not significant. During the three and nine months ended September 30, 2025, the Company reversed $2.8 million of unrecognized tax benefits due to a lapse in statute. During the three and nine months ended 2024, the Company recorded additions to unrecognized tax benefits of $4.4 million and $5.0 million, respectively. To the extent the remaining unrecognized tax benefits are ultimately recognized, the Company’s effective tax rate may be impacted in future periods.</w:t>
      </w:r>
    </w:p>
    <w:p>
      <w:pPr>
        <w:spacing w:after="0" w:line="2" w:lineRule="exact"/>
        <w:rPr>
          <w:sz w:val="20"/>
          <w:szCs w:val="20"/>
          <w:color w:val="auto"/>
        </w:rPr>
      </w:pPr>
    </w:p>
    <w:p>
      <w:pPr>
        <w:ind w:right="100" w:firstLine="395"/>
        <w:spacing w:after="0" w:line="244"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nine months ended September 30, 2025 and 2024.</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the Company paid net cash taxes of $16.4 million and $22.3 million, respectively.</w:t>
      </w:r>
    </w:p>
    <w:p>
      <w:pPr>
        <w:spacing w:after="0" w:line="109"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On July 4, 2025, new tax legislation known as the “One Big Beautiful Bill Act”, or “OBBBA”, was signed into law. The effects of the new law are reflected in the consolidated financial statements as of and for the periods ended September 30,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14" w:lineRule="exact"/>
        <w:rPr>
          <w:sz w:val="20"/>
          <w:szCs w:val="20"/>
          <w:color w:val="auto"/>
        </w:rPr>
      </w:pPr>
    </w:p>
    <w:p>
      <w:pPr>
        <w:ind w:right="3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nine months ended September 30, 2025 and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0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35,484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35,174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35,213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35,486</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0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36,642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1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w:t>
      </w:r>
    </w:p>
    <w:p>
      <w:pPr>
        <w:spacing w:after="0" w:line="212" w:lineRule="exact"/>
        <w:rPr>
          <w:sz w:val="20"/>
          <w:szCs w:val="20"/>
          <w:color w:val="auto"/>
        </w:rPr>
      </w:pPr>
    </w:p>
    <w:p>
      <w:pPr>
        <w:ind w:right="1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reconciles the company’s revenues and significant operating expense categories used to evaluate the business and allocate resources to Net income:</w:t>
      </w:r>
    </w:p>
    <w:tbl>
      <w:tblPr>
        <w:tblLayout w:type="fixed"/>
        <w:tblInd w:w="0" w:type="dxa"/>
        <w:tblCellMar>
          <w:top w:w="0" w:type="dxa"/>
          <w:left w:w="0" w:type="dxa"/>
          <w:bottom w:w="0" w:type="dxa"/>
          <w:right w:w="0" w:type="dxa"/>
        </w:tblCellMar>
      </w:tblPr>
      <w:tr>
        <w:trPr>
          <w:trHeight w:val="145"/>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2"/>
                <w:szCs w:val="12"/>
                <w:color w:val="auto"/>
              </w:rPr>
            </w:pPr>
          </w:p>
        </w:tc>
        <w:tc>
          <w:tcPr>
            <w:tcW w:w="2260" w:type="dxa"/>
            <w:vAlign w:val="bottom"/>
            <w:gridSpan w:val="4"/>
          </w:tcPr>
          <w:p>
            <w:pPr>
              <w:jc w:val="right"/>
              <w:ind w:right="582"/>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costs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50,191</w:t>
            </w:r>
          </w:p>
        </w:tc>
        <w:tc>
          <w:tcPr>
            <w:tcW w:w="0" w:type="dxa"/>
            <w:vAlign w:val="bottom"/>
          </w:tcPr>
          <w:p>
            <w:pPr>
              <w:spacing w:after="0"/>
              <w:rPr>
                <w:sz w:val="1"/>
                <w:szCs w:val="1"/>
                <w:color w:val="auto"/>
              </w:rPr>
            </w:pPr>
          </w:p>
        </w:tc>
      </w:tr>
      <w:tr>
        <w:trPr>
          <w:trHeight w:val="209"/>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costs</w:t>
            </w:r>
          </w:p>
        </w:tc>
        <w:tc>
          <w:tcPr>
            <w:tcW w:w="1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65,066</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Adjusted cost of revenue</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91,181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254,180</w:t>
            </w:r>
          </w:p>
        </w:tc>
        <w:tc>
          <w:tcPr>
            <w:tcW w:w="0" w:type="dxa"/>
            <w:vAlign w:val="bottom"/>
          </w:tcPr>
          <w:p>
            <w:pPr>
              <w:spacing w:after="0"/>
              <w:rPr>
                <w:sz w:val="1"/>
                <w:szCs w:val="1"/>
                <w:color w:val="auto"/>
              </w:rPr>
            </w:pPr>
          </w:p>
        </w:tc>
      </w:tr>
      <w:tr>
        <w:trPr>
          <w:trHeight w:val="211"/>
        </w:trPr>
        <w:tc>
          <w:tcPr>
            <w:tcW w:w="60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sales and marketing</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33,929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94,549</w:t>
            </w:r>
          </w:p>
        </w:tc>
        <w:tc>
          <w:tcPr>
            <w:tcW w:w="0" w:type="dxa"/>
            <w:vAlign w:val="bottom"/>
          </w:tcPr>
          <w:p>
            <w:pPr>
              <w:spacing w:after="0"/>
              <w:rPr>
                <w:sz w:val="1"/>
                <w:szCs w:val="1"/>
                <w:color w:val="auto"/>
              </w:rPr>
            </w:pPr>
          </w:p>
        </w:tc>
      </w:tr>
      <w:tr>
        <w:trPr>
          <w:trHeight w:val="211"/>
        </w:trPr>
        <w:tc>
          <w:tcPr>
            <w:tcW w:w="60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product and development</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64,360</w:t>
            </w:r>
          </w:p>
        </w:tc>
        <w:tc>
          <w:tcPr>
            <w:tcW w:w="0" w:type="dxa"/>
            <w:vAlign w:val="bottom"/>
          </w:tcPr>
          <w:p>
            <w:pPr>
              <w:spacing w:after="0"/>
              <w:rPr>
                <w:sz w:val="1"/>
                <w:szCs w:val="1"/>
                <w:color w:val="auto"/>
              </w:rPr>
            </w:pPr>
          </w:p>
        </w:tc>
      </w:tr>
      <w:tr>
        <w:trPr>
          <w:trHeight w:val="211"/>
        </w:trPr>
        <w:tc>
          <w:tcPr>
            <w:tcW w:w="602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39,390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101,049</w:t>
            </w:r>
          </w:p>
        </w:tc>
        <w:tc>
          <w:tcPr>
            <w:tcW w:w="0" w:type="dxa"/>
            <w:vAlign w:val="bottom"/>
          </w:tcPr>
          <w:p>
            <w:pPr>
              <w:spacing w:after="0"/>
              <w:rPr>
                <w:sz w:val="1"/>
                <w:szCs w:val="1"/>
                <w:color w:val="auto"/>
              </w:rPr>
            </w:pPr>
          </w:p>
        </w:tc>
      </w:tr>
      <w:tr>
        <w:trPr>
          <w:trHeight w:val="204"/>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692,281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629,395</w:t>
            </w:r>
          </w:p>
        </w:tc>
        <w:tc>
          <w:tcPr>
            <w:tcW w:w="0" w:type="dxa"/>
            <w:vAlign w:val="bottom"/>
          </w:tcPr>
          <w:p>
            <w:pPr>
              <w:spacing w:after="0"/>
              <w:rPr>
                <w:sz w:val="1"/>
                <w:szCs w:val="1"/>
                <w:color w:val="auto"/>
              </w:rPr>
            </w:pPr>
          </w:p>
        </w:tc>
      </w:tr>
      <w:tr>
        <w:trPr>
          <w:trHeight w:val="202"/>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55,561</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54,477</w:t>
            </w: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Excludes technology and advertising costs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depreciation and amortization by expense category: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3"/>
                <w:szCs w:val="13"/>
                <w:color w:val="auto"/>
              </w:rPr>
            </w:pPr>
          </w:p>
        </w:tc>
        <w:tc>
          <w:tcPr>
            <w:tcW w:w="222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6"/>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21,028</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19,652</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62,574</w:t>
            </w:r>
          </w:p>
        </w:tc>
        <w:tc>
          <w:tcPr>
            <w:tcW w:w="10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59,613</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202"/>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22,877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68,159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64,339</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351,088</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178,229</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155,639</w:t>
            </w:r>
          </w:p>
        </w:tc>
        <w:tc>
          <w:tcPr>
            <w:tcW w:w="0" w:type="dxa"/>
            <w:vAlign w:val="bottom"/>
          </w:tcPr>
          <w:p>
            <w:pPr>
              <w:spacing w:after="0"/>
              <w:rPr>
                <w:sz w:val="1"/>
                <w:szCs w:val="1"/>
                <w:color w:val="auto"/>
              </w:rPr>
            </w:pP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ind w:right="660" w:firstLine="395"/>
        <w:spacing w:after="0" w:line="332"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44% and 48% of consolidated revenue for the nine months ended September 30, 2025 and 2024, respectively. No other country accounts for more than 10% of the Company’s revenue in any period presented.</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45,354</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1"/>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51% and 64% of total long-lived tangible assets as of September 30, 2025 and December 31, 2024, respectively. Ireland, included in Europe in the above table, accounted for 23% and 20% of total long-lived tangible assets as of September 30, 2025 and December 31, 2024, respectively. Australia, included in Rest of the world in the above table, accounted for 17% of the total long-lived tangible assets as of September 30, 2025. No other country accounts for more than 10% of the Company’s long-lived tangible assets in any period presented.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 and other obligations</w:t>
      </w:r>
    </w:p>
    <w:p>
      <w:pPr>
        <w:spacing w:after="0" w:line="113"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2025, the Company had total non-lease obligations in the amount of approximately $20.4 million, which consisted primarily of minimum royalty guarantees and unconditional purchase obligations related to contracts for infrastructure and other business services. As of September 30, 2025, the Company’s non-lease obligations for the remainder of 2025 and for the years ending December 31, 2026, and 2027 were approximately $6.4 million, $11.6 million, and $2.4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39"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Except as described below, the Company currently has no material active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Since the definitive proxy statement filed with the SEC on April 30, 2025 (the “Proxy Statement”), two complaints have been filed against Shutterstock and each member of Shutterstock’s board of directors (the “Individual Defendants”). The two complaints are captioned as follows: Johnson v. Shutterstock, Inc., et al., 682860/2025 (filed in the Supreme Court of the State of New York, County of New York, Commercial Division (the “Johnson Action”) and Weiss v. Shutterstock, Inc., et al., 652853/2025 at ECF No. 1, filed in the Supreme Court of the State of New York, County of New York, Commercial Division (the “Weiss Action”, and together with the Johnson Action, the “Stockholder Actions”). The Stockholder Actions allege that, among other things, the Proxy Statement contains false and misleading and/or incomplete information regarding the Merger. The Stockholder Actions assert claims for (i) negligent misrepresentation and concealment, and (ii) negligence in connection with the filing of the allegedly false and misleading Proxy Statement. The Stockholder Actions seek an injunction enjoining the consummation of the Merger unless and until the Individual Defendants disclose the allegedly omitted material information, in the event that the Merger are consummated, rescission of the Merger and awarding actual and punitive damages to plaintiff, and an award of attorneys’ and experts’ fees.</w:t>
      </w:r>
    </w:p>
    <w:p>
      <w:pPr>
        <w:spacing w:after="0" w:line="11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Stockholder Actions, beginning on April 25, 2025, certain purported stockholders of Shutterstock and Getty Images sent demand letters (the “Demand Letters”, and together with the Stockholder Actions, the “Matters”) alleging similar deficiencies regarding the disclosures made in the Proxy Statement and seeking additional disclosures to address those alleged deficiencies.</w:t>
      </w:r>
    </w:p>
    <w:p>
      <w:pPr>
        <w:spacing w:after="0" w:line="75"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Shutterstock believes it has substantial defenses in connection with the Matters and no supplemental disclosure is required under applicable law. However, in order to avoid the risk that the Matters may delay or otherwise adversely affect the implementation of the Merger, to minimize the costs, risks and uncertainties inherent in litigation, and without admitting any liability or wrongdoing, Shutterstock has determined to voluntarily supplement the Proxy Statement as described in the Current Report on Form 8-K filed with the SEC on May 30, 2025, to provide additional information to Shutterstock stockholders. Nothing in said Current Report on Form 8-K shall be deemed an admission of the legal necessity or materiality under applicable law of any of the disclosures set forth therein or in the Proxy Statement. To the contrary, Shutterstock denies all allegations in the Matters that any additional disclosure was or is required.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52" w:lineRule="exact"/>
        <w:rPr>
          <w:sz w:val="20"/>
          <w:szCs w:val="20"/>
          <w:color w:val="auto"/>
        </w:rPr>
      </w:pPr>
    </w:p>
    <w:p>
      <w:pPr>
        <w:ind w:right="8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nine months ended September 30, 2025, the Company made no material payments for losses on customer indemnification claims and recorded no liabilities related to indemnification for loss contingencies, before considering any insurance recoveries.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13" w:lineRule="exact"/>
        <w:rPr>
          <w:sz w:val="20"/>
          <w:szCs w:val="20"/>
          <w:color w:val="auto"/>
        </w:rPr>
      </w:pPr>
    </w:p>
    <w:p>
      <w:pPr>
        <w:jc w:val="both"/>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1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2024 Form 10-K.</w:t>
      </w:r>
    </w:p>
    <w:p>
      <w:pPr>
        <w:spacing w:after="0" w:line="111"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2024 Form 10-K for additional discussion of the risks and uncertainties that could cause our actual results to differ materially from those expressed or implied in our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Getty Images</w:t>
      </w:r>
    </w:p>
    <w:p>
      <w:pPr>
        <w:spacing w:after="0" w:line="113" w:lineRule="exact"/>
        <w:rPr>
          <w:sz w:val="20"/>
          <w:szCs w:val="20"/>
          <w:color w:val="auto"/>
        </w:rPr>
      </w:pPr>
    </w:p>
    <w:p>
      <w:pPr>
        <w:jc w:val="both"/>
        <w:ind w:right="360" w:firstLine="395"/>
        <w:spacing w:after="0" w:line="303" w:lineRule="auto"/>
        <w:rPr>
          <w:sz w:val="20"/>
          <w:szCs w:val="20"/>
          <w:color w:val="auto"/>
        </w:rPr>
      </w:pPr>
      <w:r>
        <w:rPr>
          <w:rFonts w:ascii="Times New Roman" w:cs="Times New Roman" w:eastAsia="Times New Roman" w:hAnsi="Times New Roman"/>
          <w:sz w:val="16"/>
          <w:szCs w:val="16"/>
          <w:color w:val="auto"/>
        </w:rPr>
        <w:t>On January 6, 2025, we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172" w:lineRule="exact"/>
        <w:rPr>
          <w:sz w:val="20"/>
          <w:szCs w:val="20"/>
          <w:color w:val="auto"/>
        </w:rPr>
      </w:pPr>
    </w:p>
    <w:p>
      <w:pPr>
        <w:ind w:left="640" w:right="160" w:hanging="319"/>
        <w:spacing w:after="0" w:line="268" w:lineRule="auto"/>
        <w:tabs>
          <w:tab w:leader="none" w:pos="6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9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104" w:lineRule="exact"/>
        <w:rPr>
          <w:sz w:val="20"/>
          <w:szCs w:val="20"/>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48"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A majority of Shutterstock stockholders approved the adoption of the Merger Agreement at a special meeting of stockholders held on June 10, 2025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The Merger is subject to the satisfaction of customary closing conditions, further described below, including receipt of required regulatory approvals.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93" w:lineRule="exact"/>
        <w:rPr>
          <w:sz w:val="20"/>
          <w:szCs w:val="20"/>
          <w:color w:val="auto"/>
        </w:rPr>
      </w:pPr>
    </w:p>
    <w:p>
      <w:pPr>
        <w:ind w:left="640" w:right="20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Stockholder Approval, which condition was subsequently satisfied as described above, and the Getty Images stockholder approval, which condition was subsequently satisfied by the Getty Images stockholder written consent;</w:t>
      </w:r>
    </w:p>
    <w:p>
      <w:pPr>
        <w:spacing w:after="0" w:line="195" w:lineRule="exact"/>
        <w:rPr>
          <w:rFonts w:ascii="Times New Roman" w:cs="Times New Roman" w:eastAsia="Times New Roman" w:hAnsi="Times New Roman"/>
          <w:sz w:val="18"/>
          <w:szCs w:val="18"/>
          <w:color w:val="auto"/>
        </w:rPr>
      </w:pPr>
    </w:p>
    <w:p>
      <w:pPr>
        <w:ind w:left="640" w:hanging="319"/>
        <w:spacing w:after="0" w:line="315" w:lineRule="auto"/>
        <w:tabs>
          <w:tab w:leader="none" w:pos="63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to be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48"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227" w:lineRule="exact"/>
        <w:rPr>
          <w:rFonts w:ascii="Times New Roman" w:cs="Times New Roman" w:eastAsia="Times New Roman" w:hAnsi="Times New Roman"/>
          <w:sz w:val="18"/>
          <w:szCs w:val="18"/>
          <w:color w:val="auto"/>
        </w:rPr>
      </w:pPr>
    </w:p>
    <w:p>
      <w:pPr>
        <w:ind w:left="640" w:right="20" w:hanging="319"/>
        <w:spacing w:after="0" w:line="236"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 including but not limited to the U.K. Competition and Markets Authority (the “CMA”). On April 2, 2025, the Company and Getty Images each received a Request for Additional Information and Documentary Material from the U.S. Department of Justice (“DOJ”) in connection with the Merger and on November 3, 2025, the Company announced that the CMA has referred the Merger to a Phase 2 review process. The Company remains committed to the</w:t>
      </w:r>
    </w:p>
    <w:p>
      <w:pPr>
        <w:spacing w:after="0" w:line="200" w:lineRule="exact"/>
        <w:rPr>
          <w:sz w:val="20"/>
          <w:szCs w:val="20"/>
          <w:color w:val="auto"/>
        </w:rPr>
      </w:pPr>
    </w:p>
    <w:p>
      <w:pPr>
        <w:spacing w:after="0" w:line="20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right="740"/>
        <w:spacing w:after="0" w:line="253" w:lineRule="auto"/>
        <w:rPr>
          <w:sz w:val="20"/>
          <w:szCs w:val="20"/>
          <w:color w:val="auto"/>
        </w:rPr>
      </w:pPr>
      <w:r>
        <w:rPr>
          <w:rFonts w:ascii="Times New Roman" w:cs="Times New Roman" w:eastAsia="Times New Roman" w:hAnsi="Times New Roman"/>
          <w:sz w:val="18"/>
          <w:szCs w:val="18"/>
          <w:color w:val="auto"/>
        </w:rPr>
        <w:t>proposed Merger and will continue to engage with the DOJ and the CMA and work with Getty Images to expeditiously secure the necessary clearances;</w:t>
      </w:r>
    </w:p>
    <w:p>
      <w:pPr>
        <w:spacing w:after="0" w:line="195" w:lineRule="exact"/>
        <w:rPr>
          <w:sz w:val="20"/>
          <w:szCs w:val="20"/>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2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2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227" w:lineRule="exact"/>
        <w:rPr>
          <w:rFonts w:ascii="Times New Roman" w:cs="Times New Roman" w:eastAsia="Times New Roman" w:hAnsi="Times New Roman"/>
          <w:sz w:val="18"/>
          <w:szCs w:val="18"/>
          <w:color w:val="auto"/>
        </w:rPr>
      </w:pPr>
    </w:p>
    <w:p>
      <w:pPr>
        <w:ind w:left="640" w:right="120" w:hanging="319"/>
        <w:spacing w:after="0" w:line="253"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182" w:lineRule="exact"/>
        <w:rPr>
          <w:rFonts w:ascii="Times New Roman" w:cs="Times New Roman" w:eastAsia="Times New Roman" w:hAnsi="Times New Roman"/>
          <w:sz w:val="18"/>
          <w:szCs w:val="18"/>
          <w:color w:val="auto"/>
        </w:rPr>
      </w:pPr>
    </w:p>
    <w:p>
      <w:pPr>
        <w:ind w:left="640" w:right="40" w:hanging="319"/>
        <w:spacing w:after="0" w:line="253"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195" w:lineRule="exact"/>
        <w:rPr>
          <w:rFonts w:ascii="Times New Roman" w:cs="Times New Roman" w:eastAsia="Times New Roman" w:hAnsi="Times New Roman"/>
          <w:sz w:val="18"/>
          <w:szCs w:val="18"/>
          <w:color w:val="auto"/>
        </w:rPr>
      </w:pPr>
    </w:p>
    <w:p>
      <w:pPr>
        <w:ind w:left="640" w:right="120" w:hanging="319"/>
        <w:spacing w:after="0" w:line="241"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On September 18, 2025, the Company and Getty Images agreed to waive this condition such that it is no longer a condition to the Merger.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90"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18"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0"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90"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Envato. Shutterstock, our flagship brand, includes various content types such as image, footage, music and editorial.</w:t>
      </w:r>
    </w:p>
    <w:p>
      <w:pPr>
        <w:spacing w:after="0" w:line="90"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Envato enhances digital creative assets and templates.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ind w:right="28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Average Revenue per Customer from Giphy beginning July 2024 and Subscribers, Subscriber revenue, and Average revenue per customer from Backgrid beginning February 2025. 2025 metrics include the counts and revenues from Envato for the three and nine months ended September 30, 2025, which was acquired in July 22,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tables summarize our key operating metrics, which are unaudited, for the three and nine months ended September 30, 2025 and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56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9"/>
                <w:szCs w:val="9"/>
                <w:b w:val="1"/>
                <w:bCs w:val="1"/>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9"/>
                <w:szCs w:val="9"/>
                <w:b w:val="1"/>
                <w:bCs w:val="1"/>
                <w:color w:val="auto"/>
              </w:rPr>
              <w:t>2</w:t>
            </w:r>
          </w:p>
        </w:tc>
      </w:tr>
      <w:tr>
        <w:trPr>
          <w:trHeight w:val="210"/>
        </w:trPr>
        <w:tc>
          <w:tcPr>
            <w:tcW w:w="5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1,105,000</w:t>
            </w: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w:t>
            </w:r>
          </w:p>
        </w:tc>
      </w:tr>
      <w:tr>
        <w:trPr>
          <w:trHeight w:val="92"/>
        </w:trPr>
        <w:tc>
          <w:tcPr>
            <w:tcW w:w="5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147" w:lineRule="exact"/>
        <w:rPr>
          <w:sz w:val="20"/>
          <w:szCs w:val="20"/>
          <w:color w:val="auto"/>
        </w:rPr>
      </w:pPr>
    </w:p>
    <w:p>
      <w:pPr>
        <w:ind w:right="540" w:firstLine="5"/>
        <w:spacing w:after="0" w:line="217" w:lineRule="auto"/>
        <w:tabs>
          <w:tab w:leader="none" w:pos="101"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Subscribers, Subscriber Revenue and Average Revenue Per Customer from acquisitions are included in these metrics beginning twelve months after the closing of the respective business combination. Accordingly, the metrics include Average Revenue per Customer from Giphy beginning July 2024 and Subscribers, Subscriber revenue, and Average revenue per customer from Backgrid beginning February 2025. 2025 metrics include the counts and revenues from Envato for the three and nine months ended September 30, 2025, which was acquired in July 22, 2024.</w:t>
      </w:r>
    </w:p>
    <w:p>
      <w:pPr>
        <w:spacing w:after="0" w:line="27" w:lineRule="exact"/>
        <w:rPr>
          <w:sz w:val="20"/>
          <w:szCs w:val="20"/>
          <w:color w:val="auto"/>
        </w:rPr>
      </w:pPr>
    </w:p>
    <w:p>
      <w:pPr>
        <w:ind w:firstLine="5"/>
        <w:spacing w:after="0" w:line="192" w:lineRule="auto"/>
        <w:tabs>
          <w:tab w:leader="none" w:pos="101"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and Subscriber Revenue are presented as if Envato was acquired as of the beginning of the period presented. Average revenue per customer includes Envato historical results over the last twelve month period.</w:t>
      </w:r>
    </w:p>
    <w:p>
      <w:pPr>
        <w:spacing w:after="0" w:line="200" w:lineRule="exact"/>
        <w:rPr>
          <w:sz w:val="20"/>
          <w:szCs w:val="20"/>
          <w:color w:val="auto"/>
        </w:rPr>
      </w:pPr>
    </w:p>
    <w:p>
      <w:pPr>
        <w:spacing w:after="0" w:line="2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12"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2024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3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2024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licenseable metadata at unique scales and quality. Our metadata customer base ranges from large technology and media companies to smaller start-up organizations.</w:t>
      </w:r>
    </w:p>
    <w:p>
      <w:pPr>
        <w:spacing w:after="0" w:line="116"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nine months ended September 30, 2025 and 2024 are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3"/>
                <w:szCs w:val="13"/>
                <w:color w:val="auto"/>
              </w:rPr>
            </w:pPr>
          </w:p>
        </w:tc>
      </w:tr>
      <w:tr>
        <w:trPr>
          <w:trHeight w:val="190"/>
        </w:trPr>
        <w:tc>
          <w:tcPr>
            <w:tcW w:w="5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547,494</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65,668</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172,594</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137,462</w:t>
            </w:r>
          </w:p>
        </w:tc>
      </w:tr>
      <w:tr>
        <w:trPr>
          <w:trHeight w:val="23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 software and other IT equipment costs, allocated facility expenses and other supporting overhead costs.</w:t>
      </w:r>
    </w:p>
    <w:p>
      <w:pPr>
        <w:spacing w:after="0" w:line="111" w:lineRule="exact"/>
        <w:rPr>
          <w:sz w:val="20"/>
          <w:szCs w:val="20"/>
          <w:color w:val="auto"/>
        </w:rPr>
      </w:pPr>
    </w:p>
    <w:p>
      <w:pPr>
        <w:ind w:right="2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w:t>
      </w:r>
    </w:p>
    <w:p>
      <w:pPr>
        <w:spacing w:after="0" w:line="200" w:lineRule="exact"/>
        <w:rPr>
          <w:sz w:val="20"/>
          <w:szCs w:val="20"/>
          <w:color w:val="auto"/>
        </w:rPr>
      </w:pP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administrative expenses include outside legal, tax and accounting services, bad debt expense, insurance, facilities costs, other supporting overhead costs and depreciation and amortization expense.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48"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of non-operating costs such as foreign currency transaction gains and losses, in addition to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on investments and interest income and expense.</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684,956</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283,863</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69,520</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112,492</w:t>
            </w:r>
          </w:p>
        </w:tc>
      </w:tr>
      <w:tr>
        <w:trPr>
          <w:trHeight w:val="202"/>
        </w:trPr>
        <w:tc>
          <w:tcPr>
            <w:tcW w:w="5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629,395</w:t>
            </w:r>
          </w:p>
        </w:tc>
      </w:tr>
      <w:tr>
        <w:trPr>
          <w:trHeight w:val="20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w:t>
            </w: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54,477</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17,116</w:t>
            </w:r>
          </w:p>
        </w:tc>
      </w:tr>
      <w:tr>
        <w:trPr>
          <w:trHeight w:val="202"/>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37,361</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4"/>
        </w:trPr>
        <w:tc>
          <w:tcPr>
            <w:tcW w:w="50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2"/>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06"/>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2"/>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2"/>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40" w:type="dxa"/>
            <w:vAlign w:val="bottom"/>
          </w:tcPr>
          <w:p>
            <w:pPr>
              <w:spacing w:after="0"/>
              <w:rPr>
                <w:sz w:val="16"/>
                <w:szCs w:val="16"/>
                <w:color w:val="auto"/>
              </w:rPr>
            </w:pPr>
          </w:p>
        </w:tc>
      </w:tr>
      <w:tr>
        <w:trPr>
          <w:trHeight w:val="24"/>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r>
      <w:tr>
        <w:trPr>
          <w:trHeight w:val="209"/>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r>
      <w:tr>
        <w:trPr>
          <w:trHeight w:val="202"/>
        </w:trPr>
        <w:tc>
          <w:tcPr>
            <w:tcW w:w="5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w:t>
            </w: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r>
      <w:tr>
        <w:trPr>
          <w:trHeight w:val="202"/>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13,876</w:t>
            </w:r>
          </w:p>
        </w:tc>
        <w:tc>
          <w:tcPr>
            <w:tcW w:w="12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79</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(20,573)</w:t>
            </w:r>
          </w:p>
        </w:tc>
      </w:tr>
      <w:tr>
        <w:trPr>
          <w:trHeight w:val="202"/>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Revenue increased by $9.5 million, or 4%, to $260.1 million for the three months ended September 30, 2025, compared to the same period in 2024. On a constant currency basis, revenue increased 3% in the three months ended September 30, 2025, compared to the same period in 2024. The increase was partially attributable to revenue recognized from Envato, which was acquired on July 22, 2024, and growth in our data offering during the period.</w:t>
      </w:r>
    </w:p>
    <w:p>
      <w:pPr>
        <w:spacing w:after="0" w:line="114"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Content revenues decreased by 5%, to $194.4 million in the three months ended September 30, 2025, compared to the same period in 2024. Content revenue was not impacted on a constant currency basis in the three months ended September 30, 2025, compared to the same period in 2024. During the three months ended September 30, 2025, the reduction in our Content revenue was driven by weakness in new customer acquisition, partially offset by the contribution of Envato, which was acquired on July 22, 2024.</w:t>
      </w:r>
    </w:p>
    <w:p>
      <w:pPr>
        <w:spacing w:after="0" w:line="118"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revenues increased by 40%, to $65.7 million in the three months ended September 30, 2025, compared to the same period in 2024. Data, Distribution, and Services revenues were not impacted on a constant currency basis in the three months ended September 30, 2025, compared to the same period in 2024. The increase in Data, Distribution, and Services revenues was primarily driven by growth in our data offering, which grew 65% in the three months ended September 30, 2025 compared to the same period in 2024.</w:t>
      </w:r>
    </w:p>
    <w:p>
      <w:pPr>
        <w:spacing w:after="0" w:line="104"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$22.3 million, or 18%, to $142.8 million, revenue from Europe decreased by $5.9 million, or 8%, to $63.6 million and revenue from outside Europe and North America decreased by $6.9 million, or 11%, to $53.7 million, in the three months ended September 30, 2025 compared to the same period in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decreased by $1.8 million to $102.6 million in the three months ended September 30, 2025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This decrease was driven by decreased royalties, content expenses, and recurring and non-recurring Giphy Retention Compensation. These amounts were partially offset by an increase in employee-related costs and website hosting fees, primarily driven by the acquisition of Envato. As a percentage of revenue, cost of revenue decreased to 39% for the three months ended September 30, 2025, from 42% for the same period in 2024. We expect that our cost of revenue will continue to fluctuate in-line with changes in revenue.</w:t>
      </w:r>
    </w:p>
    <w:p>
      <w:pPr>
        <w:spacing w:after="0" w:line="80"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$4.0 million, or 7%, to $59.4 million in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was driven by an increase in brand and performance-based marketing expenses. In addition, there was a $1.3 million decrease from non-recurring Giphy Retention Compensation and a $0.3 million increase from recurring Giphy Retention Compensation expenses. As a percentage of revenue, sales and marketing</w:t>
      </w: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expenses increased to 23% for the three months ended September 30, 2025, from 22% for the same period in 2024. We expect sales and marketing expenses to continue to fluctuate as we optimize our sales channels and invest in new customer acquisition, products and geographies.</w:t>
      </w:r>
    </w:p>
    <w:p>
      <w:pPr>
        <w:spacing w:after="0" w:line="62"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Product Development</w:t>
      </w:r>
      <w:r>
        <w:rPr>
          <w:rFonts w:ascii="Times New Roman" w:cs="Times New Roman" w:eastAsia="Times New Roman" w:hAnsi="Times New Roman"/>
          <w:sz w:val="16"/>
          <w:szCs w:val="16"/>
          <w:color w:val="auto"/>
        </w:rPr>
        <w:t>. Product development expenses decreased by $6.2 million to $22.4 million in the three months ended September 30,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the same period in 2024. The decrease in product development was driven by decreases of $0.6 million and $8.2 million from recurring and non-recurring Giphy Retention Compensation expenses, respectively. This was partially offset by increases in software licenses and consultant expenses driven by the acquisition of Envato.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0"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$0.7 million to $43.3 million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2024. This decrease was driven by decreases in professional fees, which were incurred as part of the acquisition of Envato in 2024, and employee-related costs. In addition, there was a $0.1 million increase and a $0.3 million decrease from recurring and non-recurring Giphy Retention Compensation expenses, respectively. The decrease was partially offset by $7.1 million of expenses associated with the Getty merger.</w:t>
      </w:r>
    </w:p>
    <w:p>
      <w:pPr>
        <w:spacing w:after="0" w:line="75" w:lineRule="exact"/>
        <w:rPr>
          <w:sz w:val="20"/>
          <w:szCs w:val="20"/>
          <w:color w:val="auto"/>
        </w:rPr>
      </w:pPr>
    </w:p>
    <w:p>
      <w:pPr>
        <w:jc w:val="both"/>
        <w:ind w:right="900" w:firstLine="395"/>
        <w:spacing w:after="0" w:line="304"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 the three months ended September 30, 2025 and September 30, 2024, we recognized interest expense of $4.2 million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$4.5 million, respectively, related to our credit facility and the amortization of deferred financing fees. Interest expense for the three months ended September 30, 2025 decreased due to lower interest rates in the three months ended September 30, 2025 as compared to the same period in 2024.</w:t>
      </w:r>
    </w:p>
    <w:p>
      <w:pPr>
        <w:spacing w:after="0" w:line="38"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 the three months ended September 30, 2025, other income, net was driven by $2.8 million of unrealized gains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Meitu, Inc. In addition, other income, net had $0.9 million of interest income and $0.6 million of unrealized foreign currency losses. In the three months ended September 30, 2024, other income, net was primarily driven by $1.6 million of unrealized gains related to our investment in Meitu, Inc. In addition, other income, net had $1.1 million of interest income and $1.2 million of unrealized foreign currency gains.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income tax expense increased by $18.1 million for the three months ended September 30, 2025, compared to the same period in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rates were a net expense of 57.4% and a net benefit of 0.5% for the three months ended September 30, 2025 and 2024, respectively.</w:t>
      </w:r>
    </w:p>
    <w:p>
      <w:pPr>
        <w:spacing w:after="0" w:line="91" w:lineRule="exact"/>
        <w:rPr>
          <w:sz w:val="20"/>
          <w:szCs w:val="20"/>
          <w:color w:val="auto"/>
        </w:rPr>
      </w:pPr>
    </w:p>
    <w:p>
      <w:pPr>
        <w:jc w:val="both"/>
        <w:ind w:right="40" w:firstLine="395"/>
        <w:spacing w:after="0" w:line="248" w:lineRule="auto"/>
        <w:rPr>
          <w:sz w:val="20"/>
          <w:szCs w:val="20"/>
          <w:color w:val="auto"/>
        </w:rPr>
      </w:pPr>
      <w:r>
        <w:rPr>
          <w:rFonts w:ascii="Times New Roman" w:cs="Times New Roman" w:eastAsia="Times New Roman" w:hAnsi="Times New Roman"/>
          <w:sz w:val="18"/>
          <w:szCs w:val="18"/>
          <w:color w:val="auto"/>
        </w:rPr>
        <w:t>For the three months ended September 30, 2025, the net effect of discrete items decreased the effective tax rate by 19.5%. The discrete items for the three months ended September 30, 2025 primarily relate to a decrease in the valuation allowance and a release of an uncertain tax position. Excluding discrete items, our effective tax rate would have been 76.9% for the three months ended September 30, 2025.</w:t>
      </w:r>
    </w:p>
    <w:p>
      <w:pPr>
        <w:spacing w:after="0" w:line="201"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the net effect of discrete items decreased the effective tax rate by 32.9%. The discrete items for the three months ended September 30, 2024 relate to reversal of unrecognized tax benefits of $7.3 million due to the settlement of an IRS audit. Excluding discrete items, our effective tax rate would have been 32.4% for the three months ended September 30, 2024.</w:t>
      </w:r>
    </w:p>
    <w:p>
      <w:pPr>
        <w:spacing w:after="0" w:line="11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37,562</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629,395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62,886</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25,787</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574 %</w:t>
            </w:r>
          </w:p>
        </w:tc>
      </w:tr>
      <w:tr>
        <w:trPr>
          <w:trHeight w:val="202"/>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02"/>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24,154</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 meaningful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Revenue increased by $84.7 million, or 12%, to $769.7 million in the nine months ended September 30, 2025 compared to the same period in 2024. Revenue was not impacted on a constant currency basis in the nine months ended September 30, 2025, compared to the same period in 2024. The increase was largely attributable to revenue recognized from Envato, which was acquired on July 22, 2024, and growth in our data offering during the period.</w:t>
      </w:r>
    </w:p>
    <w:p>
      <w:pPr>
        <w:spacing w:after="0" w:line="114"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Our Content revenues increased by 9%, to $597.1 million in the nine months ended September 30, 2025, compared to the same period in 2024. Foreign currency fluctuations did not have a significant impact on our Content revenues in the nine months ended September 30, 2025. The increase in our Content revenues was driven by the contribution of Envato, which was acquired on July 22, 2024.</w:t>
      </w:r>
    </w:p>
    <w:p>
      <w:pPr>
        <w:spacing w:after="0" w:line="114" w:lineRule="exact"/>
        <w:rPr>
          <w:sz w:val="20"/>
          <w:szCs w:val="20"/>
          <w:color w:val="auto"/>
        </w:rPr>
      </w:pPr>
    </w:p>
    <w:p>
      <w:pPr>
        <w:ind w:right="120" w:firstLine="395"/>
        <w:spacing w:after="0" w:line="254" w:lineRule="auto"/>
        <w:rPr>
          <w:sz w:val="20"/>
          <w:szCs w:val="20"/>
          <w:color w:val="auto"/>
        </w:rPr>
      </w:pPr>
      <w:r>
        <w:rPr>
          <w:rFonts w:ascii="Times New Roman" w:cs="Times New Roman" w:eastAsia="Times New Roman" w:hAnsi="Times New Roman"/>
          <w:sz w:val="18"/>
          <w:szCs w:val="18"/>
          <w:color w:val="auto"/>
        </w:rPr>
        <w:t>Our Data, Distribution, and Services revenues increased by 26%, to $172.6 million in the nine months ended September 30, 2025, compared to the same period in 2024. Foreign currency fluctuations did not have a significant impact on our Data, Distribution, and Services revenues in the nine months</w:t>
      </w:r>
    </w:p>
    <w:p>
      <w:pPr>
        <w:spacing w:after="0" w:line="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ended September 30, 2025. Data, Distribution, and Services revenues benefited from the timing of data deal revenue recognition, which fluctuates quarter-to-quarter based on the delivery of metadata to our customers, as well as growth in our Distribution and Services offerings.</w:t>
      </w:r>
    </w:p>
    <w:p>
      <w:pPr>
        <w:spacing w:after="0" w:line="81"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$59.8 million, or 17%, to $410.9 million, revenue from Europe increased by $15.9 million, or 9%, to $194.2 million and revenue from outside Europe and North America increased by $9.0 million, or 6%, to $164.6 million, in the nine months ended September 30, 2025 compared to the same period in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22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Cost of revenue increased by $25.6 million, or 9%, to $309.4 million in the nine months ended September 30, 2025 compared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same period in 2024. This increase was driven by increased royalty and content costs, costs associated with website hosting, hardware and software licenses, and employee related costs, and depreciation and amortization driven by the acquisition of Envato. These increases were partially offset by decreases in recurring and non-recurring Giphy Retention Compensation expenses. As a percent of revenue, cost of revenue decreased to 40% for the nine months ended September 30, 2025, from 41% for the same period in 2024. We expect that our cost of revenue will continue to fluctuate in line with changes in revenue.</w:t>
      </w:r>
    </w:p>
    <w:p>
      <w:pPr>
        <w:spacing w:after="0" w:line="50"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$6.3 million, or 4%, to $169.8 million in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increase was driven by an increase in employee-related costs driven by the Envato business and performance marketing spend. In addition, there was a $1.4 million increase and</w:t>
      </w: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a $1.5 million decrease from recurring and non-recurring Giphy Retention Compensation, respectively. As a percent of revenue, sales and marketing expenses decreased to 22% for the nine months ended September 30, 2025, from 24% for the same period in 2024. We expect sales and marketing expenses to continue to fluctuate as we optimize our sales channels and invest in new customer acquisition, products and geographies.</w:t>
      </w:r>
    </w:p>
    <w:p>
      <w:pPr>
        <w:spacing w:after="0" w:line="73"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Product Development. </w:t>
      </w:r>
      <w:r>
        <w:rPr>
          <w:rFonts w:ascii="Times New Roman" w:cs="Times New Roman" w:eastAsia="Times New Roman" w:hAnsi="Times New Roman"/>
          <w:sz w:val="16"/>
          <w:szCs w:val="16"/>
          <w:color w:val="auto"/>
        </w:rPr>
        <w:t>Product development expenses decreased by $6.5 million, or 9%, to $63.0 million in the nine months ended September 30,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compared to the same period in 2024. The decrease in product development was driven by decreases of $2.4 million and $15.4 million from recurring and non-recurring Giphy Retention Compensation expenses, respectively. This was partially offset by increases in software licenses and employee-related costs driven by the acquisition of Envato.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0" w:lineRule="exact"/>
        <w:rPr>
          <w:sz w:val="20"/>
          <w:szCs w:val="20"/>
          <w:color w:val="auto"/>
        </w:rPr>
      </w:pPr>
    </w:p>
    <w:p>
      <w:pPr>
        <w:ind w:right="2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$37.6 million, or 33%, to $150.1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compared to the same period in 2024. The increase was driven by $27.7 million associated with the Getty merger, and increases in employee-related costs driven by the acquisition of Envato and bad debt expense. This was partially offset by a decrease professional fees. In addition, there was a $0.5 million increase and a $2.5 million decrease from recurring and non-recurring Giphy Retention Compensation expenses, respectively.</w:t>
      </w:r>
    </w:p>
    <w:p>
      <w:pPr>
        <w:spacing w:after="0" w:line="75" w:lineRule="exact"/>
        <w:rPr>
          <w:sz w:val="20"/>
          <w:szCs w:val="20"/>
          <w:color w:val="auto"/>
        </w:rPr>
      </w:pPr>
    </w:p>
    <w:p>
      <w:pPr>
        <w:ind w:right="4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nine months ended September 30, 2025 and September 30, 2024, we recognized interest expense of $12.7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 million, respectively related to our credit facility and the amortization of deferred financing fees. Interest expense for the nine months ended September 30, 2025 increased due to borrowings under the A&amp;R Credit Agreement entered into during the quarter ended September 30, 2024 to fund the acquisition of Envato.</w:t>
      </w:r>
    </w:p>
    <w:p>
      <w:pPr>
        <w:spacing w:after="0" w:line="75"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During the nine months ended September 30, 2025, other income, net substantially consisted of $2.9 million of interest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$34.1 million of unrealized gains related to our investment in Meitu, Inc., partially offset by a $5.0 million expense related to the impairment of our long-term investment in an equity security, and $1.7 million of unrealized foreign currency losses. During the nine months ended September 30, 2024 other income, net consisted of $3.5 million of interest income and $1.7 million of unrealized gains related to our investment in Meitu, Inc., partially offset by $0.7 million of unrealized foreign currency losses.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Income tax expense increased by $16.3 million for the nine months ended September 30, 2025 as compared to the same period in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rates yielded an expense of 35.2% and 31.4% for the nine months ended September 30, 2025 and 2024, respectively.</w:t>
      </w:r>
    </w:p>
    <w:p>
      <w:pPr>
        <w:spacing w:after="0" w:line="91" w:lineRule="exact"/>
        <w:rPr>
          <w:sz w:val="20"/>
          <w:szCs w:val="20"/>
          <w:color w:val="auto"/>
        </w:rPr>
      </w:pPr>
    </w:p>
    <w:p>
      <w:pPr>
        <w:ind w:right="240" w:firstLine="395"/>
        <w:spacing w:after="0" w:line="303" w:lineRule="auto"/>
        <w:rPr>
          <w:sz w:val="20"/>
          <w:szCs w:val="20"/>
          <w:color w:val="auto"/>
        </w:rPr>
      </w:pPr>
      <w:r>
        <w:rPr>
          <w:rFonts w:ascii="Times New Roman" w:cs="Times New Roman" w:eastAsia="Times New Roman" w:hAnsi="Times New Roman"/>
          <w:sz w:val="16"/>
          <w:szCs w:val="16"/>
          <w:color w:val="auto"/>
        </w:rPr>
        <w:t>For the nine months ended September 30, 2025, the net effect of discrete items decreased the effective tax rate by 9.6%. The discrete items for the nine months ended September 30, 2025 primarily relate to a decrease in the valuation allowance and a release of an uncertain tax position, partially offset by shortfalls on equity award vestings. Excluding discrete items, our effective tax rate would have been 44.8% for the nine months ended September 30, 2025.</w:t>
      </w:r>
    </w:p>
    <w:p>
      <w:pPr>
        <w:spacing w:after="0" w:line="4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2024, the net effect of discrete items increased the effective tax rate by 8.2%. The discrete items for the nine months ended September 30, 2024 relate to shortfalls on equity award vestings and a one-time charge of $6.3 million related to the reversal of a deferred tax asset resulting from the expiration of equity awards granted to the Company’s Founder and Executive Chairman, partially offset by the reversal of unrecognized tax benefits of $7.3 million due to the settlement of an IRS audit. Excluding discrete items, our effective tax rate would have been 23.2% for the nine months ended September 30, 2024.</w:t>
      </w:r>
    </w:p>
    <w:p>
      <w:pPr>
        <w:spacing w:after="0" w:line="80"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w:t>
      </w:r>
    </w:p>
    <w:p>
      <w:pPr>
        <w:spacing w:after="0" w:line="90" w:lineRule="exact"/>
        <w:rPr>
          <w:sz w:val="20"/>
          <w:szCs w:val="20"/>
          <w:color w:val="auto"/>
        </w:rPr>
      </w:pPr>
    </w:p>
    <w:p>
      <w:pPr>
        <w:jc w:val="both"/>
        <w:ind w:right="24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200" w:lineRule="exact"/>
        <w:rPr>
          <w:sz w:val="20"/>
          <w:szCs w:val="20"/>
          <w:color w:val="auto"/>
        </w:rPr>
      </w:pPr>
    </w:p>
    <w:p>
      <w:pPr>
        <w:spacing w:after="0" w:line="27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2025, we had cash and cash equivalents totaling $165.5 million which consisted primarily of bank balances. Since inception, we have financed our operations primarily through cash flows generated from operations. In addition, if necessary, we have the ability to draw on our A&amp;R Credit Agreement dated July 22, 2024.</w:t>
      </w:r>
    </w:p>
    <w:p>
      <w:pPr>
        <w:spacing w:after="0" w:line="75"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position, cash dividend payments,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2" w:lineRule="exact"/>
        <w:rPr>
          <w:sz w:val="20"/>
          <w:szCs w:val="20"/>
          <w:color w:val="auto"/>
        </w:rPr>
      </w:pPr>
    </w:p>
    <w:p>
      <w:pPr>
        <w:ind w:right="300" w:firstLine="395"/>
        <w:spacing w:after="0" w:line="242" w:lineRule="auto"/>
        <w:rPr>
          <w:sz w:val="20"/>
          <w:szCs w:val="20"/>
          <w:color w:val="auto"/>
        </w:rPr>
      </w:pPr>
      <w:r>
        <w:rPr>
          <w:rFonts w:ascii="Times New Roman" w:cs="Times New Roman" w:eastAsia="Times New Roman" w:hAnsi="Times New Roman"/>
          <w:sz w:val="18"/>
          <w:szCs w:val="18"/>
          <w:color w:val="auto"/>
        </w:rPr>
        <w:t>We declared and paid cash dividends of $0.99 per share of common stock, or $34.8 million during the nine months ended September 30, 2025. Future declarations of dividends are subject to the final determination of our Board of Directors, and will depend on, among other things, our future</w:t>
      </w:r>
    </w:p>
    <w:p>
      <w:pPr>
        <w:spacing w:after="0" w:line="1"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8"/>
          <w:szCs w:val="18"/>
          <w:color w:val="auto"/>
        </w:rPr>
        <w:t>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“Share Repurchase Program”), providing authorization to repurchase up to $100 million of our common stock.</w:t>
      </w:r>
    </w:p>
    <w:p>
      <w:pPr>
        <w:spacing w:after="0" w:line="64" w:lineRule="exact"/>
        <w:rPr>
          <w:sz w:val="20"/>
          <w:szCs w:val="20"/>
          <w:color w:val="auto"/>
        </w:rPr>
      </w:pPr>
    </w:p>
    <w:p>
      <w:pPr>
        <w:ind w:right="24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As of September 30, 2025, we have repurchased approximately 5.5 million shares of our common stock in total since 2015 under the Share repurchase programs (including the 2015 and 2017 Share Repurchase Programs and the 2023 Share Repurchase Program) at an average per-share cost of $48.86. During the three and nine months ended September 30, 2025, we did not repurchase shares of our common stock. During the three and nine months ended September 30, 2024, we repurchased approximately 594,400 and 1,111,500 shares of our common stock at an average cost of $35.33 and $37.42, respectively. As of September 30, 2025, we had $30 million of remaining authorization for repurchases under the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8"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direct and indirect subsidiaries of our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200" w:lineRule="exact"/>
        <w:rPr>
          <w:sz w:val="20"/>
          <w:szCs w:val="20"/>
          <w:color w:val="auto"/>
        </w:rPr>
      </w:pPr>
    </w:p>
    <w:p>
      <w:pPr>
        <w:spacing w:after="0" w:line="32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40" w:firstLine="395"/>
        <w:spacing w:after="0" w:line="332" w:lineRule="auto"/>
        <w:rPr>
          <w:sz w:val="20"/>
          <w:szCs w:val="20"/>
          <w:color w:val="auto"/>
        </w:rPr>
      </w:pPr>
      <w:r>
        <w:rPr>
          <w:rFonts w:ascii="Times New Roman" w:cs="Times New Roman" w:eastAsia="Times New Roman" w:hAnsi="Times New Roman"/>
          <w:sz w:val="16"/>
          <w:szCs w:val="16"/>
          <w:color w:val="auto"/>
        </w:rPr>
        <w:t>The A&amp;R Credit Agreement replaces our existing Credit Facility, which was fully repaid and terminated upon the effectiveness of the A&amp;R Credit Agreement. In connection with the closing of the Credit Facility, we repaid $30 million of existing outstanding borrowings and accrued interest.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we had a remaining borrowing capacity of $94 million, net of standby letters of credit.</w:t>
      </w:r>
    </w:p>
    <w:p>
      <w:pPr>
        <w:spacing w:after="0" w:line="10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September 30, 2025, we were in compliance with these covenants.</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recognized interest expense of $4.2 million and $12.7 million, respectively. As of September 30, 2025, unamortized debt issuance cost related to the Term Loan - A&amp;R Credit Agreement is $0.6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49"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2025, we had approximately $20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September 30, 2025, we had approximately $31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16 to our Unaudited Consolidated Financial Statements included in Part I, Item 1 of this Quarterly Report on Form 10-Q for information regarding our existing capital commitments as of September 30, 2025.</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2025 and 2024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03"/>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130,473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(37,438)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(156,120)</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(46,271)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162,556</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$130.5 million for the nine months ended September 30, 2025, compared to $24.7 million for the nine months ended September 30, 2024. In the nine months ended September 30, 2025, operating cash flows were favorably impacted by the timing of cash receipts associated with data deal licensing agreements. Also, operating cash flows for the nine months ended September 30, 2024 were unfavorably impacted by (i) $63.4 million in recurring and non-recurring payments made to the Giphy workforce, the reimbursement of which is reflected in Investing Activities on the Statement of Cash Flows, and (ii) $45.7 million of cash outflows made for the Envato Seller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was $37.4 million, consisting primarily of (i) capital expenditures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$32.5 million for internal-use software and website development costs and purchases of software and equipment; and (ii) $6.1 million paid to acquire the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distribute certain digital content into perpetuity. These cash outflows were partially offset by $1.2 million of Giphy Retention Compensation, as reimbursed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Giphy seller.</w:t>
      </w:r>
    </w:p>
    <w:p>
      <w:pPr>
        <w:spacing w:after="0" w:line="91"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2024 was $156.1 million, consisting primarily of (i) $179.1 million used in the acquisition of Envato and Backgrid, net of cash acquired; (ii) capital expenditures of $38.3 million for internal-use software and website development costs and purchases of software and equipment; and (iii) $2.5 million paid to acquire the rights to distribute certain digital content in perpetuity. These cash outflows were partially offset by (i) $63.4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was $46.3 million, consisting of (i) $34.8 million, related to the payment of the quarterly cash dividend; (ii) $9.1 million paid in the settlement of tax withholding obligations related to employee stock-based compensation awards; and (ii) $2.3 million used for the repayment of our Credit Facility.</w:t>
      </w:r>
    </w:p>
    <w:p>
      <w:pPr>
        <w:spacing w:after="0" w:line="75" w:lineRule="exact"/>
        <w:rPr>
          <w:sz w:val="20"/>
          <w:szCs w:val="20"/>
          <w:color w:val="auto"/>
        </w:rPr>
      </w:pPr>
    </w:p>
    <w:p>
      <w:pPr>
        <w:ind w:right="280" w:firstLine="395"/>
        <w:spacing w:after="0" w:line="293" w:lineRule="auto"/>
        <w:rPr>
          <w:sz w:val="20"/>
          <w:szCs w:val="20"/>
          <w:color w:val="auto"/>
        </w:rPr>
      </w:pPr>
      <w:r>
        <w:rPr>
          <w:rFonts w:ascii="Times New Roman" w:cs="Times New Roman" w:eastAsia="Times New Roman" w:hAnsi="Times New Roman"/>
          <w:sz w:val="16"/>
          <w:szCs w:val="16"/>
          <w:color w:val="auto"/>
        </w:rPr>
        <w:t>Cash provided by financing activities in the nine months ended September 30, 2024 was $162.6 million, consisting of (i) $280.0 million received from our A&amp;R Credit Agreement; (ii) $30.0 million used for the repayment of our Credit Facility; (iii) $31.9 million related to the payment of the quarterly cash dividend; (iv) $41.6 million paid in connection with the repurchase of common stock under our 2023 Share Repurchase Program; (v) $11.7 million paid in settlement of tax withholding obligations related to employee stock-based compensation awards; and (vi) $2.2 million paid for debt issuance costs.</w:t>
      </w: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36,429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46,351</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115,592</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115,369</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79,429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69,997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225,028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188,046</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75,224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45,672</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116,106</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93,102</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bl>
    <w:p>
      <w:pPr>
        <w:spacing w:after="0" w:line="200" w:lineRule="exact"/>
        <w:rPr>
          <w:sz w:val="20"/>
          <w:szCs w:val="20"/>
          <w:color w:val="auto"/>
        </w:rPr>
      </w:pPr>
    </w:p>
    <w:p>
      <w:pPr>
        <w:spacing w:after="0" w:line="32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9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September 30, 2025, the Company also incurred $3.7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impairment loss on long-term investment, Giphy Retention Compensation Expense - non-recurring, unrealized gains and losses on investments, severance costs associated with strategic workforce optimizations, costs incurred associated with the Getty merger, and the estimated tax impact of such adjustments. We define adjusted net income per diluted common share as adjusted net income divided by weighted average diluted shares.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0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41,220</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(1)(2)</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(3)</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27,658</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w:t>
            </w:r>
          </w:p>
        </w:tc>
      </w:tr>
      <w:tr>
        <w:trPr>
          <w:trHeight w:val="211"/>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long-term investment</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21,825</w:t>
            </w:r>
          </w:p>
        </w:tc>
      </w:tr>
      <w:tr>
        <w:trPr>
          <w:trHeight w:val="212"/>
        </w:trPr>
        <w:tc>
          <w:tcPr>
            <w:tcW w:w="5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Merger related costs</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(4)</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0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36,429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115,592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115,369</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5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63"/>
        </w:trPr>
        <w:tc>
          <w:tcPr>
            <w:tcW w:w="5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8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36,642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2" w:lineRule="exact"/>
        <w:rPr>
          <w:rFonts w:ascii="Times New Roman" w:cs="Times New Roman" w:eastAsia="Times New Roman" w:hAnsi="Times New Roman"/>
          <w:sz w:val="14"/>
          <w:szCs w:val="14"/>
          <w:color w:val="auto"/>
        </w:rPr>
      </w:pPr>
    </w:p>
    <w:p>
      <w:pPr>
        <w:ind w:left="320" w:right="80" w:hanging="315"/>
        <w:spacing w:after="0" w:line="259" w:lineRule="auto"/>
        <w:tabs>
          <w:tab w:leader="none" w:pos="3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of non-cash equity-based compensation in 2024 includes a $6.3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81" w:lineRule="exact"/>
        <w:rPr>
          <w:rFonts w:ascii="Times New Roman" w:cs="Times New Roman" w:eastAsia="Times New Roman" w:hAnsi="Times New Roman"/>
          <w:sz w:val="14"/>
          <w:szCs w:val="14"/>
          <w:color w:val="auto"/>
        </w:rPr>
      </w:pPr>
    </w:p>
    <w:p>
      <w:pPr>
        <w:ind w:left="320" w:right="360" w:hanging="315"/>
        <w:spacing w:after="0" w:line="257" w:lineRule="auto"/>
        <w:tabs>
          <w:tab w:leader="none" w:pos="3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$8.9 million and $7.8 million are included in cost of revenue for the three months ended September 30, 2025 and 2024, respectively. The remainder of acquisition-related amortization expense is included in general and administrative expense in the Statement of Operations.</w:t>
      </w:r>
    </w:p>
    <w:p>
      <w:pPr>
        <w:ind w:left="320" w:hanging="315"/>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3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Giphy Retention Compensation Expense - non-recurring, costs incurred associated with the Getty merger, foreign currency transaction gains and losses, severance costs associated with strategic workforce optimizations, impairment loss on long-term investment, unrealized gains and losses on investments, interest income and expense and income taxes. We define adjusted EBITDA margin as the ratio of adjusted EBITDA to revenue.</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5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37,361</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12,748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5,574</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(3,477)</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18,016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17,116</w:t>
            </w:r>
          </w:p>
        </w:tc>
      </w:tr>
      <w:tr>
        <w:trPr>
          <w:trHeight w:val="20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22,877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21,643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68,159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64,339</w:t>
            </w:r>
          </w:p>
        </w:tc>
      </w:tr>
      <w:tr>
        <w:trPr>
          <w:trHeight w:val="20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57,637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42,535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172,978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120,913</w:t>
            </w: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12,962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46,471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41,220</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6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10,281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21,825</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26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675</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(2,840)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(34,129)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(1,688)</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26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3,801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5,101</w:t>
            </w: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long-term investment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79,429</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69,997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225,028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188,046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260,094</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684,956</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margin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product offering) on a Constant Currency Basis</w:t>
      </w:r>
    </w:p>
    <w:p>
      <w:pPr>
        <w:spacing w:after="0" w:line="16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260,094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684,956</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194,426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203,713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597,110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547,494</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65,668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46,875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172,594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137,462</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0" w:type="dxa"/>
            <w:vAlign w:val="bottom"/>
          </w:tcPr>
          <w:p>
            <w:pPr>
              <w:spacing w:after="0"/>
              <w:rPr>
                <w:sz w:val="1"/>
                <w:szCs w:val="1"/>
                <w:color w:val="auto"/>
              </w:rPr>
            </w:pPr>
          </w:p>
        </w:tc>
      </w:tr>
      <w:tr>
        <w:trPr>
          <w:trHeight w:val="159"/>
        </w:trPr>
        <w:tc>
          <w:tcPr>
            <w:tcW w:w="50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w:t>
            </w:r>
          </w:p>
        </w:tc>
        <w:tc>
          <w:tcPr>
            <w:tcW w:w="2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basis</w:t>
            </w: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Merger related costs.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 (used in) operating activities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78,390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130,473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24,680</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(156,120)</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162,556</w:t>
            </w:r>
          </w:p>
        </w:tc>
      </w:tr>
      <w:tr>
        <w:trPr>
          <w:trHeight w:val="265"/>
        </w:trPr>
        <w:tc>
          <w:tcPr>
            <w:tcW w:w="5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operating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(38,297)</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63,444</w:t>
            </w:r>
          </w:p>
        </w:tc>
      </w:tr>
      <w:tr>
        <w:trPr>
          <w:trHeight w:val="212"/>
        </w:trPr>
        <w:tc>
          <w:tcPr>
            <w:tcW w:w="534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related costs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93,102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640" w:right="200" w:hanging="319"/>
        <w:spacing w:after="0" w:line="268" w:lineRule="auto"/>
        <w:tabs>
          <w:tab w:leader="none" w:pos="6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24% and 27% for the nine months ended September 30, 2025 and 2024,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nine months ended September 30, 2025, we estimate that a 10% change in the exchange rate of the U.S. dollar against all foreign currency denominated revenues would result in an approximately 2% impact on our revenue.</w:t>
      </w:r>
    </w:p>
    <w:p>
      <w:pPr>
        <w:spacing w:after="0" w:line="108"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jc w:val="right"/>
              <w:ind w:right="61"/>
              <w:spacing w:after="0"/>
              <w:rPr>
                <w:sz w:val="20"/>
                <w:szCs w:val="20"/>
                <w:color w:val="auto"/>
              </w:rPr>
            </w:pPr>
            <w:r>
              <w:rPr>
                <w:rFonts w:ascii="Arial" w:cs="Arial" w:eastAsia="Arial" w:hAnsi="Arial"/>
                <w:sz w:val="12"/>
                <w:szCs w:val="12"/>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jc w:val="right"/>
              <w:ind w:right="101"/>
              <w:spacing w:after="0"/>
              <w:rPr>
                <w:sz w:val="20"/>
                <w:szCs w:val="20"/>
                <w:color w:val="auto"/>
              </w:rPr>
            </w:pPr>
            <w:r>
              <w:rPr>
                <w:rFonts w:ascii="Arial" w:cs="Arial" w:eastAsia="Arial" w:hAnsi="Arial"/>
                <w:sz w:val="12"/>
                <w:szCs w:val="12"/>
                <w:b w:val="1"/>
                <w:bCs w:val="1"/>
                <w:color w:val="auto"/>
              </w:rPr>
              <w:t>Nine Months Ended September 30,</w:t>
            </w:r>
          </w:p>
        </w:tc>
        <w:tc>
          <w:tcPr>
            <w:tcW w:w="800" w:type="dxa"/>
            <w:vAlign w:val="bottom"/>
            <w:tcBorders>
              <w:bottom w:val="single" w:sz="8" w:color="auto"/>
            </w:tcBorders>
          </w:tcPr>
          <w:p>
            <w:pPr>
              <w:spacing w:after="0"/>
              <w:rPr>
                <w:sz w:val="14"/>
                <w:szCs w:val="14"/>
                <w:color w:val="auto"/>
              </w:rPr>
            </w:pPr>
          </w:p>
        </w:tc>
      </w:tr>
      <w:tr>
        <w:trPr>
          <w:trHeight w:val="163"/>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r>
      <w:tr>
        <w:trPr>
          <w:trHeight w:val="116"/>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7"/>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27,597</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33,841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107,885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94,693</w:t>
            </w: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10,202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34,343</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9"/>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202,647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185,852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581,881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499,324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31"/>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September 30,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83"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Although we are not currently a party to any material pending litigation (except as described below),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08"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Since the definitive proxy statement filed with the SEC on April 30, 2025 (the “Proxy Statement”), two complaints have been filed against Shutterstock and each member of Shutterstock’s board of directors (the “Individual Defendants”). The two complaints are captioned as follows: Johnson v. Shutterstock, Inc., et al., 682860/2025 (filed in the Supreme Court of the State of New York, County of New York, Commercial Division (the “Johnson Action”) and Weiss v. Shutterstock, Inc., et al., 652853/2025 at ECF No. 1, filed in the Supreme Court of the State of New York, County of New York, Commercial Division (the “Weiss Action”, and together with the Johnson Action, the “Stockholder Actions”). The Stockholder Actions allege that, among other things, the Proxy Statement contains false and misleading and/or incomplete information regarding the Merger. The Stockholder Actions assert claims for (i) negligent misrepresentation and concealment, and (ii) negligence in connection with the filing of the allegedly false and misleading Proxy Statement. The Stockholder Actions seek an injunction enjoining the consummation of the Merger unless and until the Individual Defendants disclose the allegedly omitted material information, in the event that the Merger are consummated, rescission of the Merger and awarding actual and punitive damages to plaintiff, and an award of attorneys’ and experts’ fees.</w:t>
      </w:r>
    </w:p>
    <w:p>
      <w:pPr>
        <w:spacing w:after="0" w:line="12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Stockholder Actions, beginning on April 25, 2025, certain purported stockholders of Shutterstock and Getty Images sent demand letters (the “Demand Letters”, and together with the Stockholder Actions, the “Matters”) alleging similar deficiencies regarding the disclosures made in the Proxy Statement and seeking additional disclosures to address those alleged deficiencies.</w:t>
      </w:r>
    </w:p>
    <w:p>
      <w:pPr>
        <w:spacing w:after="0" w:line="75"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Shutterstock believes it has substantial defenses in connection with the Matters and no supplemental disclosure is required under applicable law. However, in order to avoid the risk that the Matters may delay or otherwise adversely affect the implementation of the Merger, to minimize the costs, risks and uncertainties inherent in litigation, and without admitting any liability or wrongdoing, Shutterstock has determined to voluntarily supplement the Proxy Statement as described in the Current Report on Form 8-K filed with the SEC on May 30, 2025, to provide additional information to Shutterstock stockholders. Nothing in said Current Report on Form 8-K shall be deemed an admission of the legal necessity or materiality under applicable law of any of the disclosures set forth therein or in the Proxy Statement. To the contrary, Shutterstock denies all allegations in the Matters that any additional disclosure was or is required.</w:t>
      </w:r>
    </w:p>
    <w:p>
      <w:pPr>
        <w:spacing w:after="0" w:line="3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3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2024 Form 10-K, which could materially affect our business, financial condition or future results. During the three months ended September 30, 2025, there were no material changes to these risk factors as described in our 2024 Form 10-K.</w:t>
      </w:r>
    </w:p>
    <w:p>
      <w:pPr>
        <w:spacing w:after="0" w:line="2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395"/>
        <w:spacing w:after="0" w:line="241" w:lineRule="auto"/>
        <w:rPr>
          <w:sz w:val="20"/>
          <w:szCs w:val="20"/>
          <w:color w:val="auto"/>
        </w:rPr>
      </w:pPr>
      <w:r>
        <w:rPr>
          <w:rFonts w:ascii="Times New Roman" w:cs="Times New Roman" w:eastAsia="Times New Roman" w:hAnsi="Times New Roman"/>
          <w:sz w:val="18"/>
          <w:szCs w:val="18"/>
          <w:color w:val="auto"/>
        </w:rPr>
        <w:t>During the quarter ended September 30, 2025,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5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8" w:name="page49"/>
    <w:bookmarkEnd w:id="48"/>
    <w:p>
      <w:pPr>
        <w:ind w:left="1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4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8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8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0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2.1</w:t>
            </w:r>
          </w:p>
        </w:tc>
        <w:tc>
          <w:tcPr>
            <w:tcW w:w="100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8"/>
              </w:rPr>
            </w:pPr>
            <w:hyperlink r:id="rId65">
              <w:r>
                <w:rPr>
                  <w:rFonts w:ascii="Times New Roman" w:cs="Times New Roman" w:eastAsia="Times New Roman" w:hAnsi="Times New Roman"/>
                  <w:sz w:val="16"/>
                  <w:szCs w:val="16"/>
                  <w:color w:val="0000FF"/>
                  <w:w w:val="98"/>
                </w:rPr>
                <w:t>Agreement and Plan of Merger, dated as of January 6, 2025, by and among Getty Images, Merger Sub 2, Merger Sub 3, Shutterstock, HoldCo and Merger Sub</w:t>
              </w:r>
            </w:hyperlink>
          </w:p>
        </w:tc>
      </w:tr>
      <w:tr>
        <w:trPr>
          <w:trHeight w:val="138"/>
        </w:trPr>
        <w:tc>
          <w:tcPr>
            <w:tcW w:w="800" w:type="dxa"/>
            <w:vAlign w:val="bottom"/>
          </w:tcPr>
          <w:p>
            <w:pPr>
              <w:spacing w:after="0"/>
              <w:rPr>
                <w:sz w:val="11"/>
                <w:szCs w:val="11"/>
                <w:color w:val="auto"/>
              </w:rPr>
            </w:pPr>
          </w:p>
        </w:tc>
        <w:tc>
          <w:tcPr>
            <w:tcW w:w="120" w:type="dxa"/>
            <w:vAlign w:val="bottom"/>
            <w:tcBorders>
              <w:bottom w:val="single" w:sz="8" w:color="0000FF"/>
            </w:tcBorders>
          </w:tcPr>
          <w:p>
            <w:pPr>
              <w:spacing w:after="0" w:line="138" w:lineRule="exact"/>
              <w:rPr>
                <w:rFonts w:ascii="Times New Roman" w:cs="Times New Roman" w:eastAsia="Times New Roman" w:hAnsi="Times New Roman"/>
                <w:sz w:val="15"/>
                <w:szCs w:val="15"/>
                <w:color w:val="0000FF"/>
                <w:w w:val="88"/>
              </w:rPr>
            </w:pPr>
            <w:hyperlink r:id="rId65">
              <w:r>
                <w:rPr>
                  <w:rFonts w:ascii="Times New Roman" w:cs="Times New Roman" w:eastAsia="Times New Roman" w:hAnsi="Times New Roman"/>
                  <w:sz w:val="15"/>
                  <w:szCs w:val="15"/>
                  <w:color w:val="0000FF"/>
                  <w:w w:val="88"/>
                </w:rPr>
                <w:t>1.</w:t>
              </w:r>
            </w:hyperlink>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31.1#</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31.2#</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32#</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and Chief Financial Officer pursuant to 18 U.S.C. Section 1350, as adopted pursuant to Section 906 of the Sarbanes-</w:t>
            </w:r>
          </w:p>
        </w:tc>
      </w:tr>
      <w:tr>
        <w:trPr>
          <w:trHeight w:val="138"/>
        </w:trPr>
        <w:tc>
          <w:tcPr>
            <w:tcW w:w="800" w:type="dxa"/>
            <w:vAlign w:val="bottom"/>
          </w:tcPr>
          <w:p>
            <w:pPr>
              <w:spacing w:after="0"/>
              <w:rPr>
                <w:sz w:val="11"/>
                <w:szCs w:val="11"/>
                <w:color w:val="auto"/>
              </w:rPr>
            </w:pPr>
          </w:p>
        </w:tc>
        <w:tc>
          <w:tcPr>
            <w:tcW w:w="994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r>
      <w:tr>
        <w:trPr>
          <w:trHeight w:val="177"/>
        </w:trPr>
        <w:tc>
          <w:tcPr>
            <w:tcW w:w="800" w:type="dxa"/>
            <w:vAlign w:val="bottom"/>
          </w:tcPr>
          <w:p>
            <w:pPr>
              <w:jc w:val="right"/>
              <w:ind w:right="63"/>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1002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w w:val="99"/>
              </w:rPr>
              <w:t>XBRL Instance Document - the instance document does not appear in the Interactive Data File because its XBRL tags are embedded within the Inline XBRL</w:t>
            </w:r>
          </w:p>
        </w:tc>
      </w:tr>
      <w:tr>
        <w:trPr>
          <w:trHeight w:val="207"/>
        </w:trPr>
        <w:tc>
          <w:tcPr>
            <w:tcW w:w="800" w:type="dxa"/>
            <w:vAlign w:val="bottom"/>
          </w:tcPr>
          <w:p>
            <w:pPr>
              <w:spacing w:after="0"/>
              <w:rPr>
                <w:sz w:val="17"/>
                <w:szCs w:val="17"/>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101.SCH</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101.CAL</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101.DEF</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101.LAB</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101.PRE</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800" w:hanging="375"/>
        <w:spacing w:after="0"/>
        <w:tabs>
          <w:tab w:leader="none" w:pos="8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560" w:top="121" w:right="51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7660" w:type="dxa"/>
            <w:vAlign w:val="bottom"/>
            <w:gridSpan w:val="2"/>
          </w:tcPr>
          <w:p>
            <w:pPr>
              <w:ind w:left="190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5, 2025</w:t>
            </w:r>
          </w:p>
        </w:tc>
        <w:tc>
          <w:tcPr>
            <w:tcW w:w="2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Rik Powell</w:t>
            </w:r>
          </w:p>
        </w:tc>
      </w:tr>
      <w:tr>
        <w:trPr>
          <w:trHeight w:val="202"/>
        </w:trPr>
        <w:tc>
          <w:tcPr>
            <w:tcW w:w="3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10"/>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5, 2025</w:t>
            </w:r>
          </w:p>
        </w:tc>
        <w:tc>
          <w:tcPr>
            <w:tcW w:w="2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21"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November 5,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198" w:lineRule="exact"/>
        <w:rPr>
          <w:sz w:val="20"/>
          <w:szCs w:val="20"/>
          <w:color w:val="auto"/>
        </w:rPr>
      </w:pPr>
    </w:p>
    <w:p>
      <w:pPr>
        <w:ind w:left="840" w:hanging="519"/>
        <w:spacing w:after="0"/>
        <w:tabs>
          <w:tab w:leader="none" w:pos="8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November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2025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November 5,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2025 as filed with the Securities and Exchange Commission on the date hereof (the “Report”), I, Rik Powell,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November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2"/>
    </w:lvl>
    <w:lvl w:ilvl="1">
      <w:lvlJc w:val="left"/>
      <w:lvlText w:val="•"/>
      <w:numFmt w:val="bullet"/>
      <w:start w:val="1"/>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2"/>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bullet"/>
      <w:start w:val="1"/>
    </w:lvl>
  </w:abstractNum>
  <w:abstractNum w:abstractNumId="18">
    <w:nsid w:val="721DA317"/>
    <w:multiLevelType w:val="hybridMultilevel"/>
    <w:lvl w:ilvl="0">
      <w:lvlJc w:val="left"/>
      <w:lvlText w:val="2"/>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lvl w:ilvl="1">
      <w:lvlJc w:val="left"/>
      <w:lvlText w:val="%2"/>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65" Type="http://schemas.openxmlformats.org/officeDocument/2006/relationships/hyperlink" Target="https://www.sec.gov/Archives/edgar/data/1549346/000114036125000468/ny20041185x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2025-11-05T06:44:47Z</dcterms:created>
  <dcterms:modified xsi:type="dcterms:W3CDTF">2025-11-05T06:44:47Z</dcterms:modified>
</cp:coreProperties>
</file>