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40" w:right="8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-230505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-619760</wp:posOffset>
            </wp:positionV>
            <wp:extent cx="57785" cy="633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09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-619760</wp:posOffset>
            </wp:positionV>
            <wp:extent cx="57785" cy="633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3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735330</wp:posOffset>
            </wp:positionV>
            <wp:extent cx="6995160" cy="48228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4822825"/>
                    </a:xfrm>
                    <a:prstGeom prst="rect">
                      <a:avLst/>
                    </a:prstGeom>
                    <a:noFill/>
                  </pic:spPr>
                </pic:pic>
              </a:graphicData>
            </a:graphic>
          </wp:anchor>
        </w:drawing>
      </w:r>
    </w:p>
    <w:p>
      <w:pPr>
        <w:spacing w:after="0" w:line="1165" w:lineRule="exact"/>
        <w:rPr>
          <w:sz w:val="24"/>
          <w:szCs w:val="24"/>
          <w:color w:val="auto"/>
        </w:rPr>
      </w:pPr>
    </w:p>
    <w:p>
      <w:pPr>
        <w:sectPr>
          <w:pgSz w:w="11900" w:h="16838" w:orient="portrait"/>
          <w:cols w:equalWidth="0" w:num="2">
            <w:col w:w="2300" w:space="300"/>
            <w:col w:w="848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vMerge w:val="restart"/>
          </w:tcPr>
          <w:p>
            <w:pPr>
              <w:spacing w:after="0"/>
              <w:rPr>
                <w:rFonts w:ascii="Times New Roman" w:cs="Times New Roman" w:eastAsia="Times New Roman" w:hAnsi="Times New Roman"/>
                <w:sz w:val="20"/>
                <w:szCs w:val="20"/>
                <w:color w:val="0000EE"/>
                <w:w w:val="99"/>
              </w:rPr>
            </w:pPr>
            <w:hyperlink r:id="rId13">
              <w:r>
                <w:rPr>
                  <w:rFonts w:ascii="Times New Roman" w:cs="Times New Roman" w:eastAsia="Times New Roman" w:hAnsi="Times New Roman"/>
                  <w:sz w:val="20"/>
                  <w:szCs w:val="20"/>
                  <w:color w:val="0000EE"/>
                  <w:w w:val="99"/>
                </w:rPr>
                <w:t>Teevan Jaime</w:t>
              </w:r>
            </w:hyperlink>
          </w:p>
        </w:tc>
        <w:tc>
          <w:tcPr>
            <w:tcW w:w="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tcPr>
          <w:p>
            <w:pPr>
              <w:ind w:left="6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Shutterstock,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SSTK</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440" w:type="dxa"/>
            <w:vAlign w:val="bottom"/>
            <w:tcBorders>
              <w:bottom w:val="single" w:sz="8" w:color="0000EE"/>
            </w:tcBorders>
          </w:tcPr>
          <w:p>
            <w:pPr>
              <w:spacing w:after="0"/>
              <w:rPr>
                <w:sz w:val="6"/>
                <w:szCs w:val="6"/>
                <w:color w:val="auto"/>
              </w:rPr>
            </w:pPr>
          </w:p>
        </w:tc>
        <w:tc>
          <w:tcPr>
            <w:tcW w:w="234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20" w:type="dxa"/>
            <w:vAlign w:val="bottom"/>
            <w:tcBorders>
              <w:bottom w:val="single" w:sz="8" w:color="0000EE"/>
            </w:tcBorders>
            <w:vMerge w:val="continue"/>
          </w:tcPr>
          <w:p>
            <w:pPr>
              <w:spacing w:after="0"/>
              <w:rPr>
                <w:sz w:val="5"/>
                <w:szCs w:val="5"/>
                <w:color w:val="auto"/>
              </w:rPr>
            </w:pPr>
          </w:p>
        </w:tc>
        <w:tc>
          <w:tcPr>
            <w:tcW w:w="40" w:type="dxa"/>
            <w:vAlign w:val="bottom"/>
            <w:vMerge w:val="restart"/>
          </w:tcPr>
          <w:p>
            <w:pPr>
              <w:spacing w:after="0"/>
              <w:rPr>
                <w:sz w:val="5"/>
                <w:szCs w:val="5"/>
                <w:color w:val="auto"/>
              </w:rPr>
            </w:pPr>
          </w:p>
        </w:tc>
        <w:tc>
          <w:tcPr>
            <w:tcW w:w="12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40" w:type="dxa"/>
            <w:vAlign w:val="bottom"/>
          </w:tcPr>
          <w:p>
            <w:pPr>
              <w:spacing w:after="0"/>
              <w:rPr>
                <w:sz w:val="5"/>
                <w:szCs w:val="5"/>
                <w:color w:val="auto"/>
              </w:rPr>
            </w:pPr>
          </w:p>
        </w:tc>
        <w:tc>
          <w:tcPr>
            <w:tcW w:w="2340" w:type="dxa"/>
            <w:vAlign w:val="bottom"/>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vMerge w:val="continue"/>
          </w:tcPr>
          <w:p>
            <w:pPr>
              <w:spacing w:after="0"/>
              <w:rPr>
                <w:sz w:val="6"/>
                <w:szCs w:val="6"/>
                <w:color w:val="auto"/>
              </w:rPr>
            </w:pPr>
          </w:p>
        </w:tc>
        <w:tc>
          <w:tcPr>
            <w:tcW w:w="12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34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126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1260" w:type="dxa"/>
            <w:vAlign w:val="bottom"/>
            <w:vMerge w:val="restart"/>
          </w:tcPr>
          <w:p>
            <w:pPr>
              <w:ind w:left="6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40" w:type="dxa"/>
            <w:vAlign w:val="bottom"/>
            <w:gridSpan w:val="3"/>
            <w:vMerge w:val="continue"/>
          </w:tcPr>
          <w:p>
            <w:pPr>
              <w:spacing w:after="0"/>
              <w:rPr>
                <w:sz w:val="11"/>
                <w:szCs w:val="11"/>
                <w:color w:val="auto"/>
              </w:rPr>
            </w:pPr>
          </w:p>
        </w:tc>
        <w:tc>
          <w:tcPr>
            <w:tcW w:w="1820" w:type="dxa"/>
            <w:vAlign w:val="bottom"/>
          </w:tcPr>
          <w:p>
            <w:pPr>
              <w:ind w:left="58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1260" w:type="dxa"/>
            <w:vAlign w:val="bottom"/>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58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06/10/2026</w:t>
            </w:r>
          </w:p>
        </w:tc>
        <w:tc>
          <w:tcPr>
            <w:tcW w:w="234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SHUTTERSTOCK, INC.</w:t>
            </w:r>
          </w:p>
        </w:tc>
        <w:tc>
          <w:tcPr>
            <w:tcW w:w="1220" w:type="dxa"/>
            <w:vAlign w:val="bottom"/>
          </w:tcPr>
          <w:p>
            <w:pPr>
              <w:spacing w:after="0"/>
              <w:rPr>
                <w:sz w:val="10"/>
                <w:szCs w:val="10"/>
                <w:color w:val="auto"/>
              </w:rPr>
            </w:pPr>
          </w:p>
        </w:tc>
        <w:tc>
          <w:tcPr>
            <w:tcW w:w="1580" w:type="dxa"/>
            <w:vAlign w:val="bottom"/>
            <w:gridSpan w:val="3"/>
            <w:vMerge w:val="continue"/>
          </w:tcPr>
          <w:p>
            <w:pPr>
              <w:spacing w:after="0"/>
              <w:rPr>
                <w:sz w:val="10"/>
                <w:szCs w:val="10"/>
                <w:color w:val="auto"/>
              </w:rPr>
            </w:pPr>
          </w:p>
        </w:tc>
        <w:tc>
          <w:tcPr>
            <w:tcW w:w="234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20" w:type="dxa"/>
            <w:vAlign w:val="bottom"/>
            <w:gridSpan w:val="3"/>
            <w:vMerge w:val="continue"/>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350 FIFTH AVENUE, 20TH FLOOR</w:t>
            </w: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234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40" w:type="dxa"/>
            <w:vAlign w:val="bottom"/>
            <w:gridSpan w:val="3"/>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17" w:lineRule="exact"/>
        <w:rPr>
          <w:sz w:val="20"/>
          <w:szCs w:val="20"/>
          <w:color w:val="auto"/>
        </w:rPr>
      </w:pPr>
    </w:p>
    <w:tbl>
      <w:tblPr>
        <w:tblLayout w:type="fixed"/>
        <w:tblInd w:w="80" w:type="dxa"/>
        <w:tblCellMar>
          <w:top w:w="0" w:type="dxa"/>
          <w:left w:w="0" w:type="dxa"/>
          <w:bottom w:w="0" w:type="dxa"/>
          <w:right w:w="0" w:type="dxa"/>
        </w:tblCellMar>
      </w:tblPr>
      <w:tr>
        <w:trPr>
          <w:trHeight w:val="168"/>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7"/>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10118</w:t>
            </w:r>
          </w:p>
        </w:tc>
      </w:tr>
      <w:tr>
        <w:trPr>
          <w:trHeight w:val="147"/>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6"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2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840" w:type="dxa"/>
            <w:vAlign w:val="bottom"/>
            <w:gridSpan w:val="3"/>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1"/>
                <w:szCs w:val="1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840" w:type="dxa"/>
            <w:vAlign w:val="bottom"/>
            <w:gridSpan w:val="3"/>
          </w:tcPr>
          <w:p>
            <w:pPr>
              <w:ind w:left="100"/>
              <w:spacing w:after="0"/>
              <w:rPr>
                <w:sz w:val="20"/>
                <w:szCs w:val="20"/>
                <w:color w:val="auto"/>
              </w:rPr>
            </w:pPr>
            <w:r>
              <w:rPr>
                <w:rFonts w:ascii="Arial" w:cs="Arial" w:eastAsia="Arial" w:hAnsi="Arial"/>
                <w:sz w:val="11"/>
                <w:szCs w:val="11"/>
                <w:b w:val="1"/>
                <w:bCs w:val="1"/>
                <w:color w:val="auto"/>
              </w:rPr>
              <w:t>Disposed Of (D) (Instr. 3, 4 and</w:t>
            </w:r>
          </w:p>
        </w:tc>
        <w:tc>
          <w:tcPr>
            <w:tcW w:w="12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60" w:type="dxa"/>
            <w:vAlign w:val="bottom"/>
            <w:gridSpan w:val="2"/>
          </w:tcPr>
          <w:p>
            <w:pPr>
              <w:jc w:val="center"/>
              <w:ind w:left="655"/>
              <w:spacing w:after="0"/>
              <w:rPr>
                <w:sz w:val="20"/>
                <w:szCs w:val="20"/>
                <w:color w:val="auto"/>
              </w:rPr>
            </w:pPr>
            <w:r>
              <w:rPr>
                <w:rFonts w:ascii="Arial" w:cs="Arial" w:eastAsia="Arial" w:hAnsi="Arial"/>
                <w:sz w:val="11"/>
                <w:szCs w:val="11"/>
                <w:b w:val="1"/>
                <w:bCs w:val="1"/>
                <w:color w:val="auto"/>
              </w:rPr>
              <w:t>(Month/Day/Year)</w:t>
            </w: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5)</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240"/>
              <w:spacing w:after="0"/>
              <w:rPr>
                <w:sz w:val="20"/>
                <w:szCs w:val="20"/>
                <w:color w:val="auto"/>
              </w:rPr>
            </w:pPr>
            <w:r>
              <w:rPr>
                <w:rFonts w:ascii="Arial" w:cs="Arial" w:eastAsia="Arial" w:hAnsi="Arial"/>
                <w:sz w:val="11"/>
                <w:szCs w:val="11"/>
                <w:b w:val="1"/>
                <w:bCs w:val="1"/>
                <w:color w:val="auto"/>
              </w:rPr>
              <w:t>(A) or</w:t>
            </w:r>
          </w:p>
        </w:tc>
        <w:tc>
          <w:tcPr>
            <w:tcW w:w="5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660" w:type="dxa"/>
            <w:vAlign w:val="bottom"/>
            <w:vMerge w:val="restart"/>
          </w:tcPr>
          <w:p>
            <w:pPr>
              <w:ind w:left="240"/>
              <w:spacing w:after="0"/>
              <w:rPr>
                <w:sz w:val="20"/>
                <w:szCs w:val="20"/>
                <w:color w:val="auto"/>
              </w:rPr>
            </w:pPr>
            <w:r>
              <w:rPr>
                <w:rFonts w:ascii="Arial" w:cs="Arial" w:eastAsia="Arial" w:hAnsi="Arial"/>
                <w:sz w:val="11"/>
                <w:szCs w:val="11"/>
                <w:b w:val="1"/>
                <w:bCs w:val="1"/>
                <w:color w:val="auto"/>
              </w:rPr>
              <w:t>(D)</w:t>
            </w:r>
          </w:p>
        </w:tc>
        <w:tc>
          <w:tcPr>
            <w:tcW w:w="5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2"/>
                <w:szCs w:val="22"/>
                <w:color w:val="auto"/>
              </w:rPr>
            </w:pPr>
          </w:p>
        </w:tc>
        <w:tc>
          <w:tcPr>
            <w:tcW w:w="1860" w:type="dxa"/>
            <w:vAlign w:val="bottom"/>
            <w:gridSpan w:val="2"/>
          </w:tcPr>
          <w:p>
            <w:pPr>
              <w:jc w:val="center"/>
              <w:ind w:left="675"/>
              <w:spacing w:after="0"/>
              <w:rPr>
                <w:sz w:val="20"/>
                <w:szCs w:val="20"/>
                <w:color w:val="auto"/>
              </w:rPr>
            </w:pPr>
            <w:r>
              <w:rPr>
                <w:rFonts w:ascii="Times New Roman" w:cs="Times New Roman" w:eastAsia="Times New Roman" w:hAnsi="Times New Roman"/>
                <w:sz w:val="17"/>
                <w:szCs w:val="17"/>
                <w:color w:val="0000FF"/>
                <w:w w:val="98"/>
              </w:rPr>
              <w:t>06/10/2026</w:t>
            </w:r>
          </w:p>
        </w:tc>
        <w:tc>
          <w:tcPr>
            <w:tcW w:w="5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6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9,700</w:t>
            </w:r>
          </w:p>
        </w:tc>
        <w:tc>
          <w:tcPr>
            <w:tcW w:w="66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ind w:left="140"/>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13.7</w:t>
            </w:r>
          </w:p>
        </w:tc>
        <w:tc>
          <w:tcPr>
            <w:tcW w:w="1320" w:type="dxa"/>
            <w:vAlign w:val="bottom"/>
            <w:gridSpan w:val="3"/>
          </w:tcPr>
          <w:p>
            <w:pPr>
              <w:ind w:left="460"/>
              <w:spacing w:after="0"/>
              <w:rPr>
                <w:sz w:val="20"/>
                <w:szCs w:val="20"/>
                <w:color w:val="auto"/>
              </w:rPr>
            </w:pPr>
            <w:r>
              <w:rPr>
                <w:rFonts w:ascii="Times New Roman" w:cs="Times New Roman" w:eastAsia="Times New Roman" w:hAnsi="Times New Roman"/>
                <w:sz w:val="17"/>
                <w:szCs w:val="17"/>
                <w:color w:val="0000FF"/>
              </w:rPr>
              <w:t>13,868</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5"/>
          </w:tcPr>
          <w:p>
            <w:pPr>
              <w:spacing w:after="0"/>
              <w:rPr>
                <w:sz w:val="8"/>
                <w:szCs w:val="8"/>
                <w:color w:val="auto"/>
              </w:rPr>
            </w:pPr>
          </w:p>
        </w:tc>
        <w:tc>
          <w:tcPr>
            <w:tcW w:w="2700" w:type="dxa"/>
            <w:vAlign w:val="bottom"/>
            <w:tcBorders>
              <w:bottom w:val="single" w:sz="8" w:color="2C2C2C"/>
            </w:tcBorders>
            <w:gridSpan w:val="5"/>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1"/>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80" w:type="dxa"/>
            <w:vAlign w:val="bottom"/>
            <w:gridSpan w:val="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180" w:type="dxa"/>
            <w:vAlign w:val="bottom"/>
            <w:gridSpan w:val="2"/>
          </w:tcPr>
          <w:p>
            <w:pPr>
              <w:ind w:left="40"/>
              <w:spacing w:after="0"/>
              <w:rPr>
                <w:sz w:val="20"/>
                <w:szCs w:val="20"/>
                <w:color w:val="auto"/>
              </w:rPr>
            </w:pPr>
            <w:r>
              <w:rPr>
                <w:rFonts w:ascii="Arial" w:cs="Arial" w:eastAsia="Arial" w:hAnsi="Arial"/>
                <w:sz w:val="11"/>
                <w:szCs w:val="11"/>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Derivative</w:t>
            </w:r>
          </w:p>
        </w:tc>
        <w:tc>
          <w:tcPr>
            <w:tcW w:w="1440" w:type="dxa"/>
            <w:vAlign w:val="bottom"/>
            <w:gridSpan w:val="3"/>
          </w:tcPr>
          <w:p>
            <w:pPr>
              <w:spacing w:after="0"/>
              <w:rPr>
                <w:sz w:val="20"/>
                <w:szCs w:val="20"/>
                <w:color w:val="auto"/>
              </w:rPr>
            </w:pPr>
            <w:r>
              <w:rPr>
                <w:rFonts w:ascii="Arial" w:cs="Arial" w:eastAsia="Arial" w:hAnsi="Arial"/>
                <w:sz w:val="11"/>
                <w:szCs w:val="11"/>
                <w:b w:val="1"/>
                <w:bCs w:val="1"/>
                <w:color w:val="auto"/>
              </w:rPr>
              <w:t>Expiration Date</w:t>
            </w:r>
          </w:p>
        </w:tc>
        <w:tc>
          <w:tcPr>
            <w:tcW w:w="1180" w:type="dxa"/>
            <w:vAlign w:val="bottom"/>
            <w:gridSpan w:val="2"/>
          </w:tcPr>
          <w:p>
            <w:pPr>
              <w:ind w:left="40"/>
              <w:spacing w:after="0"/>
              <w:rPr>
                <w:sz w:val="20"/>
                <w:szCs w:val="20"/>
                <w:color w:val="auto"/>
              </w:rPr>
            </w:pPr>
            <w:r>
              <w:rPr>
                <w:rFonts w:ascii="Arial" w:cs="Arial" w:eastAsia="Arial" w:hAnsi="Arial"/>
                <w:sz w:val="11"/>
                <w:szCs w:val="11"/>
                <w:b w:val="1"/>
                <w:bCs w:val="1"/>
                <w:color w:val="auto"/>
              </w:rPr>
              <w:t>of Securities</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Securities</w:t>
            </w:r>
          </w:p>
        </w:tc>
        <w:tc>
          <w:tcPr>
            <w:tcW w:w="144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gridSpan w:val="2"/>
          </w:tcPr>
          <w:p>
            <w:pPr>
              <w:ind w:left="40"/>
              <w:spacing w:after="0"/>
              <w:rPr>
                <w:sz w:val="20"/>
                <w:szCs w:val="20"/>
                <w:color w:val="auto"/>
              </w:rPr>
            </w:pPr>
            <w:r>
              <w:rPr>
                <w:rFonts w:ascii="Arial" w:cs="Arial" w:eastAsia="Arial" w:hAnsi="Arial"/>
                <w:sz w:val="11"/>
                <w:szCs w:val="11"/>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 3,</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ind w:left="100"/>
              <w:spacing w:after="0"/>
              <w:rPr>
                <w:sz w:val="20"/>
                <w:szCs w:val="20"/>
                <w:color w:val="auto"/>
              </w:rPr>
            </w:pPr>
            <w:r>
              <w:rPr>
                <w:rFonts w:ascii="Arial" w:cs="Arial" w:eastAsia="Arial" w:hAnsi="Arial"/>
                <w:sz w:val="11"/>
                <w:szCs w:val="11"/>
                <w:b w:val="1"/>
                <w:bCs w:val="1"/>
                <w:color w:val="auto"/>
              </w:rPr>
              <w:t>4 and 5)</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5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44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vMerge w:val="restart"/>
          </w:tcPr>
          <w:p>
            <w:pPr>
              <w:jc w:val="right"/>
              <w:ind w:right="160"/>
              <w:spacing w:after="0"/>
              <w:rPr>
                <w:sz w:val="20"/>
                <w:szCs w:val="20"/>
                <w:color w:val="auto"/>
              </w:rPr>
            </w:pPr>
            <w:r>
              <w:rPr>
                <w:rFonts w:ascii="Times New Roman" w:cs="Times New Roman" w:eastAsia="Times New Roman" w:hAnsi="Times New Roman"/>
                <w:sz w:val="13"/>
                <w:szCs w:val="13"/>
                <w:color w:val="0000FF"/>
              </w:rPr>
              <w:t>06/10/2026</w:t>
            </w:r>
          </w:p>
        </w:tc>
        <w:tc>
          <w:tcPr>
            <w:tcW w:w="1100" w:type="dxa"/>
            <w:vAlign w:val="bottom"/>
          </w:tcPr>
          <w:p>
            <w:pPr>
              <w:spacing w:after="0"/>
              <w:rPr>
                <w:sz w:val="15"/>
                <w:szCs w:val="15"/>
                <w:color w:val="auto"/>
              </w:rPr>
            </w:pPr>
          </w:p>
        </w:tc>
        <w:tc>
          <w:tcPr>
            <w:tcW w:w="760" w:type="dxa"/>
            <w:vAlign w:val="bottom"/>
            <w:vMerge w:val="restart"/>
          </w:tcPr>
          <w:p>
            <w:pPr>
              <w:jc w:val="center"/>
              <w:ind w:right="301"/>
              <w:spacing w:after="0"/>
              <w:rPr>
                <w:sz w:val="20"/>
                <w:szCs w:val="20"/>
                <w:color w:val="auto"/>
              </w:rPr>
            </w:pPr>
            <w:r>
              <w:rPr>
                <w:rFonts w:ascii="Times New Roman" w:cs="Times New Roman" w:eastAsia="Times New Roman" w:hAnsi="Times New Roman"/>
                <w:sz w:val="13"/>
                <w:szCs w:val="13"/>
                <w:color w:val="0000FF"/>
              </w:rPr>
              <w:t>M</w:t>
            </w:r>
          </w:p>
        </w:tc>
        <w:tc>
          <w:tcPr>
            <w:tcW w:w="560" w:type="dxa"/>
            <w:vAlign w:val="bottom"/>
          </w:tcPr>
          <w:p>
            <w:pPr>
              <w:spacing w:after="0"/>
              <w:rPr>
                <w:sz w:val="15"/>
                <w:szCs w:val="15"/>
                <w:color w:val="auto"/>
              </w:rPr>
            </w:pPr>
          </w:p>
        </w:tc>
        <w:tc>
          <w:tcPr>
            <w:tcW w:w="4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9,700</w:t>
            </w:r>
          </w:p>
        </w:tc>
        <w:tc>
          <w:tcPr>
            <w:tcW w:w="780" w:type="dxa"/>
            <w:vAlign w:val="bottom"/>
            <w:gridSpan w:val="2"/>
            <w:vMerge w:val="restart"/>
          </w:tcPr>
          <w:p>
            <w:pPr>
              <w:jc w:val="right"/>
              <w:ind w:right="101"/>
              <w:spacing w:after="0"/>
              <w:rPr>
                <w:sz w:val="20"/>
                <w:szCs w:val="20"/>
                <w:color w:val="auto"/>
              </w:rPr>
            </w:pPr>
            <w:r>
              <w:rPr>
                <w:rFonts w:ascii="Times New Roman" w:cs="Times New Roman" w:eastAsia="Times New Roman" w:hAnsi="Times New Roman"/>
                <w:sz w:val="13"/>
                <w:szCs w:val="13"/>
                <w:color w:val="0000FF"/>
              </w:rPr>
              <w:t>06/10/2026</w:t>
            </w:r>
          </w:p>
        </w:tc>
        <w:tc>
          <w:tcPr>
            <w:tcW w:w="66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(2)</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34"/>
              <w:spacing w:after="0"/>
              <w:rPr>
                <w:sz w:val="20"/>
                <w:szCs w:val="20"/>
                <w:color w:val="auto"/>
              </w:rPr>
            </w:pPr>
            <w:r>
              <w:rPr>
                <w:rFonts w:ascii="Times New Roman" w:cs="Times New Roman" w:eastAsia="Times New Roman" w:hAnsi="Times New Roman"/>
                <w:sz w:val="17"/>
                <w:szCs w:val="17"/>
                <w:color w:val="0000FF"/>
              </w:rPr>
              <w:t>9,700</w:t>
            </w:r>
          </w:p>
        </w:tc>
        <w:tc>
          <w:tcPr>
            <w:tcW w:w="740" w:type="dxa"/>
            <w:vAlign w:val="bottom"/>
            <w:gridSpan w:val="2"/>
            <w:vMerge w:val="restart"/>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right"/>
              <w:ind w:right="81"/>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5"/>
                <w:szCs w:val="15"/>
                <w:color w:val="auto"/>
              </w:rPr>
            </w:pPr>
          </w:p>
        </w:tc>
        <w:tc>
          <w:tcPr>
            <w:tcW w:w="6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6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56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jc w:val="right"/>
              <w:ind w:right="160"/>
              <w:spacing w:after="0"/>
              <w:rPr>
                <w:sz w:val="20"/>
                <w:szCs w:val="20"/>
                <w:color w:val="auto"/>
              </w:rPr>
            </w:pPr>
            <w:r>
              <w:rPr>
                <w:rFonts w:ascii="Times New Roman" w:cs="Times New Roman" w:eastAsia="Times New Roman" w:hAnsi="Times New Roman"/>
                <w:sz w:val="13"/>
                <w:szCs w:val="13"/>
                <w:color w:val="0000FF"/>
              </w:rPr>
              <w:t>06/10/2026</w:t>
            </w:r>
          </w:p>
        </w:tc>
        <w:tc>
          <w:tcPr>
            <w:tcW w:w="1100" w:type="dxa"/>
            <w:vAlign w:val="bottom"/>
          </w:tcPr>
          <w:p>
            <w:pPr>
              <w:spacing w:after="0"/>
              <w:rPr>
                <w:sz w:val="19"/>
                <w:szCs w:val="19"/>
                <w:color w:val="auto"/>
              </w:rPr>
            </w:pPr>
          </w:p>
        </w:tc>
        <w:tc>
          <w:tcPr>
            <w:tcW w:w="760" w:type="dxa"/>
            <w:vAlign w:val="bottom"/>
          </w:tcPr>
          <w:p>
            <w:pPr>
              <w:jc w:val="center"/>
              <w:ind w:right="281"/>
              <w:spacing w:after="0"/>
              <w:rPr>
                <w:sz w:val="20"/>
                <w:szCs w:val="20"/>
                <w:color w:val="auto"/>
              </w:rPr>
            </w:pPr>
            <w:r>
              <w:rPr>
                <w:rFonts w:ascii="Times New Roman" w:cs="Times New Roman" w:eastAsia="Times New Roman" w:hAnsi="Times New Roman"/>
                <w:sz w:val="13"/>
                <w:szCs w:val="13"/>
                <w:color w:val="0000FF"/>
              </w:rPr>
              <w:t>A</w:t>
            </w:r>
          </w:p>
        </w:tc>
        <w:tc>
          <w:tcPr>
            <w:tcW w:w="5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11,239</w:t>
            </w:r>
          </w:p>
        </w:tc>
        <w:tc>
          <w:tcPr>
            <w:tcW w:w="440" w:type="dxa"/>
            <w:vAlign w:val="bottom"/>
          </w:tcPr>
          <w:p>
            <w:pPr>
              <w:spacing w:after="0"/>
              <w:rPr>
                <w:sz w:val="19"/>
                <w:szCs w:val="19"/>
                <w:color w:val="auto"/>
              </w:rPr>
            </w:pPr>
          </w:p>
        </w:tc>
        <w:tc>
          <w:tcPr>
            <w:tcW w:w="780" w:type="dxa"/>
            <w:vAlign w:val="bottom"/>
            <w:gridSpan w:val="2"/>
          </w:tcPr>
          <w:p>
            <w:pPr>
              <w:jc w:val="right"/>
              <w:ind w:right="321"/>
              <w:spacing w:after="0"/>
              <w:rPr>
                <w:sz w:val="20"/>
                <w:szCs w:val="20"/>
                <w:color w:val="auto"/>
              </w:rPr>
            </w:pPr>
            <w:r>
              <w:rPr>
                <w:rFonts w:ascii="Times New Roman" w:cs="Times New Roman" w:eastAsia="Times New Roman" w:hAnsi="Times New Roman"/>
                <w:sz w:val="11"/>
                <w:szCs w:val="11"/>
                <w:color w:val="008000"/>
              </w:rPr>
              <w:t>(3)</w:t>
            </w:r>
          </w:p>
        </w:tc>
        <w:tc>
          <w:tcPr>
            <w:tcW w:w="660" w:type="dxa"/>
            <w:vAlign w:val="bottom"/>
          </w:tcPr>
          <w:p>
            <w:pPr>
              <w:ind w:left="240"/>
              <w:spacing w:after="0"/>
              <w:rPr>
                <w:sz w:val="20"/>
                <w:szCs w:val="20"/>
                <w:color w:val="auto"/>
              </w:rPr>
            </w:pPr>
            <w:r>
              <w:rPr>
                <w:rFonts w:ascii="Times New Roman" w:cs="Times New Roman" w:eastAsia="Times New Roman" w:hAnsi="Times New Roman"/>
                <w:sz w:val="11"/>
                <w:szCs w:val="11"/>
                <w:color w:val="008000"/>
              </w:rPr>
              <w:t>(3)</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0000FF"/>
                <w:w w:val="94"/>
              </w:rPr>
              <w:t>11,239</w:t>
            </w:r>
          </w:p>
        </w:tc>
        <w:tc>
          <w:tcPr>
            <w:tcW w:w="740" w:type="dxa"/>
            <w:vAlign w:val="bottom"/>
            <w:gridSpan w:val="2"/>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0000FF"/>
              </w:rPr>
              <w:t>11,239</w:t>
            </w:r>
          </w:p>
        </w:tc>
        <w:tc>
          <w:tcPr>
            <w:tcW w:w="280" w:type="dxa"/>
            <w:vAlign w:val="bottom"/>
          </w:tcPr>
          <w:p>
            <w:pPr>
              <w:spacing w:after="0"/>
              <w:rPr>
                <w:sz w:val="19"/>
                <w:szCs w:val="19"/>
                <w:color w:val="auto"/>
              </w:rPr>
            </w:pPr>
          </w:p>
        </w:tc>
        <w:tc>
          <w:tcPr>
            <w:tcW w:w="66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159"/>
        </w:trPr>
        <w:tc>
          <w:tcPr>
            <w:tcW w:w="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-1997710</wp:posOffset>
            </wp:positionV>
            <wp:extent cx="29210" cy="20027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0279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0"/>
          <w:szCs w:val="20"/>
          <w:color w:val="auto"/>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the Issuer's common stock.</w:t>
      </w:r>
    </w:p>
    <w:p>
      <w:pPr>
        <w:spacing w:after="0" w:line="41" w:lineRule="exact"/>
        <w:rPr>
          <w:rFonts w:ascii="Times New Roman" w:cs="Times New Roman" w:eastAsia="Times New Roman" w:hAnsi="Times New Roman"/>
          <w:sz w:val="13"/>
          <w:szCs w:val="13"/>
          <w:color w:val="008000"/>
        </w:rPr>
      </w:pPr>
    </w:p>
    <w:p>
      <w:pPr>
        <w:ind w:left="40" w:right="240"/>
        <w:spacing w:after="0" w:line="251"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RSU award granted on June 10, 2025 that vested in full on the earlier of June 10, 2026, or the date immediately preceding the 2026 Annual Meeting of Shareholders, subject to the Reporting Person's continued service on such vesting date.</w:t>
      </w:r>
    </w:p>
    <w:p>
      <w:pPr>
        <w:spacing w:after="0" w:line="19" w:lineRule="exact"/>
        <w:rPr>
          <w:rFonts w:ascii="Times New Roman" w:cs="Times New Roman" w:eastAsia="Times New Roman" w:hAnsi="Times New Roman"/>
          <w:sz w:val="13"/>
          <w:szCs w:val="13"/>
          <w:color w:val="008000"/>
        </w:rPr>
      </w:pPr>
    </w:p>
    <w:p>
      <w:pPr>
        <w:ind w:left="40" w:right="300"/>
        <w:spacing w:after="0" w:line="251"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RSU award granted on June 10, 2026 that vests in full on the earlier of June 10, 2027, or the date immediately preceding the 2027 Annual Meeting of Shareholders, subject to the Reporting Person's continued service on such vesting date.</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John Lapham, Attorney-in-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06/12/2026</w:t>
            </w:r>
          </w:p>
        </w:tc>
        <w:tc>
          <w:tcPr>
            <w:tcW w:w="0" w:type="dxa"/>
            <w:vAlign w:val="bottom"/>
          </w:tcPr>
          <w:p>
            <w:pPr>
              <w:spacing w:after="0"/>
              <w:rPr>
                <w:sz w:val="1"/>
                <w:szCs w:val="1"/>
                <w:color w:val="auto"/>
              </w:rPr>
            </w:pPr>
          </w:p>
        </w:tc>
      </w:tr>
      <w:tr>
        <w:trPr>
          <w:trHeight w:val="87"/>
        </w:trPr>
        <w:tc>
          <w:tcPr>
            <w:tcW w:w="2000" w:type="dxa"/>
            <w:vAlign w:val="bottom"/>
            <w:tcBorders>
              <w:top w:val="single" w:sz="8" w:color="auto"/>
              <w:bottom w:val="single" w:sz="8" w:color="auto"/>
            </w:tcBorders>
            <w:gridSpan w:val="2"/>
            <w:vMerge w:val="restart"/>
          </w:tcPr>
          <w:p>
            <w:pPr>
              <w:spacing w:after="0" w:line="185" w:lineRule="exact"/>
              <w:rPr>
                <w:sz w:val="20"/>
                <w:szCs w:val="20"/>
                <w:color w:val="auto"/>
              </w:rPr>
            </w:pPr>
            <w:r>
              <w:rPr>
                <w:rFonts w:ascii="Times New Roman" w:cs="Times New Roman" w:eastAsia="Times New Roman" w:hAnsi="Times New Roman"/>
                <w:sz w:val="17"/>
                <w:szCs w:val="17"/>
                <w:color w:val="0000FF"/>
              </w:rPr>
              <w:t>Fact</w:t>
            </w:r>
          </w:p>
        </w:tc>
        <w:tc>
          <w:tcPr>
            <w:tcW w:w="20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000" w:type="dxa"/>
            <w:vAlign w:val="bottom"/>
            <w:gridSpan w:val="2"/>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680"/>
        <w:spacing w:after="0" w:line="332"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30814" TargetMode="External"/><Relationship Id="rId14" Type="http://schemas.openxmlformats.org/officeDocument/2006/relationships/hyperlink" Target="http://www.sec.gov/cgi-bin/browse-edgar?action=getcompany&amp;CIK=000154934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2026-06-12T15:22:23Z</dcterms:created>
  <dcterms:modified xsi:type="dcterms:W3CDTF">2026-06-12T15:22:23Z</dcterms:modified>
</cp:coreProperties>
</file>