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3-09142026_080941.xml.htm"/>
      <w:bookmarkStart w:id="1" w:name="ksform309142026_080941"/>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0"/>
        <w:gridCol w:w="3062"/>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Salzberg Matthew B</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SHUTTERSTOCK,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350 FIFTH AVENUE, 20TH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10118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0"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09/08/2026</w:t>
            </w:r>
          </w:p>
        </w:tc>
        <w:tc>
          <w:tcPr>
            <w:tcW w:w="5614"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Shutterstock, Inc.</w:t>
              </w:r>
            </w:hyperlink>
            <w:r>
              <w:rPr/>
              <w:t xml:space="preserve"> [ </w:t>
            </w:r>
            <w:r>
              <w:rPr>
                <w:rFonts w:ascii="Times;serif" w:hAnsi="Times;serif"/>
                <w:color w:val="0000FF"/>
                <w:sz w:val="24"/>
                <w:shd w:fill="FFFFFF" w:val="clear"/>
              </w:rPr>
              <w:t>SSTK</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Colleen Kearney,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ind w:left="0" w:right="0" w:hanging="0"/>
        <w:jc w:val="right"/>
        <w:rPr>
          <w:b/>
          <w:sz w:val="22"/>
        </w:rPr>
      </w:pPr>
      <w:bookmarkStart w:id="2" w:name="ex24-09142026_080942.htm"/>
      <w:bookmarkStart w:id="3" w:name="ksex2409142026_080942"/>
      <w:bookmarkEnd w:id="2"/>
      <w:bookmarkEnd w:id="3"/>
      <w:r>
        <w:rPr>
          <w:b/>
          <w:sz w:val="22"/>
        </w:rPr>
        <w:t>Exhibit 24</w:t>
      </w:r>
      <w:r>
        <w:br w:type="page"/>
      </w:r>
    </w:p>
    <w:p>
      <w:pPr>
        <w:pStyle w:val="TextBody"/>
        <w:bidi w:val="0"/>
        <w:spacing w:before="0" w:after="0"/>
        <w:ind w:left="0" w:right="0" w:hanging="0"/>
        <w:jc w:val="left"/>
        <w:rPr/>
      </w:pPr>
      <w:r>
        <w:rPr/>
        <w:t> </w:t>
      </w:r>
    </w:p>
    <w:p>
      <w:pPr>
        <w:pStyle w:val="TextBody"/>
        <w:bidi w:val="0"/>
        <w:spacing w:before="0" w:after="0"/>
        <w:ind w:left="0" w:right="0" w:hanging="0"/>
        <w:jc w:val="center"/>
        <w:rPr>
          <w:b/>
          <w:sz w:val="22"/>
        </w:rPr>
      </w:pPr>
      <w:r>
        <w:rPr>
          <w:b/>
          <w:sz w:val="22"/>
        </w:rPr>
        <w:t>POWER OF ATTORNEY</w:t>
      </w:r>
    </w:p>
    <w:p>
      <w:pPr>
        <w:pStyle w:val="TextBody"/>
        <w:bidi w:val="0"/>
        <w:spacing w:before="0" w:after="0"/>
        <w:ind w:left="0" w:right="0" w:hanging="0"/>
        <w:jc w:val="left"/>
        <w:rPr/>
      </w:pPr>
      <w:r>
        <w:rPr/>
        <w:t> </w:t>
      </w:r>
    </w:p>
    <w:p>
      <w:pPr>
        <w:pStyle w:val="TextBody"/>
        <w:bidi w:val="0"/>
        <w:spacing w:before="0" w:after="0"/>
        <w:ind w:left="0" w:right="0" w:hanging="0"/>
        <w:jc w:val="left"/>
        <w:rPr>
          <w:sz w:val="22"/>
        </w:rPr>
      </w:pPr>
      <w:r>
        <w:rPr>
          <w:b/>
          <w:sz w:val="22"/>
        </w:rPr>
        <w:t>KNOW ALL BY THESE PRESENTS</w:t>
      </w:r>
      <w:r>
        <w:rPr>
          <w:sz w:val="22"/>
        </w:rPr>
        <w:t>, that the undersigned hereby constitutes and appoints Colleen Kearney, General Counsel of Shutterstock, Inc. (the “Company”), as his or her true and lawful attorney-in-fact to:</w:t>
      </w:r>
    </w:p>
    <w:p>
      <w:pPr>
        <w:pStyle w:val="TextBody"/>
        <w:bidi w:val="0"/>
        <w:spacing w:before="0" w:after="0"/>
        <w:ind w:left="0" w:right="0" w:hanging="0"/>
        <w:jc w:val="left"/>
        <w:rPr/>
      </w:pPr>
      <w:r>
        <w:rPr/>
        <w:t> </w:t>
      </w:r>
    </w:p>
    <w:p>
      <w:pPr>
        <w:pStyle w:val="TextBody"/>
        <w:pBdr/>
        <w:bidi w:val="0"/>
        <w:spacing w:before="0" w:after="0"/>
        <w:ind w:left="0" w:right="0" w:hanging="30"/>
        <w:jc w:val="left"/>
        <w:rPr>
          <w:sz w:val="22"/>
        </w:rPr>
      </w:pPr>
      <w:r>
        <w:rPr>
          <w:sz w:val="22"/>
        </w:rPr>
        <w:t>execute for and on behalf of the undersigned, in the undersigned’s capacity as an officer, director and/or stockholder of the Company, any and all reports required to be filed by the undersigned in accordance with Section 16(a) of the Securities Exchange Act of 1934 and the rules thereunder;</w:t>
      </w:r>
      <w:r>
        <mc:AlternateContent>
          <mc:Choice Requires="wps">
            <w:drawing>
              <wp:anchor behindDoc="0" distT="0" distB="0" distL="0" distR="0" simplePos="0" locked="0" layoutInCell="1" allowOverlap="1" relativeHeight="4">
                <wp:simplePos x="0" y="0"/>
                <wp:positionH relativeFrom="column">
                  <wp:align>left</wp:align>
                </wp:positionH>
                <wp:positionV relativeFrom="line">
                  <wp:posOffset>635</wp:posOffset>
                </wp:positionV>
                <wp:extent cx="457200" cy="175260"/>
                <wp:effectExtent l="0" t="0" r="0" b="0"/>
                <wp:wrapSquare wrapText="right"/>
                <wp:docPr id="3" name="Frame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sz w:val="24"/>
                              </w:rPr>
                            </w:pPr>
                            <w:r>
                              <w:rPr>
                                <w:sz w:val="24"/>
                              </w:rPr>
                              <w:t>(1)</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4"/>
                        </w:rPr>
                      </w:pPr>
                      <w:r>
                        <w:rPr>
                          <w:sz w:val="24"/>
                        </w:rPr>
                        <w:t>(1)</w:t>
                      </w:r>
                    </w:p>
                  </w:txbxContent>
                </v:textbox>
                <w10:wrap type="square" side="right"/>
              </v:rect>
            </w:pict>
          </mc:Fallback>
        </mc:AlternateContent>
      </w:r>
    </w:p>
    <w:p>
      <w:pPr>
        <w:pStyle w:val="TextBody"/>
        <w:bidi w:val="0"/>
        <w:spacing w:before="0" w:after="0"/>
        <w:ind w:left="0" w:right="0" w:hanging="0"/>
        <w:jc w:val="left"/>
        <w:rPr/>
      </w:pPr>
      <w:r>
        <w:rPr/>
      </w:r>
    </w:p>
    <w:p>
      <w:pPr>
        <w:pStyle w:val="TextBody"/>
        <w:pBdr/>
        <w:bidi w:val="0"/>
        <w:spacing w:before="0" w:after="0"/>
        <w:ind w:left="0" w:right="0" w:hanging="30"/>
        <w:jc w:val="left"/>
        <w:rPr>
          <w:sz w:val="22"/>
        </w:rPr>
      </w:pPr>
      <w:r>
        <w:rPr>
          <w:sz w:val="22"/>
        </w:rPr>
        <w:t>do and perform any and all acts for and on behalf of the undersigned which may be necessary or desirable to complete and execute any such Form 3, 4 or 5 or other required report and timely file such report with the United States Securities and Exchange Commission and any stock exchange or similar authority; and</w:t>
      </w:r>
      <w:r>
        <mc:AlternateContent>
          <mc:Choice Requires="wps">
            <w:drawing>
              <wp:anchor behindDoc="0" distT="0" distB="0" distL="0" distR="0" simplePos="0" locked="0" layoutInCell="1" allowOverlap="1" relativeHeight="5">
                <wp:simplePos x="0" y="0"/>
                <wp:positionH relativeFrom="column">
                  <wp:align>left</wp:align>
                </wp:positionH>
                <wp:positionV relativeFrom="line">
                  <wp:posOffset>635</wp:posOffset>
                </wp:positionV>
                <wp:extent cx="457200" cy="175260"/>
                <wp:effectExtent l="0" t="0" r="0" b="0"/>
                <wp:wrapSquare wrapText="right"/>
                <wp:docPr id="4" name="Frame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sz w:val="24"/>
                              </w:rPr>
                            </w:pPr>
                            <w:r>
                              <w:rPr>
                                <w:sz w:val="24"/>
                              </w:rPr>
                              <w:t>(2)</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4"/>
                        </w:rPr>
                      </w:pPr>
                      <w:r>
                        <w:rPr>
                          <w:sz w:val="24"/>
                        </w:rPr>
                        <w:t>(2)</w:t>
                      </w:r>
                    </w:p>
                  </w:txbxContent>
                </v:textbox>
                <w10:wrap type="square" side="right"/>
              </v:rect>
            </w:pict>
          </mc:Fallback>
        </mc:AlternateContent>
      </w:r>
    </w:p>
    <w:p>
      <w:pPr>
        <w:pStyle w:val="TextBody"/>
        <w:bidi w:val="0"/>
        <w:spacing w:before="0" w:after="0"/>
        <w:ind w:left="0" w:right="0" w:hanging="0"/>
        <w:jc w:val="left"/>
        <w:rPr/>
      </w:pPr>
      <w:r>
        <w:rPr/>
      </w:r>
    </w:p>
    <w:p>
      <w:pPr>
        <w:pStyle w:val="TextBody"/>
        <w:pBdr/>
        <w:bidi w:val="0"/>
        <w:spacing w:before="0" w:after="0"/>
        <w:ind w:left="0" w:right="0" w:hanging="30"/>
        <w:jc w:val="left"/>
        <w:rPr>
          <w:sz w:val="22"/>
        </w:rPr>
      </w:pPr>
      <w:r>
        <w:rPr>
          <w:sz w:val="22"/>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his or her discretion.</w:t>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457200" cy="175260"/>
                <wp:effectExtent l="0" t="0" r="0" b="0"/>
                <wp:wrapSquare wrapText="right"/>
                <wp:docPr id="5" name="Frame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sz w:val="24"/>
                              </w:rPr>
                            </w:pPr>
                            <w:r>
                              <w:rPr>
                                <w:sz w:val="24"/>
                              </w:rPr>
                              <w:t>(3)</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4"/>
                        </w:rPr>
                      </w:pPr>
                      <w:r>
                        <w:rPr>
                          <w:sz w:val="24"/>
                        </w:rPr>
                        <w:t>(3)</w:t>
                      </w:r>
                    </w:p>
                  </w:txbxContent>
                </v:textbox>
                <w10:wrap type="square" side="right"/>
              </v:rect>
            </w:pict>
          </mc:Fallback>
        </mc:AlternateContent>
      </w:r>
    </w:p>
    <w:p>
      <w:pPr>
        <w:pStyle w:val="TextBody"/>
        <w:bidi w:val="0"/>
        <w:spacing w:before="0" w:after="0"/>
        <w:ind w:left="0" w:right="0" w:hanging="0"/>
        <w:jc w:val="left"/>
        <w:rPr/>
      </w:pPr>
      <w:r>
        <w:rPr/>
        <w:t> </w:t>
      </w:r>
    </w:p>
    <w:p>
      <w:pPr>
        <w:pStyle w:val="TextBody"/>
        <w:bidi w:val="0"/>
        <w:spacing w:before="0" w:after="0"/>
        <w:ind w:left="0" w:right="0" w:hanging="0"/>
        <w:jc w:val="left"/>
        <w:rPr>
          <w:sz w:val="22"/>
        </w:rPr>
      </w:pPr>
      <w:r>
        <w:rPr>
          <w:sz w:val="22"/>
        </w:rPr>
        <w:t>The undersigned hereby grants to each such attorney-in-fact full power and authority to do and perform each and every act and thing whatsoever requisite, necessary, and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his or her substitute or substitutes, shall lawfully do or cause to be done by virtue of this Power of Attorney and the rights and powers herein granted. The undersigned acknowledges that no such attorney-in-fact, in serving in such capacity at the request of the undersigned, is hereby assuming, nor is the Company hereby assuming, any of the undersigned’s responsibilities to comply with Section 16 of the Securities Exchange Act of 1934.</w:t>
      </w:r>
    </w:p>
    <w:p>
      <w:pPr>
        <w:pStyle w:val="TextBody"/>
        <w:bidi w:val="0"/>
        <w:spacing w:before="0" w:after="0"/>
        <w:ind w:left="0" w:right="0" w:hanging="0"/>
        <w:jc w:val="left"/>
        <w:rPr/>
      </w:pPr>
      <w:r>
        <w:rPr/>
        <w:t> </w:t>
      </w:r>
    </w:p>
    <w:p>
      <w:pPr>
        <w:pStyle w:val="TextBody"/>
        <w:bidi w:val="0"/>
        <w:spacing w:before="0" w:after="0"/>
        <w:ind w:left="0" w:right="0" w:hanging="0"/>
        <w:jc w:val="left"/>
        <w:rPr>
          <w:sz w:val="22"/>
        </w:rPr>
      </w:pPr>
      <w:r>
        <w:rPr>
          <w:sz w:val="22"/>
        </w:rPr>
        <w:t>This Power of Attorney shall remain in full force and effect until the undersigned is no longer required to file reports under Section 16 with respect to the undersigned’s holdings of and transactions in securities issued by the Company, unless earlier revoked by the undersigned in a signed writing delivered to the foregoing attorneys-in-fact.</w:t>
      </w:r>
    </w:p>
    <w:p>
      <w:pPr>
        <w:pStyle w:val="TextBody"/>
        <w:bidi w:val="0"/>
        <w:spacing w:before="0" w:after="0"/>
        <w:ind w:left="0" w:right="0" w:hanging="0"/>
        <w:jc w:val="left"/>
        <w:rPr/>
      </w:pPr>
      <w:r>
        <w:rPr/>
        <w:t> </w:t>
      </w:r>
    </w:p>
    <w:p>
      <w:pPr>
        <w:pStyle w:val="TextBody"/>
        <w:bidi w:val="0"/>
        <w:spacing w:before="0" w:after="0"/>
        <w:ind w:left="0" w:right="0" w:hanging="0"/>
        <w:jc w:val="left"/>
        <w:rPr>
          <w:sz w:val="22"/>
        </w:rPr>
      </w:pPr>
      <w:r>
        <w:rPr>
          <w:sz w:val="22"/>
        </w:rPr>
        <w:t>IN WITNESS WHEREOF, the undersigned has caused this Power of Attorney to be executed effective as of the 8</w:t>
      </w:r>
      <w:r>
        <w:rPr>
          <w:position w:val="7"/>
          <w:sz w:val="18"/>
          <w:sz w:val="22"/>
        </w:rPr>
        <w:t>th</w:t>
      </w:r>
      <w:r>
        <w:rPr>
          <w:sz w:val="22"/>
        </w:rPr>
        <w:t xml:space="preserve"> day of September, 2026.</w:t>
      </w:r>
    </w:p>
    <w:p>
      <w:pPr>
        <w:pStyle w:val="TextBody"/>
        <w:bidi w:val="0"/>
        <w:spacing w:before="0" w:after="0"/>
        <w:ind w:left="0" w:right="0" w:hanging="0"/>
        <w:jc w:val="left"/>
        <w:rPr/>
      </w:pPr>
      <w:r>
        <w:rPr/>
        <w:t> </w:t>
      </w:r>
    </w:p>
    <w:tbl>
      <w:tblPr>
        <w:tblW w:w="5025" w:type="dxa"/>
        <w:jc w:val="center"/>
        <w:tblInd w:w="0" w:type="dxa"/>
        <w:tblLayout w:type="fixed"/>
        <w:tblCellMar>
          <w:top w:w="0" w:type="dxa"/>
          <w:left w:w="0" w:type="dxa"/>
          <w:bottom w:w="0" w:type="dxa"/>
          <w:right w:w="0" w:type="dxa"/>
        </w:tblCellMar>
      </w:tblPr>
      <w:tblGrid>
        <w:gridCol w:w="5025"/>
      </w:tblGrid>
      <w:tr>
        <w:trPr/>
        <w:tc>
          <w:tcPr>
            <w:tcW w:w="5025" w:type="dxa"/>
            <w:tcBorders/>
            <w:vAlign w:val="center"/>
          </w:tcPr>
          <w:p>
            <w:pPr>
              <w:pStyle w:val="TableContents"/>
              <w:bidi w:val="0"/>
              <w:spacing w:before="0" w:after="283"/>
              <w:jc w:val="left"/>
              <w:rPr>
                <w:sz w:val="4"/>
                <w:szCs w:val="4"/>
              </w:rPr>
            </w:pPr>
            <w:r>
              <w:rPr>
                <w:sz w:val="4"/>
                <w:szCs w:val="4"/>
              </w:rPr>
            </w:r>
          </w:p>
        </w:tc>
      </w:tr>
      <w:tr>
        <w:trPr/>
        <w:tc>
          <w:tcPr>
            <w:tcW w:w="5025" w:type="dxa"/>
            <w:tcBorders>
              <w:bottom w:val="single" w:sz="6" w:space="0" w:color="000000"/>
            </w:tcBorders>
            <w:tcMar>
              <w:bottom w:w="28" w:type="dxa"/>
            </w:tcMar>
          </w:tcPr>
          <w:p>
            <w:pPr>
              <w:pStyle w:val="TableContents"/>
              <w:bidi w:val="0"/>
              <w:spacing w:before="0" w:after="0"/>
              <w:ind w:left="0" w:right="0" w:hanging="0"/>
              <w:jc w:val="left"/>
              <w:rPr>
                <w:sz w:val="22"/>
              </w:rPr>
            </w:pPr>
            <w:r>
              <w:rPr>
                <w:sz w:val="22"/>
              </w:rPr>
              <w:t>/s/Matthew B. Salzberg</w:t>
            </w:r>
          </w:p>
        </w:tc>
      </w:tr>
      <w:tr>
        <w:trPr/>
        <w:tc>
          <w:tcPr>
            <w:tcW w:w="5025" w:type="dxa"/>
            <w:tcBorders/>
          </w:tcPr>
          <w:p>
            <w:pPr>
              <w:pStyle w:val="TableContents"/>
              <w:bidi w:val="0"/>
              <w:spacing w:before="0" w:after="0"/>
              <w:ind w:left="0" w:right="0" w:hanging="0"/>
              <w:jc w:val="left"/>
              <w:rPr>
                <w:sz w:val="22"/>
              </w:rPr>
            </w:pPr>
            <w:r>
              <w:rPr>
                <w:sz w:val="22"/>
              </w:rPr>
              <w:t>Signature</w:t>
            </w:r>
          </w:p>
        </w:tc>
      </w:tr>
      <w:tr>
        <w:trPr/>
        <w:tc>
          <w:tcPr>
            <w:tcW w:w="5025" w:type="dxa"/>
            <w:tcBorders/>
          </w:tcPr>
          <w:p>
            <w:pPr>
              <w:pStyle w:val="TableContents"/>
              <w:bidi w:val="0"/>
              <w:spacing w:before="0" w:after="0"/>
              <w:ind w:left="0" w:right="0" w:hanging="0"/>
              <w:jc w:val="left"/>
              <w:rPr/>
            </w:pPr>
            <w:r>
              <w:rPr/>
              <w:t> </w:t>
            </w:r>
          </w:p>
        </w:tc>
      </w:tr>
      <w:tr>
        <w:trPr/>
        <w:tc>
          <w:tcPr>
            <w:tcW w:w="5025" w:type="dxa"/>
            <w:tcBorders>
              <w:bottom w:val="single" w:sz="6" w:space="0" w:color="000000"/>
            </w:tcBorders>
            <w:tcMar>
              <w:bottom w:w="28" w:type="dxa"/>
            </w:tcMar>
          </w:tcPr>
          <w:p>
            <w:pPr>
              <w:pStyle w:val="TableContents"/>
              <w:bidi w:val="0"/>
              <w:spacing w:before="0" w:after="0"/>
              <w:ind w:left="0" w:right="0" w:hanging="0"/>
              <w:jc w:val="left"/>
              <w:rPr>
                <w:sz w:val="22"/>
              </w:rPr>
            </w:pPr>
            <w:r>
              <w:rPr>
                <w:sz w:val="22"/>
              </w:rPr>
              <w:t>Matthew B. Salzberg</w:t>
            </w:r>
          </w:p>
        </w:tc>
      </w:tr>
      <w:tr>
        <w:trPr/>
        <w:tc>
          <w:tcPr>
            <w:tcW w:w="5025" w:type="dxa"/>
            <w:tcBorders/>
          </w:tcPr>
          <w:p>
            <w:pPr>
              <w:pStyle w:val="TableContents"/>
              <w:bidi w:val="0"/>
              <w:spacing w:before="0" w:after="0"/>
              <w:ind w:left="0" w:right="0" w:hanging="0"/>
              <w:jc w:val="left"/>
              <w:rPr>
                <w:sz w:val="22"/>
              </w:rPr>
            </w:pPr>
            <w:r>
              <w:rPr>
                <w:sz w:val="22"/>
              </w:rPr>
              <w:t>Print Name</w:t>
            </w:r>
          </w:p>
        </w:tc>
      </w:tr>
    </w:tbl>
    <w:p>
      <w:pPr>
        <w:pStyle w:val="TextBody"/>
        <w:bidi w:val="0"/>
        <w:spacing w:before="0" w:after="0"/>
        <w:ind w:left="0" w:right="0" w:hanging="0"/>
        <w:jc w:val="left"/>
        <w:rPr/>
      </w:pPr>
      <w:r>
        <w:rPr/>
      </w:r>
    </w:p>
    <w:p>
      <w:pPr>
        <w:pStyle w:val="TextBody"/>
        <w:bidi w:val="0"/>
        <w:spacing w:before="0" w:after="0"/>
        <w:ind w:left="0" w:right="0" w:hanging="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710351" TargetMode="External"/><Relationship Id="rId3" Type="http://schemas.openxmlformats.org/officeDocument/2006/relationships/hyperlink" Target="http://www.sec.gov/cgi-bin/browse-edgar?action=getcompany&amp;CIK=0001549346"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845</Words>
  <Characters>4515</Characters>
  <CharactersWithSpaces>5308</CharactersWithSpaces>
  <Paragraphs>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