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041002.xml.htm"/>
      <w:bookmarkStart w:id="1" w:name="ksform410052026_041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Powell Rikki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Shutterstock, Inc.</w:t>
              </w:r>
            </w:hyperlink>
            <w:r>
              <w:rPr/>
              <w:t xml:space="preserve"> [ </w:t>
            </w:r>
            <w:r>
              <w:rPr>
                <w:rFonts w:ascii="Times;serif" w:hAnsi="Times;serif"/>
                <w:color w:val="0000FF"/>
                <w:sz w:val="24"/>
                <w:shd w:fill="FFFFFF" w:val="clear"/>
              </w:rPr>
              <w:t>SSTK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32,399</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32,093</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award granted on July 1, 2024 that vests over four years as follows: 25% on each of July 1, 2025 and July 1, 2026; then 6.25% on each of October 1, 2026, January 1, 2027, April 1, 2027, July 1, 2027, October 1, 2027, January 1, 2028, April 1, 2028 and July 1, 2028, subject to the Reporting Person's continued employment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Colleen Kearney,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3233" TargetMode="External"/><Relationship Id="rId5" Type="http://schemas.openxmlformats.org/officeDocument/2006/relationships/hyperlink" Target="http://www.sec.gov/cgi-bin/browse-edgar?action=getcompany&amp;CIK=0001549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3579</Characters>
  <CharactersWithSpaces>4166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