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May 13, 2026</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Shutterstock,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pPr>
      <w:r>
        <w:rPr/>
      </w:r>
    </w:p>
    <w:tbl>
      <w:tblPr>
        <w:tblW w:w="8670" w:type="dxa"/>
        <w:jc w:val="left"/>
        <w:tblInd w:w="0" w:type="dxa"/>
        <w:tblLayout w:type="fixed"/>
        <w:tblCellMar>
          <w:top w:w="0" w:type="dxa"/>
          <w:left w:w="0" w:type="dxa"/>
          <w:bottom w:w="28" w:type="dxa"/>
          <w:right w:w="0" w:type="dxa"/>
        </w:tblCellMar>
      </w:tblPr>
      <w:tblGrid>
        <w:gridCol w:w="3575"/>
        <w:gridCol w:w="60"/>
        <w:gridCol w:w="2210"/>
        <w:gridCol w:w="60"/>
        <w:gridCol w:w="2765"/>
      </w:tblGrid>
      <w:tr>
        <w:trPr/>
        <w:tc>
          <w:tcPr>
            <w:tcW w:w="357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22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001-35669</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27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80-0812659</w:t>
            </w:r>
          </w:p>
        </w:tc>
      </w:tr>
      <w:tr>
        <w:trPr/>
        <w:tc>
          <w:tcPr>
            <w:tcW w:w="35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22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27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350 Fifth Avenue, 20th Floor</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New York, NY 10118</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including zip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(646) 710-3417</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former address and former fiscal year, if changed since last report)</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360" w:right="0" w:hanging="36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360" w:right="0" w:hanging="36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ind w:left="360" w:right="0" w:hanging="36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8505" w:type="dxa"/>
        <w:jc w:val="left"/>
        <w:tblInd w:w="0" w:type="dxa"/>
        <w:tblLayout w:type="fixed"/>
        <w:tblCellMar>
          <w:top w:w="0" w:type="dxa"/>
          <w:left w:w="0" w:type="dxa"/>
          <w:bottom w:w="28" w:type="dxa"/>
          <w:right w:w="0" w:type="dxa"/>
        </w:tblCellMar>
      </w:tblPr>
      <w:tblGrid>
        <w:gridCol w:w="3410"/>
        <w:gridCol w:w="1385"/>
        <w:gridCol w:w="3710"/>
      </w:tblGrid>
      <w:tr>
        <w:trPr/>
        <w:tc>
          <w:tcPr>
            <w:tcW w:w="34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Class</w:t>
            </w:r>
          </w:p>
        </w:tc>
        <w:tc>
          <w:tcPr>
            <w:tcW w:w="138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w:t>
            </w:r>
          </w:p>
        </w:tc>
        <w:tc>
          <w:tcPr>
            <w:tcW w:w="37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4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$0.01 par value per share</w:t>
            </w:r>
          </w:p>
        </w:tc>
        <w:tc>
          <w:tcPr>
            <w:tcW w:w="138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SSTK</w:t>
            </w:r>
          </w:p>
        </w:tc>
        <w:tc>
          <w:tcPr>
            <w:tcW w:w="37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pPr>
      <w:r>
        <w:rPr/>
      </w:r>
    </w:p>
    <w:p>
      <w:pPr>
        <w:pStyle w:val="TextBody"/>
        <w:bidi w:val="0"/>
        <w:spacing w:before="0" w:after="0"/>
        <w:ind w:left="0" w:right="0" w:firstLine="446"/>
        <w:jc w:val="both"/>
        <w:rPr>
          <w:rFonts w:ascii="Times New Roman" w:hAnsi="Times New Roman"/>
          <w:color w:val="000000"/>
          <w:sz w:val="20"/>
          <w:shd w:fill="FFFFFF" w:val="clear"/>
        </w:rPr>
      </w:pPr>
      <w:r>
        <w:rPr>
          <w:rFonts w:ascii="Times New Roman" w:hAnsi="Times New Roman"/>
          <w:color w:val="000000"/>
          <w:sz w:val="20"/>
          <w:shd w:fill="FFFFFF" w:val="clear"/>
        </w:rPr>
        <w:t>As previously disclosed, in August 2024, Shutterstock, Inc. (the “Company”) received a Civil Investigative Demand (a “CID”) from the Federal Trade Commission (the “FTC”) regarding its investigation into the Company’s disclosure and subscription enrollment and cancellation practices under Section 5 of the Federal Trade Commission Act (“FTC Act”) and the Restore Online Shoppers’ Confidence Act (“ROSCA”). The Company has cooperated throughout the investigation, and in January 2026 the FTC entered into discussions with management to resolve this matter.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0"/>
        <w:jc w:val="both"/>
        <w:rPr>
          <w:rFonts w:ascii="Times New Roman" w:hAnsi="Times New Roman"/>
          <w:color w:val="000000"/>
          <w:sz w:val="20"/>
          <w:shd w:fill="FFFFFF" w:val="clear"/>
        </w:rPr>
      </w:pPr>
      <w:r>
        <w:rPr>
          <w:rFonts w:ascii="Times New Roman" w:hAnsi="Times New Roman"/>
          <w:color w:val="000000"/>
          <w:sz w:val="20"/>
          <w:shd w:fill="FFFFFF" w:val="clear"/>
        </w:rPr>
        <w:t>On May 13, 2026, the FTC filed a civil complaint in the United States District Court for the Southern District of New York (the “Court”) against the Company alleging violations of Section 5 of the FTC Act and the ROSCA. Also on May 13, 2026, the parties reached an agreement in principle to settle the matter and the parties filed a stipulated order for permanent injunction, monetary judgment and other relief with the Court (the “Settlement Agreement”). The Settlement Agreement provides that the Company will pay $35 million to the FTC and the Company also agreed to provide additional disclosure regarding, and implement certain changes to, its subscription enrollment and cancellation practices. The Company intends to pay the full amount of the settlement from cash on hand during the second quarter of 2026.</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3945" w:type="dxa"/>
        <w:jc w:val="left"/>
        <w:tblInd w:w="0" w:type="dxa"/>
        <w:tblLayout w:type="fixed"/>
        <w:tblCellMar>
          <w:top w:w="0" w:type="dxa"/>
          <w:left w:w="0" w:type="dxa"/>
          <w:bottom w:w="0" w:type="dxa"/>
          <w:right w:w="0" w:type="dxa"/>
        </w:tblCellMar>
      </w:tblPr>
      <w:tblGrid>
        <w:gridCol w:w="1745"/>
        <w:gridCol w:w="320"/>
        <w:gridCol w:w="1880"/>
      </w:tblGrid>
      <w:tr>
        <w:trPr/>
        <w:tc>
          <w:tcPr>
            <w:tcW w:w="1745" w:type="dxa"/>
            <w:tcBorders/>
            <w:vAlign w:val="center"/>
          </w:tcPr>
          <w:p>
            <w:pPr>
              <w:pStyle w:val="TableContents"/>
              <w:bidi w:val="0"/>
              <w:spacing w:before="0" w:after="0"/>
              <w:jc w:val="left"/>
              <w:rPr>
                <w:color w:val="000000"/>
              </w:rPr>
            </w:pPr>
            <w:r>
              <w:rPr>
                <w:color w:val="000000"/>
              </w:rPr>
              <w:t> </w:t>
            </w:r>
          </w:p>
        </w:tc>
        <w:tc>
          <w:tcPr>
            <w:tcW w:w="2200"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SHUTTERSTOCK, INC.</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Dated: May 14, 2026</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1880" w:type="dxa"/>
            <w:tcBorders>
              <w:bottom w:val="single" w:sz="12" w:space="0" w:color="000000"/>
            </w:tcBorders>
            <w:tcMar>
              <w:bottom w:w="28" w:type="dxa"/>
            </w:tcMar>
            <w:vAlign w:val="center"/>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/s/ Rik Powell</w:t>
            </w:r>
          </w:p>
        </w:tc>
      </w:tr>
      <w:tr>
        <w:trPr/>
        <w:tc>
          <w:tcPr>
            <w:tcW w:w="1745" w:type="dxa"/>
            <w:tcBorders/>
            <w:vAlign w:val="center"/>
          </w:tcPr>
          <w:p>
            <w:pPr>
              <w:pStyle w:val="TableContents"/>
              <w:bidi w:val="0"/>
              <w:spacing w:before="0" w:after="0"/>
              <w:jc w:val="left"/>
              <w:rPr>
                <w:color w:val="000000"/>
              </w:rPr>
            </w:pPr>
            <w:r>
              <w:rPr>
                <w:color w:val="000000"/>
              </w:rPr>
              <w:t> </w:t>
            </w:r>
          </w:p>
        </w:tc>
        <w:tc>
          <w:tcPr>
            <w:tcW w:w="320" w:type="dxa"/>
            <w:tcBorders/>
            <w:vAlign w:val="center"/>
          </w:tcPr>
          <w:p>
            <w:pPr>
              <w:pStyle w:val="TableContents"/>
              <w:bidi w:val="0"/>
              <w:spacing w:before="0" w:after="0"/>
              <w:jc w:val="left"/>
              <w:rPr>
                <w:color w:val="000000"/>
              </w:rPr>
            </w:pPr>
            <w:r>
              <w:rPr>
                <w:color w:val="000000"/>
              </w:rPr>
              <w:t> </w:t>
            </w:r>
          </w:p>
        </w:tc>
        <w:tc>
          <w:tcPr>
            <w:tcW w:w="1880" w:type="dxa"/>
            <w:tcBorders/>
            <w:vAlign w:val="center"/>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Rik Powell</w:t>
            </w:r>
          </w:p>
        </w:tc>
      </w:tr>
      <w:tr>
        <w:trPr/>
        <w:tc>
          <w:tcPr>
            <w:tcW w:w="1745" w:type="dxa"/>
            <w:tcBorders/>
            <w:vAlign w:val="center"/>
          </w:tcPr>
          <w:p>
            <w:pPr>
              <w:pStyle w:val="TableContents"/>
              <w:bidi w:val="0"/>
              <w:spacing w:before="0" w:after="0"/>
              <w:jc w:val="left"/>
              <w:rPr>
                <w:color w:val="000000"/>
              </w:rPr>
            </w:pPr>
            <w:r>
              <w:rPr>
                <w:color w:val="000000"/>
              </w:rPr>
              <w:t> </w:t>
            </w:r>
          </w:p>
        </w:tc>
        <w:tc>
          <w:tcPr>
            <w:tcW w:w="320" w:type="dxa"/>
            <w:tcBorders/>
            <w:vAlign w:val="center"/>
          </w:tcPr>
          <w:p>
            <w:pPr>
              <w:pStyle w:val="TableContents"/>
              <w:bidi w:val="0"/>
              <w:spacing w:before="0" w:after="0"/>
              <w:jc w:val="left"/>
              <w:rPr>
                <w:color w:val="000000"/>
              </w:rPr>
            </w:pPr>
            <w:r>
              <w:rPr>
                <w:color w:val="000000"/>
              </w:rPr>
              <w:t> </w:t>
            </w:r>
          </w:p>
        </w:tc>
        <w:tc>
          <w:tcPr>
            <w:tcW w:w="1880" w:type="dxa"/>
            <w:tcBorders/>
            <w:vAlign w:val="center"/>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567</Words>
  <Characters>3101</Characters>
  <CharactersWithSpaces>3637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