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699135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657225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4" w:lineRule="exact"/>
        <w:rPr>
          <w:rFonts w:ascii="MS PGothic" w:cs="MS PGothic" w:eastAsia="MS PGothic" w:hAnsi="MS PGothic"/>
          <w:sz w:val="16"/>
          <w:szCs w:val="16"/>
          <w:color w:val="auto"/>
        </w:rPr>
      </w:pPr>
    </w:p>
    <w:p>
      <w:pPr>
        <w:ind w:left="4120"/>
        <w:spacing w:after="0"/>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2"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SHUTTERSTOCK, INC.</w:t>
      </w:r>
    </w:p>
    <w:p>
      <w:pPr>
        <w:spacing w:after="0" w:line="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pacing w:after="0" w:line="41" w:lineRule="exact"/>
        <w:rPr>
          <w:sz w:val="24"/>
          <w:szCs w:val="24"/>
          <w:color w:val="auto"/>
        </w:rPr>
      </w:pPr>
    </w:p>
    <w:p>
      <w:pPr>
        <w:ind w:left="2600"/>
        <w:spacing w:after="0"/>
        <w:tabs>
          <w:tab w:leader="none" w:pos="832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80-0812659</w:t>
      </w:r>
    </w:p>
    <w:p>
      <w:pPr>
        <w:spacing w:after="0" w:line="46" w:lineRule="exact"/>
        <w:rPr>
          <w:sz w:val="24"/>
          <w:szCs w:val="24"/>
          <w:color w:val="auto"/>
        </w:rPr>
      </w:pPr>
    </w:p>
    <w:p>
      <w:pPr>
        <w:ind w:left="1240"/>
        <w:spacing w:after="0"/>
        <w:tabs>
          <w:tab w:leader="none" w:pos="7680" w:val="left"/>
        </w:tabs>
        <w:rPr>
          <w:sz w:val="20"/>
          <w:szCs w:val="20"/>
          <w:color w:val="auto"/>
        </w:rPr>
      </w:pPr>
      <w:r>
        <w:rPr>
          <w:rFonts w:ascii="Times New Roman" w:cs="Times New Roman" w:eastAsia="Times New Roman" w:hAnsi="Times New Roman"/>
          <w:sz w:val="14"/>
          <w:szCs w:val="14"/>
          <w:color w:val="auto"/>
        </w:rPr>
        <w:t>(State or other jurisdiction of incorporation or organization)</w:t>
      </w:r>
      <w:r>
        <w:rPr>
          <w:sz w:val="20"/>
          <w:szCs w:val="20"/>
          <w:color w:val="auto"/>
        </w:rPr>
        <w:tab/>
      </w:r>
      <w:r>
        <w:rPr>
          <w:rFonts w:ascii="Times New Roman" w:cs="Times New Roman" w:eastAsia="Times New Roman" w:hAnsi="Times New Roman"/>
          <w:sz w:val="14"/>
          <w:szCs w:val="14"/>
          <w:color w:val="auto"/>
        </w:rPr>
        <w:t>(I.R.S. Employer Identification No.)</w:t>
      </w:r>
    </w:p>
    <w:p>
      <w:pPr>
        <w:spacing w:after="0" w:line="16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350 Fifth Avenue, 20th Floor</w:t>
      </w:r>
    </w:p>
    <w:p>
      <w:pPr>
        <w:spacing w:after="0" w:line="2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44"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6"/>
          <w:szCs w:val="16"/>
          <w:color w:val="auto"/>
        </w:rPr>
        <w:t>(646) 710-3417</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8"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1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720" w:type="dxa"/>
        <w:tblCellMar>
          <w:top w:w="0" w:type="dxa"/>
          <w:left w:w="0" w:type="dxa"/>
          <w:bottom w:w="0" w:type="dxa"/>
          <w:right w:w="0" w:type="dxa"/>
        </w:tblCellMar>
      </w:tblPr>
      <w:tr>
        <w:trPr>
          <w:trHeight w:val="198"/>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0"/>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7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112" w:lineRule="exact"/>
        <w:rPr>
          <w:sz w:val="24"/>
          <w:szCs w:val="24"/>
          <w:color w:val="auto"/>
        </w:rPr>
      </w:pPr>
    </w:p>
    <w:p>
      <w:pPr>
        <w:ind w:right="120"/>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1" w:lineRule="exact"/>
        <w:rPr>
          <w:sz w:val="24"/>
          <w:szCs w:val="24"/>
          <w:color w:val="auto"/>
        </w:rPr>
      </w:pPr>
    </w:p>
    <w:p>
      <w:pPr>
        <w:ind w:right="320"/>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7" w:lineRule="exact"/>
        <w:rPr>
          <w:sz w:val="24"/>
          <w:szCs w:val="24"/>
          <w:color w:val="auto"/>
        </w:rPr>
      </w:pPr>
    </w:p>
    <w:p>
      <w:pPr>
        <w:ind w:right="140"/>
        <w:spacing w:after="0" w:line="284"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420" w:type="dxa"/>
        <w:tblCellMar>
          <w:top w:w="0" w:type="dxa"/>
          <w:left w:w="0" w:type="dxa"/>
          <w:bottom w:w="0" w:type="dxa"/>
          <w:right w:w="0" w:type="dxa"/>
        </w:tblCellMar>
      </w:tblP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Large 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Non-accelerated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5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0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1960" w:type="dxa"/>
            <w:vAlign w:val="bottom"/>
          </w:tcPr>
          <w:p>
            <w:pPr>
              <w:spacing w:after="0"/>
              <w:rPr>
                <w:sz w:val="18"/>
                <w:szCs w:val="18"/>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8"/>
                <w:szCs w:val="18"/>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9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400" w:type="dxa"/>
            <w:vAlign w:val="bottom"/>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As of July 25, 2025, 35,474,129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60325</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256"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70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7"/>
              </w:rPr>
              <w:t>PART I. FINANCIAL INFORMATION</w:t>
            </w:r>
          </w:p>
        </w:tc>
        <w:tc>
          <w:tcPr>
            <w:tcW w:w="5340" w:type="dxa"/>
            <w:vAlign w:val="bottom"/>
            <w:gridSpan w:val="11"/>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0000FF"/>
            </w:tcBorders>
            <w:gridSpan w:val="12"/>
            <w:vMerge w:val="continue"/>
          </w:tcPr>
          <w:p>
            <w:pPr>
              <w:spacing w:after="0"/>
              <w:rPr>
                <w:sz w:val="17"/>
                <w:szCs w:val="17"/>
                <w:color w:val="auto"/>
              </w:rPr>
            </w:pPr>
          </w:p>
        </w:tc>
        <w:tc>
          <w:tcPr>
            <w:tcW w:w="5340" w:type="dxa"/>
            <w:vAlign w:val="bottom"/>
            <w:gridSpan w:val="11"/>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380" w:type="dxa"/>
            <w:vAlign w:val="bottom"/>
            <w:gridSpan w:val="4"/>
          </w:tcPr>
          <w:p>
            <w:pPr>
              <w:spacing w:after="0"/>
              <w:rPr>
                <w:sz w:val="21"/>
                <w:szCs w:val="21"/>
                <w:color w:val="auto"/>
              </w:rPr>
            </w:pPr>
          </w:p>
        </w:tc>
        <w:tc>
          <w:tcPr>
            <w:tcW w:w="2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Financial Statements (Unaudited)</w:t>
            </w:r>
          </w:p>
        </w:tc>
        <w:tc>
          <w:tcPr>
            <w:tcW w:w="5080" w:type="dxa"/>
            <w:vAlign w:val="bottom"/>
            <w:gridSpan w:val="9"/>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8"/>
              </w:rPr>
              <w:t>Consolidated Statements of Comprehensive Income</w:t>
            </w:r>
          </w:p>
        </w:tc>
        <w:tc>
          <w:tcPr>
            <w:tcW w:w="3800" w:type="dxa"/>
            <w:vAlign w:val="bottom"/>
            <w:gridSpan w:val="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8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w:t>
            </w:r>
          </w:p>
        </w:tc>
        <w:tc>
          <w:tcPr>
            <w:tcW w:w="580" w:type="dxa"/>
            <w:vAlign w:val="bottom"/>
            <w:tcBorders>
              <w:top w:val="single" w:sz="8" w:color="0000FF"/>
            </w:tcBorders>
            <w:gridSpan w:val="2"/>
          </w:tcPr>
          <w:p>
            <w:pPr>
              <w:spacing w:after="0"/>
              <w:rPr>
                <w:sz w:val="16"/>
                <w:szCs w:val="16"/>
                <w:color w:val="auto"/>
              </w:rPr>
            </w:pPr>
          </w:p>
        </w:tc>
        <w:tc>
          <w:tcPr>
            <w:tcW w:w="3980" w:type="dxa"/>
            <w:vAlign w:val="bottom"/>
            <w:gridSpan w:val="5"/>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7"/>
              </w:rPr>
              <w:t>Notes to Consolidated Financial Statements</w:t>
            </w:r>
          </w:p>
        </w:tc>
        <w:tc>
          <w:tcPr>
            <w:tcW w:w="4320" w:type="dxa"/>
            <w:vAlign w:val="bottom"/>
            <w:gridSpan w:val="6"/>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191"/>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360" w:type="dxa"/>
            <w:vAlign w:val="bottom"/>
            <w:gridSpan w:val="3"/>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26</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3.</w:t>
            </w:r>
          </w:p>
        </w:tc>
        <w:tc>
          <w:tcPr>
            <w:tcW w:w="80" w:type="dxa"/>
            <w:vAlign w:val="bottom"/>
            <w:tcBorders>
              <w:bottom w:val="single" w:sz="8" w:color="0000FF"/>
            </w:tcBorders>
          </w:tcPr>
          <w:p>
            <w:pPr>
              <w:spacing w:after="0"/>
              <w:rPr>
                <w:sz w:val="16"/>
                <w:szCs w:val="16"/>
                <w:color w:val="auto"/>
              </w:rPr>
            </w:pPr>
          </w:p>
        </w:tc>
        <w:tc>
          <w:tcPr>
            <w:tcW w:w="280" w:type="dxa"/>
            <w:vAlign w:val="bottom"/>
            <w:gridSpan w:val="2"/>
          </w:tcPr>
          <w:p>
            <w:pPr>
              <w:spacing w:after="0"/>
              <w:rPr>
                <w:sz w:val="16"/>
                <w:szCs w:val="16"/>
                <w:color w:val="auto"/>
              </w:rPr>
            </w:pPr>
          </w:p>
        </w:tc>
        <w:tc>
          <w:tcPr>
            <w:tcW w:w="38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8"/>
              </w:rPr>
              <w:t>Quantitative and Qualitative Disclosures About Market Risk</w:t>
            </w:r>
          </w:p>
        </w:tc>
        <w:tc>
          <w:tcPr>
            <w:tcW w:w="1820" w:type="dxa"/>
            <w:vAlign w:val="bottom"/>
            <w:tcBorders>
              <w:top w:val="single" w:sz="8" w:color="0000FF"/>
            </w:tcBorders>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0" w:type="dxa"/>
            <w:vAlign w:val="bottom"/>
          </w:tcPr>
          <w:p>
            <w:pPr>
              <w:spacing w:after="0"/>
              <w:rPr>
                <w:sz w:val="1"/>
                <w:szCs w:val="1"/>
                <w:color w:val="auto"/>
              </w:rPr>
            </w:pPr>
          </w:p>
        </w:tc>
      </w:tr>
      <w:tr>
        <w:trPr>
          <w:trHeight w:val="191"/>
        </w:trPr>
        <w:tc>
          <w:tcPr>
            <w:tcW w:w="460" w:type="dxa"/>
            <w:vAlign w:val="bottom"/>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380" w:type="dxa"/>
            <w:vAlign w:val="bottom"/>
            <w:gridSpan w:val="4"/>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44</w:t>
            </w:r>
          </w:p>
        </w:tc>
        <w:tc>
          <w:tcPr>
            <w:tcW w:w="0" w:type="dxa"/>
            <w:vAlign w:val="bottom"/>
          </w:tcPr>
          <w:p>
            <w:pPr>
              <w:spacing w:after="0"/>
              <w:rPr>
                <w:sz w:val="1"/>
                <w:szCs w:val="1"/>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w w:val="97"/>
              </w:rPr>
              <w:t>PART II. OTHER INFORMATION</w:t>
            </w:r>
          </w:p>
        </w:tc>
        <w:tc>
          <w:tcPr>
            <w:tcW w:w="5600" w:type="dxa"/>
            <w:vAlign w:val="bottom"/>
            <w:gridSpan w:val="12"/>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p>
        </w:tc>
        <w:tc>
          <w:tcPr>
            <w:tcW w:w="360" w:type="dxa"/>
            <w:vAlign w:val="bottom"/>
            <w:gridSpan w:val="3"/>
          </w:tcPr>
          <w:p>
            <w:pPr>
              <w:spacing w:after="0"/>
              <w:rPr>
                <w:sz w:val="21"/>
                <w:szCs w:val="21"/>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1A.</w:t>
            </w: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2.</w:t>
            </w:r>
          </w:p>
        </w:tc>
        <w:tc>
          <w:tcPr>
            <w:tcW w:w="80" w:type="dxa"/>
            <w:vAlign w:val="bottom"/>
          </w:tcPr>
          <w:p>
            <w:pPr>
              <w:spacing w:after="0"/>
              <w:rPr>
                <w:sz w:val="16"/>
                <w:szCs w:val="16"/>
                <w:color w:val="auto"/>
              </w:rPr>
            </w:pPr>
          </w:p>
        </w:tc>
        <w:tc>
          <w:tcPr>
            <w:tcW w:w="280" w:type="dxa"/>
            <w:vAlign w:val="bottom"/>
            <w:gridSpan w:val="2"/>
          </w:tcPr>
          <w:p>
            <w:pPr>
              <w:spacing w:after="0"/>
              <w:rPr>
                <w:sz w:val="16"/>
                <w:szCs w:val="16"/>
                <w:color w:val="auto"/>
              </w:rPr>
            </w:pPr>
          </w:p>
        </w:tc>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w w:val="98"/>
              </w:rPr>
              <w:t>Unregistered Sales of Equity Securities and Use of Proceeds</w:t>
            </w:r>
          </w:p>
        </w:tc>
        <w:tc>
          <w:tcPr>
            <w:tcW w:w="3380" w:type="dxa"/>
            <w:vAlign w:val="bottom"/>
            <w:gridSpan w:val="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191"/>
        </w:trPr>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p>
        </w:tc>
        <w:tc>
          <w:tcPr>
            <w:tcW w:w="360" w:type="dxa"/>
            <w:vAlign w:val="bottom"/>
            <w:gridSpan w:val="3"/>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5.</w:t>
            </w:r>
          </w:p>
        </w:tc>
        <w:tc>
          <w:tcPr>
            <w:tcW w:w="360" w:type="dxa"/>
            <w:vAlign w:val="bottom"/>
            <w:gridSpan w:val="3"/>
          </w:tcPr>
          <w:p>
            <w:pPr>
              <w:spacing w:after="0"/>
              <w:rPr>
                <w:sz w:val="16"/>
                <w:szCs w:val="16"/>
                <w:color w:val="auto"/>
              </w:rPr>
            </w:pPr>
          </w:p>
        </w:tc>
        <w:tc>
          <w:tcPr>
            <w:tcW w:w="1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5660" w:type="dxa"/>
            <w:vAlign w:val="bottom"/>
            <w:gridSpan w:val="1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45</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Item 6.</w:t>
            </w:r>
          </w:p>
        </w:tc>
        <w:tc>
          <w:tcPr>
            <w:tcW w:w="360" w:type="dxa"/>
            <w:vAlign w:val="bottom"/>
            <w:gridSpan w:val="3"/>
          </w:tcPr>
          <w:p>
            <w:pPr>
              <w:spacing w:after="0"/>
              <w:rPr>
                <w:sz w:val="16"/>
                <w:szCs w:val="16"/>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Exhibits</w:t>
            </w:r>
          </w:p>
        </w:tc>
        <w:tc>
          <w:tcPr>
            <w:tcW w:w="6040" w:type="dxa"/>
            <w:vAlign w:val="bottom"/>
            <w:gridSpan w:val="1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46</w:t>
            </w:r>
          </w:p>
        </w:tc>
        <w:tc>
          <w:tcPr>
            <w:tcW w:w="0" w:type="dxa"/>
            <w:vAlign w:val="bottom"/>
          </w:tcPr>
          <w:p>
            <w:pPr>
              <w:spacing w:after="0"/>
              <w:rPr>
                <w:sz w:val="1"/>
                <w:szCs w:val="1"/>
                <w:color w:val="auto"/>
              </w:rPr>
            </w:pPr>
          </w:p>
        </w:tc>
      </w:tr>
      <w:tr>
        <w:trPr>
          <w:trHeight w:val="20"/>
        </w:trPr>
        <w:tc>
          <w:tcPr>
            <w:tcW w:w="48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21"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35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our proposed merger with Getty Images Holdings, Inc. (the “Merger”),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risks related to the proposed Merger; our ability to continue to attract and retain customers of, and contributors to, our creative platform; competition in our industry; the effectiveness and efficiency of our marketing efforts; our ability to innovate technologically or develop, market and offer new products and services, or enhance existing technology and products and services; costs related to litigation or infringement claims, indemnification claims and the inability to prevent misuse of our content; our ability to increase market awareness of our brand and our existing and new products and services; pricing pressure, and increased service, indemnification and working capital requirements; expansion of our operations into new products, services and technologies; the impact of worldwide economic, political and social conditions; issues relating to the use of new and evolving technologies, such as AI; our ability to grow our revenues at historical rates; our ability to effectively expand, train, manage changes to and retain our sales force; our ability to effectively manage our growth; our ability to successfully make, integrate and maintain acquisitions and investments, risks related to our personnel; risks related to our use of independent contractors; the non-payment or late payment of amounts due to us and other payment-related risks; the potential impairment of our goodwill or intangible assets; the need to raise additional capital; risks related to our debt; our reliance on information technologies and systems and other risks related to our intellectual property and security vulnerabilities; our international operations and our continued expansion internationally; foreign exchange risk; risks related to regulatory and tax challenges; as well as those risks discussed under the caption “Risk Factors” in our most recently filed Annual Report on Form 10-K, which was filed with the Securities and Exchange Commission (the “SEC”) on February 25, 2025 (our “2024 Form 10-K”) and in our consolidated financial statements, related notes, and the other information appearing elsewhere in the 2024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200" w:lineRule="exact"/>
        <w:rPr>
          <w:sz w:val="20"/>
          <w:szCs w:val="20"/>
          <w:color w:val="auto"/>
        </w:rPr>
      </w:pPr>
    </w:p>
    <w:p>
      <w:pPr>
        <w:spacing w:after="0" w:line="400"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“Giphy,” “Shutterstock Studios,” “Shutterstock Editor,” “Shutterstock.AI,” “Creative Flow,” “Backgrid,” “Envato,” “Envato Elements,” “Photodune,” “Tuts+,” “Themeforest,” “Codecanyon,” “Audiojungle,” “Graphicriver,” “Videohive,” “3DOcean,” “Mixkit,” and “Placeit”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5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(In thousands, except par value amount)</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820" w:type="dxa"/>
            <w:vAlign w:val="bottom"/>
            <w:gridSpan w:val="2"/>
            <w:vMerge w:val="continue"/>
          </w:tcPr>
          <w:p>
            <w:pPr>
              <w:spacing w:after="0"/>
              <w:rPr>
                <w:sz w:val="16"/>
                <w:szCs w:val="16"/>
                <w:color w:val="auto"/>
              </w:rPr>
            </w:pPr>
          </w:p>
        </w:tc>
        <w:tc>
          <w:tcPr>
            <w:tcW w:w="8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116,410</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 of $3,652 and $3,101</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151,752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95,225</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40,544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49,482</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308,706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255,958</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63,291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66,400</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13,956</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238,037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248,477</w:t>
            </w:r>
          </w:p>
        </w:tc>
        <w:tc>
          <w:tcPr>
            <w:tcW w:w="0" w:type="dxa"/>
            <w:vAlign w:val="bottom"/>
          </w:tcPr>
          <w:p>
            <w:pPr>
              <w:spacing w:after="0"/>
              <w:rPr>
                <w:sz w:val="1"/>
                <w:szCs w:val="1"/>
                <w:color w:val="auto"/>
              </w:rPr>
            </w:pPr>
          </w:p>
        </w:tc>
      </w:tr>
      <w:tr>
        <w:trPr>
          <w:trHeight w:val="212"/>
        </w:trPr>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Goodwill</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569,668</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77,079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70,982</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101,228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83,715</w:t>
            </w:r>
          </w:p>
        </w:tc>
        <w:tc>
          <w:tcPr>
            <w:tcW w:w="0" w:type="dxa"/>
            <w:vAlign w:val="bottom"/>
          </w:tcPr>
          <w:p>
            <w:pPr>
              <w:spacing w:after="0"/>
              <w:rPr>
                <w:sz w:val="1"/>
                <w:szCs w:val="1"/>
                <w:color w:val="auto"/>
              </w:rPr>
            </w:pPr>
          </w:p>
        </w:tc>
      </w:tr>
      <w:tr>
        <w:trPr>
          <w:trHeight w:val="202"/>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1,376,451</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1,309,156</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20" w:type="dxa"/>
            <w:vAlign w:val="bottom"/>
            <w:gridSpan w:val="4"/>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4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121,451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126,643</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93,026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81,076</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226,719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225,489</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158,106</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19,012</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24,751</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634,303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625,286</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2,174</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118,119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119,598</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23,365</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20,383</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790,288</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790,806</w:t>
            </w:r>
          </w:p>
        </w:tc>
        <w:tc>
          <w:tcPr>
            <w:tcW w:w="0" w:type="dxa"/>
            <w:vAlign w:val="bottom"/>
          </w:tcPr>
          <w:p>
            <w:pPr>
              <w:spacing w:after="0"/>
              <w:rPr>
                <w:sz w:val="1"/>
                <w:szCs w:val="1"/>
                <w:color w:val="auto"/>
              </w:rPr>
            </w:pPr>
          </w:p>
        </w:tc>
      </w:tr>
      <w:tr>
        <w:trPr>
          <w:trHeight w:val="201"/>
        </w:trPr>
        <w:tc>
          <w:tcPr>
            <w:tcW w:w="7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7720" w:type="dxa"/>
            <w:vAlign w:val="bottom"/>
            <w:gridSpan w:val="4"/>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00" w:type="dxa"/>
            <w:vAlign w:val="bottom"/>
            <w:shd w:val="clear" w:color="auto" w:fill="CCEEFF"/>
          </w:tcPr>
          <w:p>
            <w:pPr>
              <w:spacing w:after="0"/>
              <w:rPr>
                <w:sz w:val="13"/>
                <w:szCs w:val="13"/>
                <w:color w:val="auto"/>
              </w:rPr>
            </w:pPr>
          </w:p>
        </w:tc>
        <w:tc>
          <w:tcPr>
            <w:tcW w:w="7320" w:type="dxa"/>
            <w:vAlign w:val="bottom"/>
            <w:gridSpan w:val="3"/>
            <w:shd w:val="clear" w:color="auto" w:fill="CCEEFF"/>
          </w:tcPr>
          <w:p>
            <w:pPr>
              <w:ind w:left="60"/>
              <w:spacing w:after="0" w:line="160" w:lineRule="exact"/>
              <w:rPr>
                <w:sz w:val="20"/>
                <w:szCs w:val="20"/>
                <w:color w:val="auto"/>
              </w:rPr>
            </w:pPr>
            <w:r>
              <w:rPr>
                <w:rFonts w:ascii="Times New Roman" w:cs="Times New Roman" w:eastAsia="Times New Roman" w:hAnsi="Times New Roman"/>
                <w:sz w:val="16"/>
                <w:szCs w:val="16"/>
                <w:color w:val="auto"/>
              </w:rPr>
              <w:t>Common stock, $0.01 par value; 200,000 shares authorized; 40,808 and 40,395 shares issued and 35,287 and</w:t>
            </w:r>
          </w:p>
        </w:tc>
        <w:tc>
          <w:tcPr>
            <w:tcW w:w="44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11"/>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34,874 shares outstanding as of June 30, 2025 and December 31, 2024, respectively</w:t>
            </w:r>
          </w:p>
        </w:tc>
        <w:tc>
          <w:tcPr>
            <w:tcW w:w="44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Treasury stock, at cost; 5,521 shares as of June 30, 2025 and December 31, 2024</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496,883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468,390</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(16,841)</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361,206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336,202</w:t>
            </w:r>
          </w:p>
        </w:tc>
        <w:tc>
          <w:tcPr>
            <w:tcW w:w="0" w:type="dxa"/>
            <w:vAlign w:val="bottom"/>
          </w:tcPr>
          <w:p>
            <w:pPr>
              <w:spacing w:after="0"/>
              <w:rPr>
                <w:sz w:val="1"/>
                <w:szCs w:val="1"/>
                <w:color w:val="auto"/>
              </w:rPr>
            </w:pPr>
          </w:p>
        </w:tc>
      </w:tr>
      <w:tr>
        <w:trPr>
          <w:trHeight w:val="202"/>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586,163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518,350</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1,376,451</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1,309,156</w:t>
            </w: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2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2220" w:type="dxa"/>
            <w:vAlign w:val="bottom"/>
            <w:gridSpan w:val="4"/>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gridSpan w:val="3"/>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5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5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266,990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509,610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434,368</w:t>
            </w:r>
          </w:p>
        </w:tc>
        <w:tc>
          <w:tcPr>
            <w:tcW w:w="0" w:type="dxa"/>
            <w:vAlign w:val="bottom"/>
          </w:tcPr>
          <w:p>
            <w:pPr>
              <w:spacing w:after="0"/>
              <w:rPr>
                <w:sz w:val="1"/>
                <w:szCs w:val="1"/>
                <w:color w:val="auto"/>
              </w:rPr>
            </w:pPr>
          </w:p>
        </w:tc>
      </w:tr>
      <w:tr>
        <w:trPr>
          <w:trHeight w:val="197"/>
        </w:trPr>
        <w:tc>
          <w:tcPr>
            <w:tcW w:w="5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3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105,994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206,882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179,458</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57,077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110,436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108,117</w:t>
            </w:r>
          </w:p>
        </w:tc>
        <w:tc>
          <w:tcPr>
            <w:tcW w:w="0" w:type="dxa"/>
            <w:vAlign w:val="bottom"/>
          </w:tcPr>
          <w:p>
            <w:pPr>
              <w:spacing w:after="0"/>
              <w:rPr>
                <w:sz w:val="1"/>
                <w:szCs w:val="1"/>
                <w:color w:val="auto"/>
              </w:rPr>
            </w:pPr>
          </w:p>
        </w:tc>
      </w:tr>
      <w:tr>
        <w:trPr>
          <w:trHeight w:val="209"/>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3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20,754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40,910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48,434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106,741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68,471</w:t>
            </w:r>
          </w:p>
        </w:tc>
        <w:tc>
          <w:tcPr>
            <w:tcW w:w="0" w:type="dxa"/>
            <w:vAlign w:val="bottom"/>
          </w:tcPr>
          <w:p>
            <w:pPr>
              <w:spacing w:after="0"/>
              <w:rPr>
                <w:sz w:val="1"/>
                <w:szCs w:val="1"/>
                <w:color w:val="auto"/>
              </w:rPr>
            </w:pPr>
          </w:p>
        </w:tc>
      </w:tr>
      <w:tr>
        <w:trPr>
          <w:trHeight w:val="202"/>
        </w:trPr>
        <w:tc>
          <w:tcPr>
            <w:tcW w:w="55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232,259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199,387</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464,678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396,956</w:t>
            </w:r>
          </w:p>
        </w:tc>
        <w:tc>
          <w:tcPr>
            <w:tcW w:w="0" w:type="dxa"/>
            <w:vAlign w:val="bottom"/>
          </w:tcPr>
          <w:p>
            <w:pPr>
              <w:spacing w:after="0"/>
              <w:rPr>
                <w:sz w:val="1"/>
                <w:szCs w:val="1"/>
                <w:color w:val="auto"/>
              </w:rPr>
            </w:pPr>
          </w:p>
        </w:tc>
      </w:tr>
      <w:tr>
        <w:trPr>
          <w:trHeight w:val="20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34,731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20,666</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37,412</w:t>
            </w: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12,624</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02"/>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8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43,131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36,950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13,691</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17,204</w:t>
            </w:r>
          </w:p>
        </w:tc>
        <w:tc>
          <w:tcPr>
            <w:tcW w:w="0" w:type="dxa"/>
            <w:vAlign w:val="bottom"/>
          </w:tcPr>
          <w:p>
            <w:pPr>
              <w:spacing w:after="0"/>
              <w:rPr>
                <w:sz w:val="1"/>
                <w:szCs w:val="1"/>
                <w:color w:val="auto"/>
              </w:rPr>
            </w:pPr>
          </w:p>
        </w:tc>
      </w:tr>
      <w:tr>
        <w:trPr>
          <w:trHeight w:val="177"/>
        </w:trPr>
        <w:tc>
          <w:tcPr>
            <w:tcW w:w="5540" w:type="dxa"/>
            <w:vAlign w:val="bottom"/>
          </w:tcPr>
          <w:p>
            <w:pPr>
              <w:ind w:left="140"/>
              <w:spacing w:after="0" w:line="178" w:lineRule="exact"/>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tcBorders>
              <w:bottom w:val="single" w:sz="8" w:color="auto"/>
            </w:tcBorders>
          </w:tcPr>
          <w:p>
            <w:pPr>
              <w:jc w:val="right"/>
              <w:ind w:right="20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29,440</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6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3,625</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21"/>
              <w:spacing w:after="0" w:line="178" w:lineRule="exact"/>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48,128</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2"/>
              <w:spacing w:after="0" w:line="178" w:lineRule="exact"/>
              <w:rPr>
                <w:sz w:val="20"/>
                <w:szCs w:val="20"/>
                <w:color w:val="auto"/>
              </w:rPr>
            </w:pPr>
            <w:r>
              <w:rPr>
                <w:rFonts w:ascii="Times New Roman" w:cs="Times New Roman" w:eastAsia="Times New Roman" w:hAnsi="Times New Roman"/>
                <w:sz w:val="16"/>
                <w:szCs w:val="16"/>
                <w:color w:val="auto"/>
              </w:rPr>
              <w:t>19,746</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vMerge w:val="continue"/>
          </w:tcPr>
          <w:p>
            <w:pPr>
              <w:spacing w:after="0"/>
              <w:rPr>
                <w:sz w:val="15"/>
                <w:szCs w:val="15"/>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35,257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35,644</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35,958</w:t>
            </w: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35,982</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35,642</w:t>
            </w:r>
          </w:p>
        </w:tc>
        <w:tc>
          <w:tcPr>
            <w:tcW w:w="1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36,023</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134620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60"/>
          </w:cols>
          <w:pgMar w:left="520" w:top="121" w:right="519" w:bottom="1440" w:gutter="0" w:footer="0" w:header="0"/>
        </w:sectPr>
      </w:pPr>
    </w:p>
    <w:bookmarkStart w:id="5" w:name="page6"/>
    <w:bookmarkEnd w:id="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4"/>
                <w:szCs w:val="14"/>
                <w:color w:val="auto"/>
              </w:rPr>
            </w:pPr>
          </w:p>
        </w:tc>
        <w:tc>
          <w:tcPr>
            <w:tcW w:w="184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85"/>
        </w:trPr>
        <w:tc>
          <w:tcPr>
            <w:tcW w:w="6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Pr>
          <w:p>
            <w:pPr>
              <w:spacing w:after="0"/>
              <w:rPr>
                <w:sz w:val="16"/>
                <w:szCs w:val="16"/>
                <w:color w:val="auto"/>
              </w:rPr>
            </w:pPr>
          </w:p>
        </w:tc>
      </w:tr>
      <w:tr>
        <w:trPr>
          <w:trHeight w:val="37"/>
        </w:trPr>
        <w:tc>
          <w:tcPr>
            <w:tcW w:w="65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80"/>
        </w:trPr>
        <w:tc>
          <w:tcPr>
            <w:tcW w:w="6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65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191"/>
        </w:trPr>
        <w:tc>
          <w:tcPr>
            <w:tcW w:w="6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1"/>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19,746</w:t>
            </w:r>
          </w:p>
        </w:tc>
      </w:tr>
      <w:tr>
        <w:trPr>
          <w:trHeight w:val="209"/>
        </w:trPr>
        <w:tc>
          <w:tcPr>
            <w:tcW w:w="6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gain / (loss)</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10,015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w w:val="98"/>
              </w:rPr>
              <w:t>(1,780)</w:t>
            </w:r>
          </w:p>
        </w:tc>
      </w:tr>
      <w:tr>
        <w:trPr>
          <w:trHeight w:val="206"/>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 (loss)</w:t>
            </w:r>
          </w:p>
        </w:tc>
        <w:tc>
          <w:tcPr>
            <w:tcW w:w="3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10,015</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98"/>
              </w:rPr>
              <w:t>(1,780)</w:t>
            </w:r>
          </w:p>
        </w:tc>
      </w:tr>
      <w:tr>
        <w:trPr>
          <w:trHeight w:val="202"/>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39,455</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3,309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62,440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17,966</w:t>
            </w:r>
          </w:p>
        </w:tc>
      </w:tr>
      <w:tr>
        <w:trPr>
          <w:trHeight w:val="21"/>
        </w:trPr>
        <w:tc>
          <w:tcPr>
            <w:tcW w:w="6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6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40" w:type="dxa"/>
            <w:vAlign w:val="bottom"/>
            <w:vMerge w:val="continue"/>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485,736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343,389</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547,180</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15,625</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(4,472)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(4,474)</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(11,623)</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10,015</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29,440</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40,808</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496,883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361,206</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586,163</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434,416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348,111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541,275</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14,976</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(7,890)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(7,892)</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(20,592)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(10,664)</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(248,805)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441,497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341,072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520,412</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2025</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40,395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(16,841)</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336,202</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518,350</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33,509</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(23,124)</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14,312</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48,128</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496,883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361,206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586,163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(228,213)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424,229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(11,974)</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342,653</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527,094</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26,126</w:t>
            </w: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384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(8,855)</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treasury shares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(20,592)</w:t>
            </w: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(21,327)</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(1,780)</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19,746</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40,286</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4,927</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(248,805)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441,497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(13,754)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341,072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520,412</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r>
      <w:tr>
        <w:trPr>
          <w:trHeight w:val="23"/>
        </w:trPr>
        <w:tc>
          <w:tcPr>
            <w:tcW w:w="85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0"/>
        </w:trPr>
        <w:tc>
          <w:tcPr>
            <w:tcW w:w="8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5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72"/>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48,128</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19,746</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42,696</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26,126</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impairment of long-term investment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(1,772)</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Unrealized gain on investments, net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(3,879)</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(25,299)</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(16,899)</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10,688</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(15,514)</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52,083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36,265</w:t>
            </w:r>
          </w:p>
        </w:tc>
      </w:tr>
      <w:tr>
        <w:trPr>
          <w:trHeight w:val="74"/>
        </w:trPr>
        <w:tc>
          <w:tcPr>
            <w:tcW w:w="85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(23,536)</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(19,474)</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36,522</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(1,821)</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Security deposit payment</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(26,199)</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(8,227)</w:t>
            </w:r>
          </w:p>
        </w:tc>
      </w:tr>
      <w:tr>
        <w:trPr>
          <w:trHeight w:val="74"/>
        </w:trPr>
        <w:tc>
          <w:tcPr>
            <w:tcW w:w="85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treasury shares</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(20,592)</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(23,124)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(21,327)</w:t>
            </w:r>
          </w:p>
        </w:tc>
      </w:tr>
      <w:tr>
        <w:trPr>
          <w:trHeight w:val="209"/>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(29,699)</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(50,778)</w:t>
            </w:r>
          </w:p>
        </w:tc>
      </w:tr>
      <w:tr>
        <w:trPr>
          <w:trHeight w:val="74"/>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8,974</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 (decrease) in cash and cash equivalents</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5,159</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(25,619)</w:t>
            </w:r>
          </w:p>
        </w:tc>
      </w:tr>
      <w:tr>
        <w:trPr>
          <w:trHeight w:val="94"/>
        </w:trPr>
        <w:tc>
          <w:tcPr>
            <w:tcW w:w="85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20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111,251</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100,490</w:t>
            </w:r>
          </w:p>
        </w:tc>
      </w:tr>
      <w:tr>
        <w:trPr>
          <w:trHeight w:val="229"/>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116,410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74,871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8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14,689</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12,560</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w:t>
            </w: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Shutterstock, Inc. (the “Company” or “Shutterstock”) is a leading global creative platform connecting brands and businesses to high quality content.</w:t>
      </w:r>
    </w:p>
    <w:p>
      <w:pPr>
        <w:spacing w:after="0" w:line="135"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Company’s platform brings together users and contributors of content by providing readily-searchable content that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18" w:lineRule="exact"/>
        <w:rPr>
          <w:sz w:val="20"/>
          <w:szCs w:val="20"/>
          <w:color w:val="auto"/>
        </w:rPr>
      </w:pPr>
    </w:p>
    <w:p>
      <w:pPr>
        <w:jc w:val="both"/>
        <w:ind w:right="460" w:firstLine="395"/>
        <w:spacing w:after="0" w:line="256" w:lineRule="auto"/>
        <w:rPr>
          <w:sz w:val="20"/>
          <w:szCs w:val="20"/>
          <w:color w:val="auto"/>
        </w:rPr>
      </w:pPr>
      <w:r>
        <w:rPr>
          <w:rFonts w:ascii="Times New Roman" w:cs="Times New Roman" w:eastAsia="Times New Roman" w:hAnsi="Times New Roman"/>
          <w:sz w:val="18"/>
          <w:szCs w:val="18"/>
          <w:color w:val="auto"/>
        </w:rPr>
        <w:t>Digital content licensed to customers for their creative needs includes images, footage, music, and 3D models (the Company’s “Content” offering). Content revenues represent the majority of the Company’s business and are supported by the Company’s searchable creative platform and driven by the Company’s large contributor network.</w:t>
      </w:r>
    </w:p>
    <w:p>
      <w:pPr>
        <w:spacing w:after="0" w:line="114"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In addition, customers have needs that are beyond traditional content license products and services. These include (i) licenses to metadata associated with the Company’s images, footage, music tracks and 3D models through the Company’s data offering, (ii) distribution and advertising services from the Company’s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the Company’s “Data, Distribution, and Services” offerings).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Content offering includes:</w:t>
      </w:r>
    </w:p>
    <w:p>
      <w:pPr>
        <w:spacing w:after="0" w:line="148" w:lineRule="exact"/>
        <w:rPr>
          <w:sz w:val="20"/>
          <w:szCs w:val="20"/>
          <w:color w:val="auto"/>
        </w:rPr>
      </w:pPr>
    </w:p>
    <w:p>
      <w:pPr>
        <w:ind w:left="720" w:right="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720" w:right="2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720" w:right="24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72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Merger Agreement with Getty Images</w:t>
      </w:r>
    </w:p>
    <w:p>
      <w:pPr>
        <w:spacing w:after="0" w:line="111" w:lineRule="exact"/>
        <w:rPr>
          <w:sz w:val="20"/>
          <w:szCs w:val="20"/>
          <w:color w:val="auto"/>
        </w:rPr>
      </w:pPr>
    </w:p>
    <w:p>
      <w:pPr>
        <w:jc w:val="both"/>
        <w:ind w:firstLine="395"/>
        <w:spacing w:after="0" w:line="303" w:lineRule="auto"/>
        <w:rPr>
          <w:sz w:val="20"/>
          <w:szCs w:val="20"/>
          <w:color w:val="auto"/>
        </w:rPr>
      </w:pPr>
      <w:r>
        <w:rPr>
          <w:rFonts w:ascii="Times New Roman" w:cs="Times New Roman" w:eastAsia="Times New Roman" w:hAnsi="Times New Roman"/>
          <w:sz w:val="16"/>
          <w:szCs w:val="16"/>
          <w:color w:val="auto"/>
        </w:rPr>
        <w:t>On January 6, 2025, the Company entered into an Agreement and Plan of Merger (the “Merger Agreement”) to combine in a merger-of-equals transaction with Getty Images Holdings, Inc. (NYSE:GETY) (“Getty Images”) (such transaction referred to herein as the “Merger”). Subject to terms and conditions in the Merger Agreement, the aggregate consideration to be paid by Getty Images in respect of the outstanding shares of common stock of Shutterstock will be:</w:t>
      </w:r>
    </w:p>
    <w:p>
      <w:pPr>
        <w:spacing w:after="0" w:line="40" w:lineRule="exact"/>
        <w:rPr>
          <w:sz w:val="20"/>
          <w:szCs w:val="20"/>
          <w:color w:val="auto"/>
        </w:rPr>
      </w:pPr>
    </w:p>
    <w:p>
      <w:pPr>
        <w:ind w:left="640" w:right="160" w:hanging="319"/>
        <w:spacing w:after="0" w:line="268" w:lineRule="auto"/>
        <w:tabs>
          <w:tab w:leader="none" w:pos="6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and</w:t>
      </w:r>
    </w:p>
    <w:p>
      <w:pPr>
        <w:spacing w:after="0" w:line="64" w:lineRule="exact"/>
        <w:rPr>
          <w:rFonts w:ascii="Times New Roman" w:cs="Times New Roman" w:eastAsia="Times New Roman" w:hAnsi="Times New Roman"/>
          <w:sz w:val="18"/>
          <w:szCs w:val="18"/>
          <w:color w:val="auto"/>
        </w:rPr>
      </w:pPr>
    </w:p>
    <w:p>
      <w:pPr>
        <w:ind w:left="640" w:right="280" w:hanging="319"/>
        <w:spacing w:after="0" w:line="268" w:lineRule="auto"/>
        <w:tabs>
          <w:tab w:leader="none" w:pos="6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w:t>
      </w:r>
    </w:p>
    <w:p>
      <w:pPr>
        <w:spacing w:after="0" w:line="64"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Each holder of shares of Shutterstock common stock immediately prior to the transaction close will have the option to receive, subject to proration, for each share of Shutterstock common stock held by such holder:</w:t>
      </w:r>
    </w:p>
    <w:p>
      <w:pPr>
        <w:spacing w:after="0" w:line="208" w:lineRule="exact"/>
        <w:rPr>
          <w:sz w:val="20"/>
          <w:szCs w:val="20"/>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 (a “Mixed Election”);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no election is made by a holder, each of such holder’s shares of Shutterstock common stock shall be treated as having made a Mixed Election.</w:t>
      </w:r>
    </w:p>
    <w:p>
      <w:pPr>
        <w:spacing w:after="0" w:line="109"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A majority of Shutterstock stockholders approved the adoption of the Merger Agreement at a special meeting of stockholders held on June 10, 2025 (the “</w:t>
      </w:r>
      <w:r>
        <w:rPr>
          <w:rFonts w:ascii="Times New Roman" w:cs="Times New Roman" w:eastAsia="Times New Roman" w:hAnsi="Times New Roman"/>
          <w:sz w:val="18"/>
          <w:szCs w:val="18"/>
          <w:u w:val="single" w:color="auto"/>
          <w:color w:val="auto"/>
        </w:rPr>
        <w:t>Shutterstock Stockholder Approval</w:t>
      </w:r>
      <w:r>
        <w:rPr>
          <w:rFonts w:ascii="Times New Roman" w:cs="Times New Roman" w:eastAsia="Times New Roman" w:hAnsi="Times New Roman"/>
          <w:sz w:val="18"/>
          <w:szCs w:val="18"/>
          <w:color w:val="auto"/>
        </w:rPr>
        <w:t>”). The Merger is subject to the satisfaction of customary closing conditions, further described below, including receipt of required regulatory approvals and the extension or refinancing of Getty Images’ existing debt obligations. Subject to the satisfaction of the closing conditions, upon closing of the Merger, Shutterstock’s common stock will be delisted from the NYSE and deregistered under the Securities Exchange Act of 1934, as amended. The closing of the Merger is subject to the satisfaction or waiver of certain closing conditions, including:</w:t>
      </w:r>
    </w:p>
    <w:p>
      <w:pPr>
        <w:spacing w:after="0" w:line="80" w:lineRule="exact"/>
        <w:rPr>
          <w:sz w:val="20"/>
          <w:szCs w:val="20"/>
          <w:color w:val="auto"/>
        </w:rPr>
      </w:pPr>
    </w:p>
    <w:p>
      <w:pPr>
        <w:ind w:left="640" w:right="20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Stockholder Approval, which condition was subsequently satisfied as described above, and the Getty Images stockholder approval, which condition was subsequently satisfied by the Getty Images stockholder written consent;</w:t>
      </w:r>
    </w:p>
    <w:p>
      <w:pPr>
        <w:spacing w:after="0" w:line="64" w:lineRule="exact"/>
        <w:rPr>
          <w:rFonts w:ascii="Times New Roman" w:cs="Times New Roman" w:eastAsia="Times New Roman" w:hAnsi="Times New Roman"/>
          <w:sz w:val="18"/>
          <w:szCs w:val="18"/>
          <w:color w:val="auto"/>
        </w:rPr>
      </w:pPr>
    </w:p>
    <w:p>
      <w:pPr>
        <w:ind w:left="640" w:hanging="319"/>
        <w:spacing w:after="0" w:line="332" w:lineRule="auto"/>
        <w:tabs>
          <w:tab w:leader="none" w:pos="63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Getty Images’ registration statement on Form S-4 to be filed in connection with the Merger having become effective and the mailing of an information statement to Getty Images stockholders at least 20 business days prior to the closing, which condition was subsequently satisfied on April 30, 2025;</w:t>
      </w:r>
    </w:p>
    <w:p>
      <w:pPr>
        <w:spacing w:after="0" w:line="17"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order, injunction or other order or law in certain jurisdictions prohibiting the Merger or making the closing of the Merger illegal;</w:t>
      </w:r>
    </w:p>
    <w:p>
      <w:pPr>
        <w:spacing w:after="0" w:line="108" w:lineRule="exact"/>
        <w:rPr>
          <w:rFonts w:ascii="Times New Roman" w:cs="Times New Roman" w:eastAsia="Times New Roman" w:hAnsi="Times New Roman"/>
          <w:sz w:val="18"/>
          <w:szCs w:val="18"/>
          <w:color w:val="auto"/>
        </w:rPr>
      </w:pPr>
    </w:p>
    <w:p>
      <w:pPr>
        <w:ind w:left="640" w:right="24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applicable waiting period (and extensions thereof) under the Hart-Scott-Rodino Antitrust Improvements Act of 1976, as amended, and the receipt of other regulatory approvals deemed necessary or advisable;</w:t>
      </w:r>
    </w:p>
    <w:p>
      <w:pPr>
        <w:spacing w:after="0" w:line="64"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Getty Images common stock to be issued in connection with the Merger having been approved for listing on the NYSE;</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each party’s representations and warranties, subject to certain standards set forth in the Merger Agreement;</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compliance in all material respects of each party’s agreements and covenants under the Merger Agreement;</w:t>
      </w:r>
    </w:p>
    <w:p>
      <w:pPr>
        <w:spacing w:after="0" w:line="108" w:lineRule="exact"/>
        <w:rPr>
          <w:rFonts w:ascii="Times New Roman" w:cs="Times New Roman" w:eastAsia="Times New Roman" w:hAnsi="Times New Roman"/>
          <w:sz w:val="18"/>
          <w:szCs w:val="18"/>
          <w:color w:val="auto"/>
        </w:rPr>
      </w:pPr>
    </w:p>
    <w:p>
      <w:pPr>
        <w:ind w:left="640" w:right="10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Getty Images material adverse effect or Shutterstock material adverse effect, as applicable and subject to the definitions thereof in the Merger Agreement;</w:t>
      </w:r>
    </w:p>
    <w:p>
      <w:pPr>
        <w:spacing w:after="0" w:line="64" w:lineRule="exact"/>
        <w:rPr>
          <w:rFonts w:ascii="Times New Roman" w:cs="Times New Roman" w:eastAsia="Times New Roman" w:hAnsi="Times New Roman"/>
          <w:sz w:val="18"/>
          <w:szCs w:val="18"/>
          <w:color w:val="auto"/>
        </w:rPr>
      </w:pPr>
    </w:p>
    <w:p>
      <w:pPr>
        <w:ind w:left="640" w:right="2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opinion of tax counsel that the Second Merger and the Third Merger as defined in the Merger Agreement, taken together, will qualify as a “reorganization” within the meaning of section 368(a) of the Internal Revenue Code of 1986, as amended; and</w:t>
      </w:r>
    </w:p>
    <w:p>
      <w:pPr>
        <w:spacing w:after="0" w:line="64" w:lineRule="exact"/>
        <w:rPr>
          <w:rFonts w:ascii="Times New Roman" w:cs="Times New Roman" w:eastAsia="Times New Roman" w:hAnsi="Times New Roman"/>
          <w:sz w:val="18"/>
          <w:szCs w:val="18"/>
          <w:color w:val="auto"/>
        </w:rPr>
      </w:pPr>
    </w:p>
    <w:p>
      <w:pPr>
        <w:ind w:left="640" w:right="580" w:hanging="319"/>
        <w:spacing w:after="0" w:line="268" w:lineRule="auto"/>
        <w:tabs>
          <w:tab w:leader="none" w:pos="6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having amended or otherwise refinanced its existing term loans and senior notes to extend the maturity of each to no earlier than February 19, 2028.</w:t>
      </w:r>
    </w:p>
    <w:p>
      <w:pPr>
        <w:spacing w:after="0" w:line="200" w:lineRule="exact"/>
        <w:rPr>
          <w:sz w:val="20"/>
          <w:szCs w:val="20"/>
          <w:color w:val="auto"/>
        </w:rPr>
      </w:pPr>
    </w:p>
    <w:p>
      <w:pPr>
        <w:spacing w:after="0" w:line="23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3" w:lineRule="exact"/>
        <w:rPr>
          <w:sz w:val="20"/>
          <w:szCs w:val="20"/>
          <w:color w:val="auto"/>
        </w:rPr>
      </w:pPr>
    </w:p>
    <w:p>
      <w:pPr>
        <w:ind w:right="340" w:firstLine="395"/>
        <w:spacing w:after="0" w:line="30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0"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The interim Consolidated Balance Sheet as of June 30, 2025, and the Consolidated Statements of Operations, Comprehensive Income and Stockholders’ Equity for the three and six months ended June 30, 2025 and 2024, and the Consolidated Statements of Cash Flows for the six months ended June 30, 2025 and 2024 are unaudited. The Consolidated Balance Sheet as of December 31, 2024,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June 30, 2025, and its consolidated results of operations, comprehensive income, stockholders’ equity and cash flows for the three and six months ended June 30, 2025 and 2024. The financial data and the other financial information disclosed in the notes to the financial statements related to these periods are also unaudited. The results of operations for the six months ended June 30, 2025 are not necessarily indicative of the results to be expected for the fiscal year ending December 31, 2025 or for any other future annual or interim period.</w:t>
      </w:r>
    </w:p>
    <w:p>
      <w:pPr>
        <w:spacing w:after="0" w:line="27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2024 included in the Company’s Annual Report on Form 10-K, which was filed with the SEC on February 25, 2025.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3"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bank deposits.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1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and credit losses based on an evaluation of (i) the aging of its accounts receivable considering historical receivables loss rates, (ii) on a customer-by-customer basis, where appropriate, and (iii) the economic environments in which the Company operates.</w:t>
      </w:r>
    </w:p>
    <w:p>
      <w:pPr>
        <w:spacing w:after="0" w:line="118"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For certain Data, Distribution, and Services transactions, the Company has $38.9 million of unbilled receivables of which $25.0 million are recorded in Accounts Receivable and $13.9 million are recorded in Other Assets, as of June 30, 2025.</w:t>
      </w:r>
    </w:p>
    <w:p>
      <w:pPr>
        <w:spacing w:after="0" w:line="90"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2025, the Company recorded bad debt expense of $1.0 million. As of June 30, 2025 and December 31, 2024, the Company’s allowance for doubtful accounts was approximately $3.7 million and $3.1 million, respectively. The allowance for doubtful accounts is included as a reduction of accounts receivable on the Consolidated Balance Sheets.</w:t>
      </w:r>
    </w:p>
    <w:p>
      <w:pPr>
        <w:spacing w:after="0" w:line="75"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has certain customer arrangements that contain financing elements. Interest income earned from these financing receivables is recorded on the effective interest method and is included within interest income on the Consolidated Statements of Operations. As of June 30, 2025 and December 31, 2024, approximately $9.2 million and $13.3 million of financing receivables, respectively, were included in accounts receivable and other assets on the Consolidated Balance Sheets.</w:t>
      </w:r>
    </w:p>
    <w:p>
      <w:pPr>
        <w:spacing w:after="0" w:line="78" w:lineRule="exact"/>
        <w:rPr>
          <w:sz w:val="20"/>
          <w:szCs w:val="20"/>
          <w:color w:val="auto"/>
        </w:rPr>
      </w:pPr>
    </w:p>
    <w:p>
      <w:pPr>
        <w:ind w:right="380" w:firstLine="395"/>
        <w:spacing w:after="0" w:line="268" w:lineRule="auto"/>
        <w:rPr>
          <w:sz w:val="20"/>
          <w:szCs w:val="20"/>
          <w:color w:val="auto"/>
        </w:rPr>
      </w:pPr>
      <w:r>
        <w:rPr>
          <w:rFonts w:ascii="Times New Roman" w:cs="Times New Roman" w:eastAsia="Times New Roman" w:hAnsi="Times New Roman"/>
          <w:sz w:val="18"/>
          <w:szCs w:val="18"/>
          <w:color w:val="auto"/>
        </w:rPr>
        <w:t>In addition, as of June 30, 2025 two customers accounted for approximately 40% of the accounts receivable balance. As of December 31, 2024, one customer accounted for approximately 17% of the accounts receivable balance.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13" w:lineRule="exact"/>
        <w:rPr>
          <w:sz w:val="20"/>
          <w:szCs w:val="20"/>
          <w:color w:val="auto"/>
        </w:rPr>
      </w:pPr>
    </w:p>
    <w:p>
      <w:pPr>
        <w:ind w:right="40" w:firstLine="395"/>
        <w:spacing w:after="0" w:line="252" w:lineRule="auto"/>
        <w:rPr>
          <w:sz w:val="20"/>
          <w:szCs w:val="20"/>
          <w:color w:val="auto"/>
        </w:rPr>
      </w:pPr>
      <w:r>
        <w:rPr>
          <w:rFonts w:ascii="Times New Roman" w:cs="Times New Roman" w:eastAsia="Times New Roman" w:hAnsi="Times New Roman"/>
          <w:sz w:val="18"/>
          <w:szCs w:val="18"/>
          <w:color w:val="auto"/>
        </w:rPr>
        <w:t>The Company establishes a chargeback allowance and sales refund reserve allowance based on factors surrounding historical credit card chargeback trends, historical sales refund trends and other information. As of June 30, 2025 and December 31, 2024, the Company’s combined allowance for chargebacks and sales refunds was $0.2 million and $0.3 million, respectively, which was included as a component of other current liabilities on the Consolidated Balance Sheets.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200" w:firstLine="395"/>
        <w:spacing w:after="0" w:line="252" w:lineRule="auto"/>
        <w:rPr>
          <w:sz w:val="20"/>
          <w:szCs w:val="20"/>
          <w:color w:val="auto"/>
        </w:rPr>
      </w:pPr>
      <w:r>
        <w:rPr>
          <w:rFonts w:ascii="Times New Roman" w:cs="Times New Roman" w:eastAsia="Times New Roman" w:hAnsi="Times New Roman"/>
          <w:sz w:val="18"/>
          <w:szCs w:val="18"/>
          <w:color w:val="auto"/>
        </w:rPr>
        <w:t>A significant portion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also generates revenue from tools available through the Company’s platform.</w:t>
      </w:r>
    </w:p>
    <w:p>
      <w:pPr>
        <w:spacing w:after="0" w:line="118"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8"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for subscription-based products in which the Customer obtains an allotted number of digital assets to download, the Company estimates expected unused licenses and recognizes the revenue associated with the unused licenses as digital assets are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unlimited download subscription-based products, the Company recognizes revenue in a manner that reflects estimated content download patterns during the subscription period. The estimate of content download patterns is based on historical download activities from the unlimited download products. Revenue associated with tools available through the Company’s platform is recognized on a straight-line basis over the subscription period. The Company expenses contract acquisition costs as incurred, to the extent that the amortization period would otherwise be one year or less.</w:t>
      </w:r>
    </w:p>
    <w:p>
      <w:pPr>
        <w:spacing w:after="0" w:line="129"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For customers making electronic payments, collectability is probable at the time the order or contract is entered. A significant portion of the Company’s customers purchase products by making electronic payments with a credit card at the time</w:t>
      </w:r>
    </w:p>
    <w:p>
      <w:pPr>
        <w:spacing w:after="0" w:line="200" w:lineRule="exact"/>
        <w:rPr>
          <w:sz w:val="20"/>
          <w:szCs w:val="20"/>
          <w:color w:val="auto"/>
        </w:rPr>
      </w:pPr>
    </w:p>
    <w:p>
      <w:pPr>
        <w:spacing w:after="0" w:line="36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1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also reports revenue net of return and chargeback allowances. These allowances are based off historical trends when available.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 and Long-term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360" w:firstLine="395"/>
        <w:spacing w:after="0" w:line="366" w:lineRule="auto"/>
        <w:rPr>
          <w:sz w:val="20"/>
          <w:szCs w:val="20"/>
          <w:color w:val="auto"/>
        </w:rPr>
      </w:pPr>
      <w:r>
        <w:rPr>
          <w:rFonts w:ascii="Times New Roman" w:cs="Times New Roman" w:eastAsia="Times New Roman" w:hAnsi="Times New Roman"/>
          <w:sz w:val="18"/>
          <w:szCs w:val="18"/>
          <w:color w:val="auto"/>
        </w:rPr>
        <w:t xml:space="preserve">The Company had no assets or liabilities requiring fair value hierarchy disclosures as of June 30, 2025 or December 31, 2024, except as noted below. </w:t>
      </w:r>
      <w:r>
        <w:rPr>
          <w:rFonts w:ascii="Times New Roman" w:cs="Times New Roman" w:eastAsia="Times New Roman" w:hAnsi="Times New Roman"/>
          <w:sz w:val="18"/>
          <w:szCs w:val="18"/>
          <w:i w:val="1"/>
          <w:iCs w:val="1"/>
          <w:color w:val="auto"/>
        </w:rPr>
        <w:t>Other Fair Value Measurements</w:t>
      </w: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Meitu, Inc. (“Meitu”)</w:t>
      </w:r>
    </w:p>
    <w:p>
      <w:pPr>
        <w:spacing w:after="0" w:line="137" w:lineRule="exact"/>
        <w:rPr>
          <w:sz w:val="20"/>
          <w:szCs w:val="20"/>
          <w:color w:val="auto"/>
        </w:rPr>
      </w:pPr>
    </w:p>
    <w:p>
      <w:pPr>
        <w:ind w:right="140" w:firstLine="395"/>
        <w:spacing w:after="0" w:line="303" w:lineRule="auto"/>
        <w:rPr>
          <w:sz w:val="20"/>
          <w:szCs w:val="20"/>
          <w:color w:val="auto"/>
        </w:rPr>
      </w:pPr>
      <w:r>
        <w:rPr>
          <w:rFonts w:ascii="Times New Roman" w:cs="Times New Roman" w:eastAsia="Times New Roman" w:hAnsi="Times New Roman"/>
          <w:sz w:val="16"/>
          <w:szCs w:val="16"/>
          <w:color w:val="auto"/>
        </w:rPr>
        <w:t>In 2018, the Company invested $15.0 million in convertible preferred shares issued by ZCool Technologies Limited (“ZCool”) (the “Preferred Shares”). ZCool’s primary business is the operation of an e-commerce platform in the People’s Republic of China (the “PRC”) whereby customers can pay to license content contributed by creative professionals. ZCool and its affiliates have been the exclusive distributor of Shutterstock content in China since 2014.</w:t>
      </w:r>
    </w:p>
    <w:p>
      <w:pPr>
        <w:spacing w:after="0" w:line="40" w:lineRule="exact"/>
        <w:rPr>
          <w:sz w:val="20"/>
          <w:szCs w:val="20"/>
          <w:color w:val="auto"/>
        </w:rPr>
      </w:pPr>
    </w:p>
    <w:p>
      <w:pPr>
        <w:ind w:right="100" w:firstLine="395"/>
        <w:spacing w:after="0" w:line="249" w:lineRule="auto"/>
        <w:rPr>
          <w:sz w:val="20"/>
          <w:szCs w:val="20"/>
          <w:color w:val="auto"/>
        </w:rPr>
      </w:pPr>
      <w:r>
        <w:rPr>
          <w:rFonts w:ascii="Times New Roman" w:cs="Times New Roman" w:eastAsia="Times New Roman" w:hAnsi="Times New Roman"/>
          <w:sz w:val="18"/>
          <w:szCs w:val="18"/>
          <w:color w:val="auto"/>
        </w:rPr>
        <w:t>On March 27, 2024, ZCool was acquired by Meitu, and the Company’s Preferred Shares in ZCool were exchanged for $18.4 million of Meitu common shares, resulting in an investment carrying value increase of $3.4 million, which is recorded in Other income, net in the Consolidated Statement of Operations. Meitu’s primary business is the provision of online advertising and other internet value added services in the PRC, and its common shares are publicly traded on the Main Board of The Stock Exchange of Hong Kong Limited. This investment is recorded at fair value on a recurring basis, with changes in fair value being recorded in Other income, net in the Consolidated Statement of Operations. Its fair value level hierarchy and amount at June 30, 2025 are as follows (in thousands):</w:t>
      </w:r>
    </w:p>
    <w:p>
      <w:pPr>
        <w:spacing w:after="0" w:line="113"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7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4"/>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51,869</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17,290</w:t>
            </w: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Investments</w:t>
      </w:r>
    </w:p>
    <w:p>
      <w:pPr>
        <w:spacing w:after="0" w:line="137" w:lineRule="exact"/>
        <w:rPr>
          <w:sz w:val="20"/>
          <w:szCs w:val="20"/>
          <w:color w:val="auto"/>
        </w:rPr>
      </w:pPr>
    </w:p>
    <w:p>
      <w:pPr>
        <w:jc w:val="both"/>
        <w:ind w:right="160" w:firstLine="395"/>
        <w:spacing w:after="0" w:line="249" w:lineRule="auto"/>
        <w:rPr>
          <w:sz w:val="20"/>
          <w:szCs w:val="20"/>
          <w:color w:val="auto"/>
        </w:rPr>
      </w:pPr>
      <w:r>
        <w:rPr>
          <w:rFonts w:ascii="Times New Roman" w:cs="Times New Roman" w:eastAsia="Times New Roman" w:hAnsi="Times New Roman"/>
          <w:sz w:val="18"/>
          <w:szCs w:val="18"/>
          <w:color w:val="auto"/>
        </w:rPr>
        <w:t>In connection with its Data, Distribution, and Services business, the Company may receive equity instruments in addition to cash for revenue contract consideration. As of June 30, 2025 and December 31, 2024, the Company had $30.5 million and $24.0 million, respectively, recorded in Other Assets in the Consolidated Balance Sheet from equity instruments received. The Company estimated the value of these equity instruments based on issuers’ recent market transactions at the time the instruments were received from the customers. The Company will use the measurement alternative for fair value since the equity instruments do not have a readily determinable fair value and will report the instruments at cost, adjusted for impairments or any observable price changes in ordinary transactions with identical or similar investments.</w:t>
      </w:r>
    </w:p>
    <w:p>
      <w:pPr>
        <w:spacing w:after="0" w:line="119" w:lineRule="exact"/>
        <w:rPr>
          <w:sz w:val="20"/>
          <w:szCs w:val="20"/>
          <w:color w:val="auto"/>
        </w:rPr>
      </w:pPr>
    </w:p>
    <w:p>
      <w:pPr>
        <w:ind w:right="220" w:firstLine="395"/>
        <w:spacing w:after="0" w:line="289" w:lineRule="auto"/>
        <w:rPr>
          <w:sz w:val="20"/>
          <w:szCs w:val="20"/>
          <w:color w:val="auto"/>
        </w:rPr>
      </w:pPr>
      <w:r>
        <w:rPr>
          <w:rFonts w:ascii="Times New Roman" w:cs="Times New Roman" w:eastAsia="Times New Roman" w:hAnsi="Times New Roman"/>
          <w:sz w:val="16"/>
          <w:szCs w:val="16"/>
          <w:color w:val="auto"/>
        </w:rPr>
        <w:t>As of December 31, 2024, the Company also had a long-term investment in an equity security with no readily determinable fair value totaling $5.0 million. The Company used the measurement alternative for fair value and the investment’s carrying value was reported at cost, adjusted for impairments or any observable price changes in ordinary transactions with identical or similar investments. In the second quarter of 2025, the issuer of this security raised additional capital at a valuation that would result in the Company not recovering its investment in a liquidation event. Accordingly, as of June 30, 2025, the Company concluded this investment was fully impaired and recorded a $5.0 million impairment charge in the three-month period ended June 30, 2025.</w:t>
      </w:r>
    </w:p>
    <w:p>
      <w:pPr>
        <w:spacing w:after="0" w:line="88" w:lineRule="exact"/>
        <w:rPr>
          <w:sz w:val="20"/>
          <w:szCs w:val="20"/>
          <w:color w:val="auto"/>
        </w:rPr>
      </w:pPr>
    </w:p>
    <w:p>
      <w:pPr>
        <w:ind w:right="9860" w:firstLine="5"/>
        <w:spacing w:after="0" w:line="454" w:lineRule="auto"/>
        <w:tabs>
          <w:tab w:leader="none" w:pos="239" w:val="left"/>
        </w:tabs>
        <w:numPr>
          <w:ilvl w:val="0"/>
          <w:numId w:val="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Acquisitions </w:t>
      </w:r>
      <w:r>
        <w:rPr>
          <w:rFonts w:ascii="Times New Roman" w:cs="Times New Roman" w:eastAsia="Times New Roman" w:hAnsi="Times New Roman"/>
          <w:sz w:val="16"/>
          <w:szCs w:val="16"/>
          <w:b w:val="1"/>
          <w:bCs w:val="1"/>
          <w:u w:val="single" w:color="auto"/>
          <w:color w:val="auto"/>
        </w:rPr>
        <w:t>2024 Acquisitions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Envato</w:t>
      </w:r>
    </w:p>
    <w:p>
      <w:pPr>
        <w:spacing w:after="0" w:line="98" w:lineRule="exact"/>
        <w:rPr>
          <w:sz w:val="20"/>
          <w:szCs w:val="20"/>
          <w:color w:val="auto"/>
        </w:rPr>
      </w:pPr>
    </w:p>
    <w:p>
      <w:pPr>
        <w:ind w:right="60" w:firstLine="395"/>
        <w:spacing w:after="0" w:line="234" w:lineRule="auto"/>
        <w:rPr>
          <w:sz w:val="20"/>
          <w:szCs w:val="20"/>
          <w:color w:val="auto"/>
        </w:rPr>
      </w:pPr>
      <w:r>
        <w:rPr>
          <w:rFonts w:ascii="Times New Roman" w:cs="Times New Roman" w:eastAsia="Times New Roman" w:hAnsi="Times New Roman"/>
          <w:sz w:val="18"/>
          <w:szCs w:val="18"/>
          <w:color w:val="auto"/>
        </w:rPr>
        <w:t>On July 22, 2024, the Company completed its acquisition of Envato Pty Ltd. (“Envato”) pursuant to a Share Purchase Agreement (the “Purchase Agreement”) entered into on May 1, 2024, to acquire all of the issued and outstanding capital stock of Envato. The aggregate amount paid by the Company, after customary working capital and other adjustments in accordance with the terms of the Purchase Agreement, was $250.2 million. The consideration was sourced with cash obtained through the A&amp;R Credit Agreement. See Note 9 Debt for more information. In connection with the acquisition, the Company incurred approximately $7.0 million of transaction costs in total, which are included in general and administrative expenses on the Consolidated Statements of Operations.</w:t>
      </w:r>
    </w:p>
    <w:p>
      <w:pPr>
        <w:spacing w:after="0" w:line="197" w:lineRule="exact"/>
        <w:rPr>
          <w:sz w:val="20"/>
          <w:szCs w:val="20"/>
          <w:color w:val="auto"/>
        </w:rPr>
      </w:pPr>
    </w:p>
    <w:p>
      <w:pPr>
        <w:ind w:firstLine="395"/>
        <w:spacing w:after="0" w:line="241" w:lineRule="auto"/>
        <w:rPr>
          <w:sz w:val="20"/>
          <w:szCs w:val="20"/>
          <w:color w:val="auto"/>
        </w:rPr>
      </w:pPr>
      <w:r>
        <w:rPr>
          <w:rFonts w:ascii="Times New Roman" w:cs="Times New Roman" w:eastAsia="Times New Roman" w:hAnsi="Times New Roman"/>
          <w:sz w:val="18"/>
          <w:szCs w:val="18"/>
          <w:color w:val="auto"/>
        </w:rPr>
        <w:t>Envato offers digital creative assets and templates, including Envato Elements, a creative subscription providing unlimited downloads of a diverse array of assets, templates, and more. The Company believes this acquisition complements Shutterstock’s existing offerings and expands its reach with faster growing audiences such as freelancers, hobbyists, small businesses and agencies.</w:t>
      </w:r>
    </w:p>
    <w:p>
      <w:pPr>
        <w:spacing w:after="0" w:line="205" w:lineRule="exact"/>
        <w:rPr>
          <w:sz w:val="20"/>
          <w:szCs w:val="20"/>
          <w:color w:val="auto"/>
        </w:rPr>
      </w:pPr>
    </w:p>
    <w:p>
      <w:pPr>
        <w:jc w:val="both"/>
        <w:ind w:right="240" w:firstLine="395"/>
        <w:spacing w:after="0" w:line="276" w:lineRule="auto"/>
        <w:rPr>
          <w:sz w:val="20"/>
          <w:szCs w:val="20"/>
          <w:color w:val="auto"/>
        </w:rPr>
      </w:pPr>
      <w:r>
        <w:rPr>
          <w:rFonts w:ascii="Times New Roman" w:cs="Times New Roman" w:eastAsia="Times New Roman" w:hAnsi="Times New Roman"/>
          <w:sz w:val="16"/>
          <w:szCs w:val="16"/>
          <w:color w:val="auto"/>
        </w:rPr>
        <w:t>The purchased assets included identifiable intangible assets, comprised of trademarks, developed technology and customer relationships, which have weighted average useful lives of approximately 10 years, 5 years and 6 years, respectively. The fair values of the trademark and developed technology were determined using the relief-from-royalty method, and the fair value of the customer relationships was determined using the excess of earnings method. The goodwill arising from the transaction is primarily attributable to expected operational synergies and is not deductible for income tax purposes.</w:t>
      </w:r>
    </w:p>
    <w:p>
      <w:pPr>
        <w:spacing w:after="0" w:line="1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Backgrid</w:t>
      </w:r>
    </w:p>
    <w:p>
      <w:pPr>
        <w:spacing w:after="0" w:line="150"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On February 1, 2024, the Company completed its acquisition of all of the outstanding shares of Backgrid USA, Inc. and Backgrid London LTD, (collectively, “Backgrid”), for approximately $20 million, subject to customary working capital adjustments. The total purchase price was paid with existing cash on hand. In connection with the acquisition, the Company incurred approximately $1.5 million of transaction costs in total, which are included in general and administrative expenses on the Consolidated Statements of Operations.</w:t>
      </w:r>
    </w:p>
    <w:p>
      <w:pPr>
        <w:spacing w:after="0" w:line="104"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Backgrid supplies media organizations with real-time celebrity content. The Company believes this acquisition expands Shutterstock Editorial’s Newsroom offering of editorial images and footage across celebrity, red carpet and live-events.</w:t>
      </w:r>
    </w:p>
    <w:p>
      <w:pPr>
        <w:spacing w:after="0" w:line="104" w:lineRule="exact"/>
        <w:rPr>
          <w:sz w:val="20"/>
          <w:szCs w:val="20"/>
          <w:color w:val="auto"/>
        </w:rPr>
      </w:pPr>
    </w:p>
    <w:p>
      <w:pPr>
        <w:ind w:right="24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trademark and developed technology, have useful lives of approximately 10 years and 5 years, respectively. The fair values of the trademark and developed technology were determined using the excess earnings and relief-from-royalty methods,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37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Envato and Backgrid transactions were accounted for using the acquisition method and, accordingly, the results of the acquired businesses have been included in the Company’s results of operations from the respective acquisition dates. The fair value of consideration transferred in these business combinations have been allocated to the intangible and tangible assets acquired and liabilities assumed at the acquisition date, with the remaining unallocated amount recorded as goodwill. The identifiable intangible assets of these acquisitions are being amortized on a straight-line basis.</w:t>
      </w:r>
    </w:p>
    <w:p>
      <w:pPr>
        <w:spacing w:after="0" w:line="104"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The aggregate purchase price for the Envato and Backgrid acquisitions have been allocated to the assets acquired and liabilities assumed as follows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Envato</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Backgrid</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6800" w:type="dxa"/>
            <w:vAlign w:val="bottom"/>
          </w:tcPr>
          <w:p>
            <w:pPr>
              <w:ind w:left="240"/>
              <w:spacing w:after="0" w:line="204" w:lineRule="exact"/>
              <w:rPr>
                <w:sz w:val="20"/>
                <w:szCs w:val="20"/>
                <w:color w:val="auto"/>
              </w:rPr>
            </w:pPr>
            <w:r>
              <w:rPr>
                <w:rFonts w:ascii="Times New Roman" w:cs="Times New Roman" w:eastAsia="Times New Roman" w:hAnsi="Times New Roman"/>
                <w:sz w:val="16"/>
                <w:szCs w:val="16"/>
                <w:color w:val="auto"/>
              </w:rPr>
              <w:t>Cash and cash equivalents</w:t>
            </w:r>
            <w:r>
              <w:rPr>
                <w:rFonts w:ascii="Times New Roman" w:cs="Times New Roman" w:eastAsia="Times New Roman" w:hAnsi="Times New Roman"/>
                <w:sz w:val="20"/>
                <w:szCs w:val="20"/>
                <w:color w:val="auto"/>
                <w:vertAlign w:val="superscript"/>
              </w:rPr>
              <w:t>1</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90,591</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1,718</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92,309</w:t>
            </w: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6,818</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7,550</w:t>
            </w:r>
          </w:p>
        </w:tc>
      </w:tr>
      <w:tr>
        <w:trPr>
          <w:trHeight w:val="209"/>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5,404</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5,481</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273</w:t>
            </w:r>
          </w:p>
        </w:tc>
      </w:tr>
      <w:tr>
        <w:trPr>
          <w:trHeight w:val="209"/>
        </w:trPr>
        <w:tc>
          <w:tcPr>
            <w:tcW w:w="6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Fixed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895</w:t>
            </w:r>
          </w:p>
        </w:tc>
      </w:tr>
      <w:tr>
        <w:trPr>
          <w:trHeight w:val="212"/>
        </w:trPr>
        <w:tc>
          <w:tcPr>
            <w:tcW w:w="6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9"/>
        </w:trPr>
        <w:tc>
          <w:tcPr>
            <w:tcW w:w="68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31,000</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34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31,300</w:t>
            </w:r>
          </w:p>
        </w:tc>
      </w:tr>
      <w:tr>
        <w:trPr>
          <w:trHeight w:val="212"/>
        </w:trPr>
        <w:tc>
          <w:tcPr>
            <w:tcW w:w="6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61,000</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61,900</w:t>
            </w:r>
          </w:p>
        </w:tc>
      </w:tr>
      <w:tr>
        <w:trPr>
          <w:trHeight w:val="209"/>
        </w:trPr>
        <w:tc>
          <w:tcPr>
            <w:tcW w:w="6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Customer relationships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14,200</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14,200</w:t>
            </w:r>
          </w:p>
        </w:tc>
      </w:tr>
      <w:tr>
        <w:trPr>
          <w:trHeight w:val="206"/>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106,200</w:t>
            </w:r>
          </w:p>
        </w:tc>
        <w:tc>
          <w:tcPr>
            <w:tcW w:w="2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107,400</w:t>
            </w:r>
          </w:p>
        </w:tc>
      </w:tr>
      <w:tr>
        <w:trPr>
          <w:trHeight w:val="204"/>
        </w:trPr>
        <w:tc>
          <w:tcPr>
            <w:tcW w:w="6800" w:type="dxa"/>
            <w:vAlign w:val="bottom"/>
          </w:tcPr>
          <w:p>
            <w:pPr>
              <w:ind w:left="240"/>
              <w:spacing w:after="0" w:line="204" w:lineRule="exact"/>
              <w:rPr>
                <w:sz w:val="20"/>
                <w:szCs w:val="20"/>
                <w:color w:val="auto"/>
              </w:rPr>
            </w:pPr>
            <w:r>
              <w:rPr>
                <w:rFonts w:ascii="Times New Roman" w:cs="Times New Roman" w:eastAsia="Times New Roman" w:hAnsi="Times New Roman"/>
                <w:sz w:val="16"/>
                <w:szCs w:val="16"/>
                <w:color w:val="auto"/>
              </w:rPr>
              <w:t>Goodwill</w:t>
            </w:r>
            <w:r>
              <w:rPr>
                <w:rFonts w:ascii="Times New Roman" w:cs="Times New Roman" w:eastAsia="Times New Roman" w:hAnsi="Times New Roman"/>
                <w:sz w:val="20"/>
                <w:szCs w:val="20"/>
                <w:color w:val="auto"/>
                <w:vertAlign w:val="superscript"/>
              </w:rPr>
              <w:t>2</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169,161</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19,843</w:t>
            </w:r>
          </w:p>
        </w:tc>
        <w:tc>
          <w:tcPr>
            <w:tcW w:w="340" w:type="dxa"/>
            <w:vAlign w:val="bottom"/>
          </w:tcPr>
          <w:p>
            <w:pPr>
              <w:spacing w:after="0"/>
              <w:rPr>
                <w:sz w:val="17"/>
                <w:szCs w:val="17"/>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189,004</w:t>
            </w: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asset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36,956</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36,956</w:t>
            </w:r>
          </w:p>
        </w:tc>
      </w:tr>
      <w:tr>
        <w:trPr>
          <w:trHeight w:val="202"/>
        </w:trPr>
        <w:tc>
          <w:tcPr>
            <w:tcW w:w="6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416,298</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23,570</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439,868</w:t>
            </w:r>
          </w:p>
        </w:tc>
      </w:tr>
      <w:tr>
        <w:trPr>
          <w:trHeight w:val="35"/>
        </w:trPr>
        <w:tc>
          <w:tcPr>
            <w:tcW w:w="68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w:t>
            </w:r>
          </w:p>
        </w:tc>
      </w:tr>
      <w:tr>
        <w:trPr>
          <w:trHeight w:val="209"/>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(11,917)</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(12,766)</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(30,233)</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(30,461)</w:t>
            </w:r>
          </w:p>
        </w:tc>
      </w:tr>
      <w:tr>
        <w:trPr>
          <w:trHeight w:val="209"/>
        </w:trPr>
        <w:tc>
          <w:tcPr>
            <w:tcW w:w="68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revenue</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(46,888)</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(46,888)</w:t>
            </w:r>
          </w:p>
        </w:tc>
      </w:tr>
      <w:tr>
        <w:trPr>
          <w:trHeight w:val="212"/>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tax liability</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11"/>
        </w:trPr>
        <w:tc>
          <w:tcPr>
            <w:tcW w:w="6800" w:type="dxa"/>
            <w:vAlign w:val="bottom"/>
          </w:tcPr>
          <w:p>
            <w:pPr>
              <w:ind w:left="240"/>
              <w:spacing w:after="0" w:line="210" w:lineRule="exact"/>
              <w:rPr>
                <w:sz w:val="20"/>
                <w:szCs w:val="20"/>
                <w:color w:val="auto"/>
              </w:rPr>
            </w:pPr>
            <w:r>
              <w:rPr>
                <w:rFonts w:ascii="Times New Roman" w:cs="Times New Roman" w:eastAsia="Times New Roman" w:hAnsi="Times New Roman"/>
                <w:sz w:val="16"/>
                <w:szCs w:val="16"/>
                <w:color w:val="auto"/>
              </w:rPr>
              <w:t>Other liabilities</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(72,682)</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(73,756)</w:t>
            </w:r>
          </w:p>
        </w:tc>
      </w:tr>
      <w:tr>
        <w:trPr>
          <w:trHeight w:val="211"/>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02"/>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(166,083)</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(168,505)</w:t>
            </w:r>
          </w:p>
        </w:tc>
      </w:tr>
      <w:tr>
        <w:trPr>
          <w:trHeight w:val="231"/>
        </w:trPr>
        <w:tc>
          <w:tcPr>
            <w:tcW w:w="6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250,215</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21,148</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271,363</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jc w:val="both"/>
        <w:ind w:right="420" w:firstLine="5"/>
        <w:spacing w:after="0" w:line="238" w:lineRule="auto"/>
        <w:tabs>
          <w:tab w:leader="none" w:pos="81"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Envato’s cash includes $63.4 million for the funding of Envato obligations that were triggered upon the closing of the acquisition (the “Envato Seller Obligations”). These obligations are also reported as assumed liabilities within Other liabilities. The Envato Obligations would not have been incurred had the acquisition not closed, and are presented “on-the-line” because they are not reflected in either the acquirer’s or acquiree’s statement of operations.</w:t>
      </w:r>
    </w:p>
    <w:p>
      <w:pPr>
        <w:spacing w:after="0" w:line="120" w:lineRule="exact"/>
        <w:rPr>
          <w:sz w:val="20"/>
          <w:szCs w:val="20"/>
          <w:color w:val="auto"/>
        </w:rPr>
      </w:pPr>
    </w:p>
    <w:p>
      <w:pPr>
        <w:ind w:right="180" w:firstLine="5"/>
        <w:spacing w:after="0" w:line="222" w:lineRule="auto"/>
        <w:tabs>
          <w:tab w:leader="none" w:pos="68" w:val="left"/>
        </w:tabs>
        <w:numPr>
          <w:ilvl w:val="0"/>
          <w:numId w:val="9"/>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In the first quarter of 2025, the Company updated its preliminary allocation of the Envato purchase price to the assets acquired and liabilities assumed. This resulted in (i) a $1.6 million increase to goodwill, (ii) a $0.4 million decrease to Deferred tax assets, and (iii) a $1.2 million increase to Other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 (unaudited)</w:t>
      </w:r>
    </w:p>
    <w:p>
      <w:pPr>
        <w:spacing w:after="0" w:line="111"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(in thousands) reflects the results of operations of the Company for the three and six months ended June 30, 2025 and 2024, respectively, as if the Envato and Backgrid acquisitions had been completed on January 1, 2023. These pro forma results have been prepared for comparative purposes only and are based on estimates and assumptions that have been made solely for purposes of developing such pro forma information and are not necessarily indicative of what the Company’s operating results would have been, had the acquisitions actually taken place at the beginning of the previous annual period.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6"/>
                <w:szCs w:val="16"/>
                <w:color w:val="auto"/>
              </w:rPr>
            </w:pPr>
          </w:p>
        </w:tc>
        <w:tc>
          <w:tcPr>
            <w:tcW w:w="2300" w:type="dxa"/>
            <w:vAlign w:val="bottom"/>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1"/>
        </w:trPr>
        <w:tc>
          <w:tcPr>
            <w:tcW w:w="52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89"/>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2"/>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220,053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434,368</w:t>
            </w:r>
          </w:p>
        </w:tc>
      </w:tr>
      <w:tr>
        <w:trPr>
          <w:trHeight w:val="209"/>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268,616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533,475</w:t>
            </w: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5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43,131</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16,560</w:t>
            </w:r>
          </w:p>
        </w:tc>
        <w:tc>
          <w:tcPr>
            <w:tcW w:w="8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63,549</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36,950</w:t>
            </w:r>
          </w:p>
        </w:tc>
      </w:tr>
      <w:tr>
        <w:trPr>
          <w:trHeight w:val="212"/>
        </w:trPr>
        <w:tc>
          <w:tcPr>
            <w:tcW w:w="5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19,429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48,567</w:t>
            </w: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80" w:type="dxa"/>
            <w:vAlign w:val="bottom"/>
          </w:tcPr>
          <w:p>
            <w:pPr>
              <w:spacing w:after="0"/>
              <w:rPr>
                <w:sz w:val="16"/>
                <w:szCs w:val="16"/>
                <w:color w:val="auto"/>
              </w:rPr>
            </w:pPr>
          </w:p>
        </w:tc>
        <w:tc>
          <w:tcPr>
            <w:tcW w:w="18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373,784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351,062</w:t>
            </w: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11,016</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20,739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20,451</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2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405,648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382,529</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8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(342,357)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(316,129)</w:t>
            </w:r>
          </w:p>
        </w:tc>
      </w:tr>
      <w:tr>
        <w:trPr>
          <w:trHeight w:val="202"/>
        </w:trPr>
        <w:tc>
          <w:tcPr>
            <w:tcW w:w="71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63,291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66,400</w:t>
            </w:r>
          </w:p>
        </w:tc>
      </w:tr>
      <w:tr>
        <w:trPr>
          <w:trHeight w:val="21"/>
        </w:trPr>
        <w:tc>
          <w:tcPr>
            <w:tcW w:w="7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60" w:firstLine="395"/>
        <w:spacing w:after="0" w:line="249"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$10.9 million and $10.4 million for the three months ended June 30, 2025 and 2024, respectively, and $21.5 million and $20.7 million for the six months ended June 30, 2025 and 2024, respectively. Cost of revenues included depreciation and amortization expense of $10.6 million and $10.0 million for the three months ended June 30, 2025 and 2024, respectively, and $20.9 million and $19.9 million for the six months ended June 30, 2025 and 2024, respectively. General and administrative expense included depreciation and amortization expense of $0.3 million and $0.4 million for the three months ended June 30, 2025 and 2024, respectively, and $0.6 million and $0.8 million for the six months ended June 30, 2025 and 2024, respectively.</w:t>
      </w:r>
    </w:p>
    <w:p>
      <w:pPr>
        <w:spacing w:after="0" w:line="80"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Depreciation and amortization expense is included in cost of revenue and general and administrative expense in the Consolidated Statements of Operations based on the nature of the asset being depreciated.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 capitalized costs related to the development of internal-use software of $11.3 million and $9.6 million for the three months ended June 30,</w:t>
      </w:r>
    </w:p>
    <w:p>
      <w:pPr>
        <w:spacing w:after="0" w:line="44" w:lineRule="exact"/>
        <w:rPr>
          <w:sz w:val="20"/>
          <w:szCs w:val="20"/>
          <w:color w:val="auto"/>
        </w:rPr>
      </w:pPr>
    </w:p>
    <w:p>
      <w:pPr>
        <w:ind w:right="460"/>
        <w:spacing w:after="0" w:line="248" w:lineRule="auto"/>
        <w:rPr>
          <w:sz w:val="20"/>
          <w:szCs w:val="20"/>
          <w:color w:val="auto"/>
        </w:rPr>
      </w:pPr>
      <w:r>
        <w:rPr>
          <w:rFonts w:ascii="Times New Roman" w:cs="Times New Roman" w:eastAsia="Times New Roman" w:hAnsi="Times New Roman"/>
          <w:sz w:val="18"/>
          <w:szCs w:val="18"/>
          <w:color w:val="auto"/>
        </w:rPr>
        <w:t>2025 and 2024, respectively, and $20.3 million and $18.6 million for the six months ended June 30, 2025 and 2024, respectively. Capitalized amounts are included as a component of property and equipment under computer equipment and software on the Consolidated Balance Sheets.</w:t>
      </w:r>
    </w:p>
    <w:p>
      <w:pPr>
        <w:spacing w:after="0" w:line="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$10.3 million and $9.8 million for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2025 and 2024, respectively, and $20.4 million and $19.4 million for the six months ended June 30, 2025 and 2024, respectively. Depreciation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capitalized internal-use software is included in cost of revenue in the Consolidated Statements of Operations.</w:t>
      </w:r>
    </w:p>
    <w:p>
      <w:pPr>
        <w:spacing w:after="0" w:line="91"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As of June 30, 2025 and December 31, 2024, the Company had capitalized internal-use software of $57.7 million and $57.8 million, respectively, net of accumulated depreciation, which was included in property and equipment, net.</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Company’s goodwill balance is attributable to its Content reporting unit and is tested for impairment annually on October 1 or upon a triggering event. No triggering events were identified during the six months ended June 30, 2025.</w:t>
      </w:r>
    </w:p>
    <w:p>
      <w:pPr>
        <w:spacing w:after="0" w:line="64" w:lineRule="exact"/>
        <w:rPr>
          <w:sz w:val="20"/>
          <w:szCs w:val="20"/>
          <w:color w:val="auto"/>
        </w:rPr>
      </w:pPr>
    </w:p>
    <w:p>
      <w:pPr>
        <w:ind w:right="3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the Company’s goodwill balance during the six months ended June 30, 2025 (in thousands):</w:t>
      </w:r>
    </w:p>
    <w:p>
      <w:pPr>
        <w:spacing w:after="0" w:line="1" w:lineRule="exact"/>
        <w:rPr>
          <w:sz w:val="20"/>
          <w:szCs w:val="20"/>
          <w:color w:val="auto"/>
        </w:rPr>
      </w:pPr>
    </w:p>
    <w:p>
      <w:pPr>
        <w:ind w:left="1008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42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2024</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Envato measurement period adjustment</w:t>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5495" cy="133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June 30, 2025</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1163" w:hanging="1163"/>
        <w:spacing w:after="0"/>
        <w:tabs>
          <w:tab w:leader="none" w:pos="1163"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569,668</w:t>
      </w:r>
    </w:p>
    <w:p>
      <w:pPr>
        <w:spacing w:after="0" w:line="26" w:lineRule="exact"/>
        <w:rPr>
          <w:rFonts w:ascii="Times New Roman" w:cs="Times New Roman" w:eastAsia="Times New Roman" w:hAnsi="Times New Roman"/>
          <w:sz w:val="16"/>
          <w:szCs w:val="16"/>
          <w:color w:val="auto"/>
        </w:rPr>
      </w:pPr>
    </w:p>
    <w:p>
      <w:pPr>
        <w:ind w:left="13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1,588</w:t>
      </w:r>
    </w:p>
    <w:p>
      <w:pPr>
        <w:spacing w:after="0" w:line="26" w:lineRule="exact"/>
        <w:rPr>
          <w:rFonts w:ascii="Times New Roman" w:cs="Times New Roman" w:eastAsia="Times New Roman" w:hAnsi="Times New Roman"/>
          <w:sz w:val="16"/>
          <w:szCs w:val="16"/>
          <w:color w:val="auto"/>
        </w:rPr>
      </w:pPr>
    </w:p>
    <w:p>
      <w:pPr>
        <w:ind w:left="1323"/>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9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20" w:lineRule="exact"/>
        <w:rPr>
          <w:sz w:val="20"/>
          <w:szCs w:val="20"/>
          <w:color w:val="auto"/>
        </w:rPr>
      </w:pPr>
    </w:p>
    <w:p>
      <w:pPr>
        <w:ind w:left="1163" w:hanging="1163"/>
        <w:spacing w:after="0"/>
        <w:tabs>
          <w:tab w:leader="none" w:pos="1163"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575,249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119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9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42545</wp:posOffset>
            </wp:positionV>
            <wp:extent cx="11195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9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777" w:space="720"/>
            <w:col w:w="1743"/>
          </w:cols>
          <w:pgMar w:left="320" w:top="121" w:right="3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consisted of the following as of June 30, 2025 and December 31, 2024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40" w:type="dxa"/>
            <w:vAlign w:val="bottom"/>
          </w:tcPr>
          <w:p>
            <w:pPr>
              <w:spacing w:after="0"/>
              <w:rPr>
                <w:sz w:val="10"/>
                <w:szCs w:val="10"/>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0"/>
                <w:szCs w:val="10"/>
                <w:color w:val="auto"/>
              </w:rPr>
            </w:pPr>
          </w:p>
        </w:tc>
        <w:tc>
          <w:tcPr>
            <w:tcW w:w="900" w:type="dxa"/>
            <w:vAlign w:val="bottom"/>
          </w:tcPr>
          <w:p>
            <w:pPr>
              <w:jc w:val="center"/>
              <w:ind w:right="124"/>
              <w:spacing w:after="0" w:line="125"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106,931</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(41,004)</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65,927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103,130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(34,847)</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68,283</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69,820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53,453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68,980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56,039</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180,408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78,853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90,420</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Acquired content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80,068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33,657</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437,486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(199,449)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238,037</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418,503</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(170,026)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248,477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Amortization expense was $11.7 million and $11.0 million for the three months ended June 30, 2025 and 2024, respectively, and $23.8 million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$22.0 million for the six months ended June 30, 2025 and 2024, respectively. Cost of revenue included amortization expense of $10.2 million and $10.0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2025 and 2024, respectively, and $20.7 million and $20.0 million for the six months ended June 30, 2025 and 2024,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respectively. General and administrative expense included amortization expense of $1.5 million and $1.0 million for the three months ended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respectively, and $3.1 million and $2.0 million for the six months ended June 30, 2025 and 2024, respectively.</w:t>
      </w:r>
    </w:p>
    <w:p>
      <w:pPr>
        <w:spacing w:after="0" w:line="91"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$23.7 million for the remaining six months of 2025, $45.3 million in 2026, $38.8 million in 2027, $35.9 million in 2028, $29.1 million in 2029, $17.7 million in 2030 and $47.6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66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7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37,680</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46,753</w:t>
            </w: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43,351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43,171</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9,568</w:t>
            </w:r>
          </w:p>
        </w:tc>
      </w:tr>
      <w:tr>
        <w:trPr>
          <w:trHeight w:val="209"/>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33,205</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27,151</w:t>
            </w:r>
          </w:p>
        </w:tc>
      </w:tr>
      <w:tr>
        <w:trPr>
          <w:trHeight w:val="229"/>
        </w:trPr>
        <w:tc>
          <w:tcPr>
            <w:tcW w:w="7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121,451</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126,643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As of June 30, 2025 and December 31, 2024, compensation-related accrued expenses included amounts due to Giphy employees for compensation earned pre-acquisition and severance costs associated with workforce optimizations. Approximately $1.5 million and $5.8 million of severance costs associated with workforce optimization is included within accrued expenses as of June 30, 2025 and December 31, 2024, respectively.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Debt</w:t>
      </w:r>
    </w:p>
    <w:p>
      <w:pPr>
        <w:spacing w:after="0" w:line="111"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On May 6, 2022, the Company entered into a five-year $100 million unsecured revolving loan facility (the “Credit Facility”) with Bank of America, N.A., as Administrative Agent and other lenders. The Credit Facility included a letter of credit sub-facility and a swingline facility and it also permitted,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On July 22, 2024, the Company entered into an amended and restated credit agreement (the “A&amp;R Credit Agreement”), which was entered into among the Company, as borrower, certain direct and indirect subsidiaries of the Company as guarantors, the lenders party thereto, and Bank of America, N.A., as Administrative Agent for the lenders. The A&amp;R Credit Agreement provides for a five-year (i) senior unsecured term loan facility (the “Term Loan”) in an aggregate principal amount $125 million and (ii) senior unsecured revolving credit facility (the “Revolver”) in an aggregate principal amount of $250 million. The A&amp;R Credit Agreement also provides for a letter of credit subfacility and a swingline facility.</w:t>
      </w:r>
    </w:p>
    <w:p>
      <w:pPr>
        <w:spacing w:after="0" w:line="80" w:lineRule="exact"/>
        <w:rPr>
          <w:sz w:val="20"/>
          <w:szCs w:val="20"/>
          <w:color w:val="auto"/>
        </w:rPr>
      </w:pPr>
    </w:p>
    <w:p>
      <w:pPr>
        <w:ind w:right="240" w:firstLine="395"/>
        <w:spacing w:after="0" w:line="249" w:lineRule="auto"/>
        <w:rPr>
          <w:sz w:val="20"/>
          <w:szCs w:val="20"/>
          <w:color w:val="auto"/>
        </w:rPr>
      </w:pPr>
      <w:r>
        <w:rPr>
          <w:rFonts w:ascii="Times New Roman" w:cs="Times New Roman" w:eastAsia="Times New Roman" w:hAnsi="Times New Roman"/>
          <w:sz w:val="18"/>
          <w:szCs w:val="18"/>
          <w:color w:val="auto"/>
        </w:rPr>
        <w:t>At the Company’s option, loans under the A&amp;R Credit Agreement accrue interest at a per annum rate based on either (i) the base rate plus a margin ranging from 0.375% to 0.750%, determined based on the Company’s consolidated net leverage ratio or (ii) the Term Secured Overnight Financing Rate (“SOFR”) (for interest periods of 1, 3 or 6 months) plus a margin ranging from 1.375% to 1.750%, determined based on the Company’s consolidated net leverage ratio, plus a credit spread of 0.100%. The Company is also required to pay an unused commitment fee ranging from 0.175% to 0.250%, determined based on the Company’s consolidated leverage ratio. In connection with the execution of this agreement, the Company paid debt issuance costs of approximately $2.2 million.</w:t>
      </w:r>
    </w:p>
    <w:p>
      <w:pPr>
        <w:spacing w:after="0" w:line="80"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A&amp;R Credit Agreement replaces the Company’s existing Credit Facility, which was fully repaid and terminated upon the effectiveness of the A&amp;R Credit Agreement. In connection with the closing of the Credit Facility, the Company repaid $30 million of existing outstanding borrowings and accrued interest.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June 30, 2025, the Company had a remaining borrowing capacity of $94 million, net of standby letters of credit.</w:t>
      </w:r>
    </w:p>
    <w:p>
      <w:pPr>
        <w:spacing w:after="0" w:line="109" w:lineRule="exact"/>
        <w:rPr>
          <w:sz w:val="20"/>
          <w:szCs w:val="20"/>
          <w:color w:val="auto"/>
        </w:rPr>
      </w:pPr>
    </w:p>
    <w:p>
      <w:pPr>
        <w:ind w:right="40" w:firstLine="395"/>
        <w:spacing w:after="0" w:line="303" w:lineRule="auto"/>
        <w:rPr>
          <w:sz w:val="20"/>
          <w:szCs w:val="20"/>
          <w:color w:val="auto"/>
        </w:rPr>
      </w:pPr>
      <w:r>
        <w:rPr>
          <w:rFonts w:ascii="Times New Roman" w:cs="Times New Roman" w:eastAsia="Times New Roman" w:hAnsi="Times New Roman"/>
          <w:sz w:val="16"/>
          <w:szCs w:val="16"/>
          <w:color w:val="auto"/>
        </w:rPr>
        <w:t>The A&amp;R Credit Agreement contains financial covenants and requirements restricting certain of the Company’s activities, which are customary for this type of credit facility. The Company is also required to maintain compliance with a consolidated leverage ratio and a consolidated interest coverage ratio, in each case, determined in accordance with the terms of the A&amp;R Credit Agreement. As of June 30, 2025, the Company was in compliance with these covenants.</w:t>
      </w:r>
    </w:p>
    <w:p>
      <w:pPr>
        <w:spacing w:after="0" w:line="40" w:lineRule="exact"/>
        <w:rPr>
          <w:sz w:val="20"/>
          <w:szCs w:val="20"/>
          <w:color w:val="auto"/>
        </w:rPr>
      </w:pPr>
    </w:p>
    <w:p>
      <w:pPr>
        <w:ind w:right="560" w:firstLine="395"/>
        <w:spacing w:after="0" w:line="268" w:lineRule="auto"/>
        <w:rPr>
          <w:sz w:val="20"/>
          <w:szCs w:val="20"/>
          <w:color w:val="auto"/>
        </w:rPr>
      </w:pPr>
      <w:r>
        <w:rPr>
          <w:rFonts w:ascii="Times New Roman" w:cs="Times New Roman" w:eastAsia="Times New Roman" w:hAnsi="Times New Roman"/>
          <w:sz w:val="18"/>
          <w:szCs w:val="18"/>
          <w:color w:val="auto"/>
        </w:rPr>
        <w:t>The Company’s outstanding debt (in thousands) is reflected in the table below. The Company classifies the Revolver as a current liability since the Company could draw upon and repay the outstanding amount as needed. The maturity of the Revolver is in 2029.</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7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155,000</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3,106</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118,119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119,598</w:t>
            </w:r>
          </w:p>
        </w:tc>
      </w:tr>
    </w:tbl>
    <w:p>
      <w:pPr>
        <w:spacing w:after="0" w:line="126"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Based on Level 2 inputs, the carrying value of the Company’s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75"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recognized interest expense of $4.2 million and $8.5 million, respectively. As of June 30, 2025, unamortized debt issuance cost related to the Term Loan - A&amp;R Credit Agreement is $0.6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 and Equity-Based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58"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The Company issued approximately 386,000 and 273,000 shares of common stock during the three months ended June 30, 2025 and 2024, respectively, related to the exercise of stock options and the vesting of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58"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In June 2023, the Company’s Board of Directors approved a share repurchase program (the “2023 Share Repurchase Program”), providing authorization to repurchase up to $100 million of its common stock.</w:t>
      </w:r>
    </w:p>
    <w:p>
      <w:pPr>
        <w:spacing w:after="0" w:line="64"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2023 Share Repurchase Program is subject to the Company having available cash to fund repurchases. Under the 2023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As of June 30, 2025, the Company has repurchased approximately 5.5 million shares of common stock under the 2023 Share Repurchase Program at an average per-share cost of $48.86. During the three and six months ended June 30, 2025, the Company did not repurchase any shares of common stock. During the three and six months ended June 30, 2024, the Company repurchased approximately 517,000 shares of its common stock at an average cost of $39.83, under the 2023 Share Repurchase Program. As of June 30, 2025, the Company had $30.2 million of remaining authorization for purchases under the 2023 Share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Company declared and paid cash dividends of $0.33 and $0.66 per share of common stock, or $11.6 million and $23.1 million during the three and six months ended June 30, 2025, respectively, and $0.30 and $0.60 per share of common stock, or $10.7 million and $21.3 million, during the three and six months ended June 30, 2024, respectively.</w:t>
      </w:r>
    </w:p>
    <w:p>
      <w:pPr>
        <w:spacing w:after="0" w:line="180" w:lineRule="exact"/>
        <w:rPr>
          <w:sz w:val="20"/>
          <w:szCs w:val="20"/>
          <w:color w:val="auto"/>
        </w:rPr>
      </w:pPr>
    </w:p>
    <w:p>
      <w:pPr>
        <w:ind w:right="400" w:firstLine="395"/>
        <w:spacing w:after="0" w:line="250" w:lineRule="auto"/>
        <w:rPr>
          <w:sz w:val="20"/>
          <w:szCs w:val="20"/>
          <w:color w:val="auto"/>
        </w:rPr>
      </w:pPr>
      <w:r>
        <w:rPr>
          <w:rFonts w:ascii="Times New Roman" w:cs="Times New Roman" w:eastAsia="Times New Roman" w:hAnsi="Times New Roman"/>
          <w:sz w:val="18"/>
          <w:szCs w:val="18"/>
          <w:color w:val="auto"/>
        </w:rPr>
        <w:t>On July 21, 2025, the Company’s Board of Directors declared a quarterly cash dividend of $0.33 per share of outstanding common stock payable on September 18, 2025 to stockholders of record at the close of business on September 4, 2025.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13"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 At the Annual Meeting held on June 6, 2024, the Company’s stockholders approved the Amended and Restated 2022 Omnibus Equity Incentive Plan (the “2022 Amended and Restated Plan”). Awards granted subsequent to June 6, 2024 were granted under the 2022 Amended and Restated Plan.</w:t>
      </w:r>
    </w:p>
    <w:p>
      <w:pPr>
        <w:spacing w:after="0" w:line="213"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and six months ended June 30, 2025 and 2024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20" w:type="dxa"/>
            <w:vAlign w:val="bottom"/>
          </w:tcPr>
          <w:p>
            <w:pPr>
              <w:spacing w:after="0"/>
              <w:rPr>
                <w:sz w:val="16"/>
                <w:szCs w:val="16"/>
                <w:color w:val="auto"/>
              </w:rPr>
            </w:pPr>
          </w:p>
        </w:tc>
      </w:tr>
      <w:tr>
        <w:trPr>
          <w:trHeight w:val="24"/>
        </w:trPr>
        <w:tc>
          <w:tcPr>
            <w:tcW w:w="5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21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r>
      <w:tr>
        <w:trPr>
          <w:trHeight w:val="209"/>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5,178</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w:t>
            </w:r>
          </w:p>
        </w:tc>
      </w:tr>
      <w:tr>
        <w:trPr>
          <w:trHeight w:val="209"/>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9,005</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7,338</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21,326</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13,968</w:t>
            </w:r>
          </w:p>
        </w:tc>
      </w:tr>
      <w:tr>
        <w:trPr>
          <w:trHeight w:val="229"/>
        </w:trPr>
        <w:tc>
          <w:tcPr>
            <w:tcW w:w="5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15,625</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14,976</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33,509</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26,126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For the three and six months ended June 30, 2025 and 2024, substantially all of the Company’s non-cash equity-based compensation expense related to RSUs.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16" w:lineRule="exact"/>
        <w:rPr>
          <w:sz w:val="20"/>
          <w:szCs w:val="20"/>
          <w:color w:val="auto"/>
        </w:rPr>
      </w:pPr>
    </w:p>
    <w:p>
      <w:pPr>
        <w:ind w:right="900" w:firstLine="395"/>
        <w:spacing w:after="0" w:line="268" w:lineRule="auto"/>
        <w:rPr>
          <w:sz w:val="20"/>
          <w:szCs w:val="20"/>
          <w:color w:val="auto"/>
        </w:rPr>
      </w:pPr>
      <w:r>
        <w:rPr>
          <w:rFonts w:ascii="Times New Roman" w:cs="Times New Roman" w:eastAsia="Times New Roman" w:hAnsi="Times New Roman"/>
          <w:sz w:val="18"/>
          <w:szCs w:val="18"/>
          <w:color w:val="auto"/>
        </w:rPr>
        <w:t>During the six months ended June 30, 2025, no options to purchase shares of its common stock were granted. As of June 30, 2025, there were approximately 264,000 options vested and exercisable with a weighted average exercise price of $32.95.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58"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During the six months ended June 30, 2025, the Company had RSU grants, net of forfeitures, of approximately 2,872,000. As of June 30, 2025, there are approximately 5,094,000 non-vested RSUs outstanding with a weighted average grant-date fair value of $28.10. As of June 30, 2025, the total unrecognized non-cash equity-based compensation expense related to the non-vested RSUs was approximately $92.6 million, which is expected to be recognized through 2029.</w:t>
      </w:r>
    </w:p>
    <w:p>
      <w:pPr>
        <w:spacing w:after="0" w:line="78"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During the six months ended June 30, 2025 and 2024, shares of common stock with an aggregate value of $5.0 million and $8.9 million were withheld upon vesting of RSUs and paid in connection with related remittance of employee withholding taxes to taxing authorities.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offerings:</w:t>
      </w:r>
    </w:p>
    <w:p>
      <w:pPr>
        <w:spacing w:after="0" w:line="107" w:lineRule="exact"/>
        <w:rPr>
          <w:sz w:val="20"/>
          <w:szCs w:val="20"/>
          <w:color w:val="auto"/>
        </w:rPr>
      </w:pPr>
    </w:p>
    <w:p>
      <w:pPr>
        <w:ind w:right="40" w:firstLine="395"/>
        <w:spacing w:after="0" w:line="284" w:lineRule="auto"/>
        <w:rPr>
          <w:sz w:val="20"/>
          <w:szCs w:val="20"/>
          <w:color w:val="auto"/>
        </w:rPr>
      </w:pPr>
      <w:r>
        <w:rPr>
          <w:rFonts w:ascii="Times New Roman" w:cs="Times New Roman" w:eastAsia="Times New Roman" w:hAnsi="Times New Roman"/>
          <w:sz w:val="16"/>
          <w:szCs w:val="16"/>
          <w:i w:val="1"/>
          <w:iCs w:val="1"/>
          <w:color w:val="auto"/>
        </w:rPr>
        <w:t>Content</w:t>
      </w:r>
      <w:r>
        <w:rPr>
          <w:rFonts w:ascii="Times New Roman" w:cs="Times New Roman" w:eastAsia="Times New Roman" w:hAnsi="Times New Roman"/>
          <w:sz w:val="16"/>
          <w:szCs w:val="16"/>
          <w:color w:val="auto"/>
        </w:rPr>
        <w:t>: The majority of the Company’s customers license image, video, music and 3D content for commercial purposes either directly through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Company’s self-service web properties or through the Company’s dedicated sales teams. Content customers have the flexibility to purchase subscription-based plans that are paid on a monthly or annual basis. Customers are also able to license content on a transactional basis. These customers generally license content under the Company’s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200" w:lineRule="exact"/>
        <w:rPr>
          <w:sz w:val="20"/>
          <w:szCs w:val="20"/>
          <w:color w:val="auto"/>
        </w:rPr>
      </w:pPr>
    </w:p>
    <w:p>
      <w:pPr>
        <w:spacing w:after="0" w:line="33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jc w:val="both"/>
        <w:ind w:right="1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Data, Distribution, and Services</w:t>
      </w:r>
      <w:r>
        <w:rPr>
          <w:rFonts w:ascii="Times New Roman" w:cs="Times New Roman" w:eastAsia="Times New Roman" w:hAnsi="Times New Roman"/>
          <w:sz w:val="18"/>
          <w:szCs w:val="18"/>
          <w:color w:val="auto"/>
        </w:rPr>
        <w:t>: The Company’s Data, Distribution, and Services offerings address customer demand for products and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the stock image, footage music and 3D model licenses. These offerings include access to the Company’s metadata for machine learning and generative artificial intelligence model training and high-quality production and custom content at scale provided by Shutterstock Studios.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product offering for the three and six months ended June 30, 2025 and 2024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Pr>
          <w:p>
            <w:pPr>
              <w:spacing w:after="0"/>
              <w:rPr>
                <w:sz w:val="16"/>
                <w:szCs w:val="16"/>
                <w:color w:val="auto"/>
              </w:rPr>
            </w:pPr>
          </w:p>
        </w:tc>
      </w:tr>
      <w:tr>
        <w:trPr>
          <w:trHeight w:val="24"/>
        </w:trPr>
        <w:tc>
          <w:tcPr>
            <w:tcW w:w="53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0"/>
        </w:trPr>
        <w:tc>
          <w:tcPr>
            <w:tcW w:w="5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53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0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199,796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402,684</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343,781</w:t>
            </w:r>
          </w:p>
        </w:tc>
      </w:tr>
      <w:tr>
        <w:trPr>
          <w:trHeight w:val="209"/>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67,194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106,926</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90,587</w:t>
            </w:r>
          </w:p>
        </w:tc>
      </w:tr>
      <w:tr>
        <w:trPr>
          <w:trHeight w:val="231"/>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266,990</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509,610</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434,368</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 w:firstLine="395"/>
        <w:spacing w:after="0" w:line="246" w:lineRule="auto"/>
        <w:rPr>
          <w:sz w:val="20"/>
          <w:szCs w:val="20"/>
          <w:color w:val="auto"/>
        </w:rPr>
      </w:pPr>
      <w:r>
        <w:rPr>
          <w:rFonts w:ascii="Times New Roman" w:cs="Times New Roman" w:eastAsia="Times New Roman" w:hAnsi="Times New Roman"/>
          <w:sz w:val="18"/>
          <w:szCs w:val="18"/>
          <w:color w:val="auto"/>
        </w:rPr>
        <w:t>Deferred revenue reported on the balance sheet represents unfulfilled performance obligations for which the Company has either received payment or has outstanding receivables. The June 30, 2025 deferred revenue balance will be earned as content is downloaded or upon the expiration of subscription-based products, and nearly all is expected to be earned within the next twelve months. $161.9 million of total revenue recognized for the six months ended June 30, 2025 was reflected in deferred revenue as of December 31, 2024. In addition, as of June 30, 2025, the Company has approximately $33.3 million of contracted but unsatisfied performance obligations relating primarily to our data deal offerings, which are not included as a component of deferred revenue and that the Company expects to recognize over a five year period. In certain of the Company’s data deal contracts, the Company has provided customers with the right to cancel and has estimated a refund reserve. Should these cancellation rights not be exercised, this refund reserve would convert to revenue. For the three months ended June 30, 2025, the Company recognized $4.9 million of revenue from the reversal of refund reserves. As of June 30, 2025, the Company does not have a refund reserve liability. As of December 31, 2024, the total refund reserve related to these contracts is $7.3 million and $5.7 million and is recorded in Other current liabilities and Other non-current liabilities, respectively.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Income,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and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and six months ended June 30, 2025 and 2024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3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w w:val="98"/>
              </w:rPr>
              <w:t>(1,482)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w w:val="98"/>
              </w:rPr>
              <w:t>(1,162)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long-term investment</w:t>
            </w:r>
          </w:p>
        </w:tc>
        <w:tc>
          <w:tcPr>
            <w:tcW w:w="860" w:type="dxa"/>
            <w:vAlign w:val="bottom"/>
          </w:tcPr>
          <w:p>
            <w:pPr>
              <w:spacing w:after="0"/>
              <w:rPr>
                <w:sz w:val="18"/>
                <w:szCs w:val="18"/>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98"/>
              </w:rPr>
              <w:t>(5,000)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98"/>
              </w:rPr>
              <w:t>(5,000)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unrealized gain / (loss) on investments, and other</w:t>
            </w: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19,106</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(2,277)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33,301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2,521</w:t>
            </w:r>
          </w:p>
        </w:tc>
      </w:tr>
      <w:tr>
        <w:trPr>
          <w:trHeight w:val="202"/>
        </w:trPr>
        <w:tc>
          <w:tcPr>
            <w:tcW w:w="5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income, net</w:t>
            </w:r>
          </w:p>
        </w:tc>
        <w:tc>
          <w:tcPr>
            <w:tcW w:w="860" w:type="dxa"/>
            <w:vAlign w:val="bottom"/>
            <w:tcBorders>
              <w:bottom w:val="single" w:sz="8" w:color="auto"/>
            </w:tcBorders>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12,624</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(3,545)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1"/>
        </w:trPr>
        <w:tc>
          <w:tcPr>
            <w:tcW w:w="5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111"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The Company’s effective tax rates yielded a net expense of 31.7% and 78.1% for the three months ended June 30, 2025 and 2024, respectively, and a net expense of 24.3% and 46.6% for the six months ended June 30, 2025 and 2024, respectively.</w:t>
      </w:r>
    </w:p>
    <w:p>
      <w:pPr>
        <w:spacing w:after="0" w:line="64" w:lineRule="exact"/>
        <w:rPr>
          <w:sz w:val="20"/>
          <w:szCs w:val="20"/>
          <w:color w:val="auto"/>
        </w:rPr>
      </w:pPr>
    </w:p>
    <w:p>
      <w:pPr>
        <w:ind w:right="140" w:firstLine="395"/>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2025, the net effect of discrete items increased the effective tax rate by 2.3% and decreased the effective tax rate by 4.7%, respectively. The discrete items for the three months ended June 30, 2025, primarily relate to shortfalls on equity award vestings, partially offset by a decrease in the valuation allowance. The discrete items for the six months ended June 30, 2025 primarily relate to a decrease in the valuation allowance, partially offset by shortfalls on equity award vestings. Excluding discrete items, the Company’s effective tax rate would have been 29.4% and 29.0% for the three and six months ended June 30, 2025, respectively.</w:t>
      </w:r>
    </w:p>
    <w:p>
      <w:pPr>
        <w:spacing w:after="0" w:line="80" w:lineRule="exact"/>
        <w:rPr>
          <w:sz w:val="20"/>
          <w:szCs w:val="20"/>
          <w:color w:val="auto"/>
        </w:rPr>
      </w:pPr>
    </w:p>
    <w:p>
      <w:pPr>
        <w:ind w:right="160" w:firstLine="395"/>
        <w:spacing w:after="0" w:line="252" w:lineRule="auto"/>
        <w:rPr>
          <w:sz w:val="20"/>
          <w:szCs w:val="20"/>
          <w:color w:val="auto"/>
        </w:rPr>
      </w:pPr>
      <w:r>
        <w:rPr>
          <w:rFonts w:ascii="Times New Roman" w:cs="Times New Roman" w:eastAsia="Times New Roman" w:hAnsi="Times New Roman"/>
          <w:sz w:val="18"/>
          <w:szCs w:val="18"/>
          <w:color w:val="auto"/>
        </w:rPr>
        <w:t>During the three and six months ended June 30, 2024, the net effect of discrete items increased the effective tax rate by 59.7% and 27.6%, respectively. The discrete items for the three and six months ended June 30, 2024 relate to shortfalls on equity award vestings and a one time charge of $6.3 million related to the reversal of a deferred tax asset resulting from the expiration of equity awards granted to the Company’s Founder and Executive Chairman. Excluding discrete items, the</w:t>
      </w:r>
    </w:p>
    <w:p>
      <w:pPr>
        <w:spacing w:after="0" w:line="200" w:lineRule="exact"/>
        <w:rPr>
          <w:sz w:val="20"/>
          <w:szCs w:val="20"/>
          <w:color w:val="auto"/>
        </w:rPr>
      </w:pPr>
    </w:p>
    <w:p>
      <w:pPr>
        <w:spacing w:after="0" w:line="3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effective tax rate would have been 18.4% and 19.0% for the three and six months ended June 30, 2024, respectively.</w:t>
      </w:r>
    </w:p>
    <w:p>
      <w:pPr>
        <w:spacing w:after="0" w:line="109" w:lineRule="exact"/>
        <w:rPr>
          <w:sz w:val="20"/>
          <w:szCs w:val="20"/>
          <w:color w:val="auto"/>
        </w:rPr>
      </w:pPr>
    </w:p>
    <w:p>
      <w:pPr>
        <w:ind w:right="440" w:firstLine="395"/>
        <w:spacing w:after="0" w:line="268"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a loss jurisdiction with no tax benefit and the application of discrete items, if any, in the applicable period.</w:t>
      </w:r>
    </w:p>
    <w:p>
      <w:pPr>
        <w:spacing w:after="0" w:line="64" w:lineRule="exact"/>
        <w:rPr>
          <w:sz w:val="20"/>
          <w:szCs w:val="20"/>
          <w:color w:val="auto"/>
        </w:rPr>
      </w:pPr>
    </w:p>
    <w:p>
      <w:pPr>
        <w:jc w:val="both"/>
        <w:ind w:right="460" w:firstLine="395"/>
        <w:spacing w:after="0" w:line="250" w:lineRule="auto"/>
        <w:rPr>
          <w:sz w:val="20"/>
          <w:szCs w:val="20"/>
          <w:color w:val="auto"/>
        </w:rPr>
      </w:pPr>
      <w:r>
        <w:rPr>
          <w:rFonts w:ascii="Times New Roman" w:cs="Times New Roman" w:eastAsia="Times New Roman" w:hAnsi="Times New Roman"/>
          <w:sz w:val="18"/>
          <w:szCs w:val="18"/>
          <w:color w:val="auto"/>
        </w:rPr>
        <w:t>During the three and six months ended June 30, 2025, additions to unrecognized tax benefits recorded were not significant. During the three and six months ended 2024, additions to unrecognized tax benefits recorded by the Company were not significant. To the extent the remaining unrecognized tax benefits are ultimately recognized, the Company’s effective tax rate may be impacted in future periods.</w:t>
      </w:r>
    </w:p>
    <w:p>
      <w:pPr>
        <w:spacing w:after="0" w:line="3" w:lineRule="exact"/>
        <w:rPr>
          <w:sz w:val="20"/>
          <w:szCs w:val="20"/>
          <w:color w:val="auto"/>
        </w:rPr>
      </w:pPr>
    </w:p>
    <w:p>
      <w:pPr>
        <w:ind w:right="100" w:firstLine="395"/>
        <w:spacing w:after="0" w:line="24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significant for the three and six months ended June 30, 2025 and 2024.</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During the six months ended June 30, 2025 and 2024, the Company paid net cash taxes of $14.7 million and $12.6 million, respectively.</w:t>
      </w:r>
    </w:p>
    <w:p>
      <w:pPr>
        <w:spacing w:after="0" w:line="109" w:lineRule="exact"/>
        <w:rPr>
          <w:sz w:val="20"/>
          <w:szCs w:val="20"/>
          <w:color w:val="auto"/>
        </w:rPr>
      </w:pPr>
    </w:p>
    <w:p>
      <w:pPr>
        <w:ind w:right="140" w:firstLine="395"/>
        <w:spacing w:after="0" w:line="268" w:lineRule="auto"/>
        <w:rPr>
          <w:sz w:val="20"/>
          <w:szCs w:val="20"/>
          <w:color w:val="auto"/>
        </w:rPr>
      </w:pPr>
      <w:r>
        <w:rPr>
          <w:rFonts w:ascii="Times New Roman" w:cs="Times New Roman" w:eastAsia="Times New Roman" w:hAnsi="Times New Roman"/>
          <w:sz w:val="18"/>
          <w:szCs w:val="18"/>
          <w:color w:val="auto"/>
        </w:rPr>
        <w:t>On July 4, 2025, new tax legislation known as the “One Big Beautiful Bill Act”, or “OBBBA”, was signed into law. Management is currently evaluating the OBBBA and its impact on the Company’s financial position, operations and cash flows.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Income Per Share</w:t>
      </w:r>
    </w:p>
    <w:p>
      <w:pPr>
        <w:spacing w:after="0" w:line="15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101" w:lineRule="exact"/>
        <w:rPr>
          <w:sz w:val="20"/>
          <w:szCs w:val="20"/>
          <w:color w:val="auto"/>
        </w:rPr>
      </w:pPr>
    </w:p>
    <w:p>
      <w:pPr>
        <w:ind w:right="24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and six months ended June 30, 2025 and 2024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5"/>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29,440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19,746</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3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35,257</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35,697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35,075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35,644</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1"/>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06"/>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35,958</w:t>
            </w:r>
          </w:p>
        </w:tc>
        <w:tc>
          <w:tcPr>
            <w:tcW w:w="1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35,982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35,642</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36,023</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5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111"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The Company is currently organized and operates as one operating and reportable segment on a consolidated basis. The Company’s revenues are supported by its searchable creative platform and driven by its large contributor network. The Company’s chief executive officer, who is its chief operating decision maker (“CODM”), evaluates the performance of the Company’s operating segment based on net income. The CODM considers budget-to-actual variances when making decisions about capital allocation to the segment. Asset information is not provided to the Company’s CODM as that information is not used in the determination of resource allocation or in assessing the performance of the Company’s segment.</w:t>
      </w:r>
    </w:p>
    <w:p>
      <w:pPr>
        <w:spacing w:after="0" w:line="212" w:lineRule="exact"/>
        <w:rPr>
          <w:sz w:val="20"/>
          <w:szCs w:val="20"/>
          <w:color w:val="auto"/>
        </w:rPr>
      </w:pPr>
    </w:p>
    <w:p>
      <w:pPr>
        <w:ind w:right="16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reconciles the company’s revenues and significant operating expense categories used to evaluate the business and allocate resources to Net income:</w:t>
      </w:r>
    </w:p>
    <w:tbl>
      <w:tblPr>
        <w:tblLayout w:type="fixed"/>
        <w:tblInd w:w="0" w:type="dxa"/>
        <w:tblCellMar>
          <w:top w:w="0" w:type="dxa"/>
          <w:left w:w="0" w:type="dxa"/>
          <w:bottom w:w="0" w:type="dxa"/>
          <w:right w:w="0" w:type="dxa"/>
        </w:tblCellMar>
      </w:tblPr>
      <w:tr>
        <w:trPr>
          <w:trHeight w:val="145"/>
        </w:trPr>
        <w:tc>
          <w:tcPr>
            <w:tcW w:w="6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2"/>
                <w:szCs w:val="12"/>
                <w:color w:val="auto"/>
              </w:rPr>
            </w:pPr>
          </w:p>
        </w:tc>
        <w:tc>
          <w:tcPr>
            <w:tcW w:w="2260" w:type="dxa"/>
            <w:vAlign w:val="bottom"/>
            <w:gridSpan w:val="4"/>
          </w:tcPr>
          <w:p>
            <w:pPr>
              <w:ind w:left="440"/>
              <w:spacing w:after="0" w:line="145"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6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266,990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434,368</w:t>
            </w:r>
          </w:p>
        </w:tc>
        <w:tc>
          <w:tcPr>
            <w:tcW w:w="0" w:type="dxa"/>
            <w:vAlign w:val="bottom"/>
          </w:tcPr>
          <w:p>
            <w:pPr>
              <w:spacing w:after="0"/>
              <w:rPr>
                <w:sz w:val="1"/>
                <w:szCs w:val="1"/>
                <w:color w:val="auto"/>
              </w:rPr>
            </w:pPr>
          </w:p>
        </w:tc>
      </w:tr>
      <w:tr>
        <w:trPr>
          <w:trHeight w:val="209"/>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Technology costs</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20,623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32,021</w:t>
            </w:r>
          </w:p>
        </w:tc>
        <w:tc>
          <w:tcPr>
            <w:tcW w:w="0" w:type="dxa"/>
            <w:vAlign w:val="bottom"/>
          </w:tcPr>
          <w:p>
            <w:pPr>
              <w:spacing w:after="0"/>
              <w:rPr>
                <w:sz w:val="1"/>
                <w:szCs w:val="1"/>
                <w:color w:val="auto"/>
              </w:rPr>
            </w:pPr>
          </w:p>
        </w:tc>
      </w:tr>
      <w:tr>
        <w:trPr>
          <w:trHeight w:val="209"/>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Advertising costs</w:t>
            </w:r>
          </w:p>
        </w:tc>
        <w:tc>
          <w:tcPr>
            <w:tcW w:w="24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21,765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45,397</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Adjusted cost of revenue</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94,861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184,293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160,216</w:t>
            </w:r>
          </w:p>
        </w:tc>
        <w:tc>
          <w:tcPr>
            <w:tcW w:w="0" w:type="dxa"/>
            <w:vAlign w:val="bottom"/>
          </w:tcPr>
          <w:p>
            <w:pPr>
              <w:spacing w:after="0"/>
              <w:rPr>
                <w:sz w:val="1"/>
                <w:szCs w:val="1"/>
                <w:color w:val="auto"/>
              </w:rPr>
            </w:pPr>
          </w:p>
        </w:tc>
      </w:tr>
      <w:tr>
        <w:trPr>
          <w:trHeight w:val="211"/>
        </w:trPr>
        <w:tc>
          <w:tcPr>
            <w:tcW w:w="602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Adjusted sales and marketing</w:t>
            </w:r>
            <w:r>
              <w:rPr>
                <w:rFonts w:ascii="Times New Roman" w:cs="Times New Roman" w:eastAsia="Times New Roman" w:hAnsi="Times New Roman"/>
                <w:sz w:val="20"/>
                <w:szCs w:val="20"/>
                <w:color w:val="auto"/>
                <w:vertAlign w:val="superscript"/>
              </w:rPr>
              <w:t>1</w:t>
            </w:r>
          </w:p>
        </w:tc>
        <w:tc>
          <w:tcPr>
            <w:tcW w:w="240" w:type="dxa"/>
            <w:vAlign w:val="bottom"/>
          </w:tcPr>
          <w:p>
            <w:pPr>
              <w:spacing w:after="0"/>
              <w:rPr>
                <w:sz w:val="18"/>
                <w:szCs w:val="18"/>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64,541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60,273</w:t>
            </w:r>
          </w:p>
        </w:tc>
        <w:tc>
          <w:tcPr>
            <w:tcW w:w="0" w:type="dxa"/>
            <w:vAlign w:val="bottom"/>
          </w:tcPr>
          <w:p>
            <w:pPr>
              <w:spacing w:after="0"/>
              <w:rPr>
                <w:sz w:val="1"/>
                <w:szCs w:val="1"/>
                <w:color w:val="auto"/>
              </w:rPr>
            </w:pPr>
          </w:p>
        </w:tc>
      </w:tr>
      <w:tr>
        <w:trPr>
          <w:trHeight w:val="211"/>
        </w:trPr>
        <w:tc>
          <w:tcPr>
            <w:tcW w:w="602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Adjusted product and development</w:t>
            </w:r>
            <w:r>
              <w:rPr>
                <w:rFonts w:ascii="Times New Roman" w:cs="Times New Roman" w:eastAsia="Times New Roman" w:hAnsi="Times New Roman"/>
                <w:sz w:val="20"/>
                <w:szCs w:val="20"/>
                <w:color w:val="auto"/>
                <w:vertAlign w:val="superscript"/>
              </w:rPr>
              <w:t>1</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16,310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37,770</w:t>
            </w:r>
          </w:p>
        </w:tc>
        <w:tc>
          <w:tcPr>
            <w:tcW w:w="0" w:type="dxa"/>
            <w:vAlign w:val="bottom"/>
          </w:tcPr>
          <w:p>
            <w:pPr>
              <w:spacing w:after="0"/>
              <w:rPr>
                <w:sz w:val="1"/>
                <w:szCs w:val="1"/>
                <w:color w:val="auto"/>
              </w:rPr>
            </w:pPr>
          </w:p>
        </w:tc>
      </w:tr>
      <w:tr>
        <w:trPr>
          <w:trHeight w:val="211"/>
        </w:trPr>
        <w:tc>
          <w:tcPr>
            <w:tcW w:w="6020" w:type="dxa"/>
            <w:vAlign w:val="bottom"/>
            <w:tcBorders>
              <w:bottom w:val="single" w:sz="8" w:color="CCEEFF"/>
            </w:tcBorders>
          </w:tcPr>
          <w:p>
            <w:pPr>
              <w:ind w:left="140"/>
              <w:spacing w:after="0" w:line="210" w:lineRule="exact"/>
              <w:rPr>
                <w:sz w:val="20"/>
                <w:szCs w:val="20"/>
                <w:color w:val="auto"/>
              </w:rPr>
            </w:pPr>
            <w:r>
              <w:rPr>
                <w:rFonts w:ascii="Times New Roman" w:cs="Times New Roman" w:eastAsia="Times New Roman" w:hAnsi="Times New Roman"/>
                <w:sz w:val="16"/>
                <w:szCs w:val="16"/>
                <w:color w:val="auto"/>
              </w:rPr>
              <w:t>Adjusted general and administrative</w:t>
            </w:r>
            <w:r>
              <w:rPr>
                <w:rFonts w:ascii="Times New Roman" w:cs="Times New Roman" w:eastAsia="Times New Roman" w:hAnsi="Times New Roman"/>
                <w:sz w:val="20"/>
                <w:szCs w:val="20"/>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44,681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32,650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98,693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61,279</w:t>
            </w:r>
          </w:p>
        </w:tc>
        <w:tc>
          <w:tcPr>
            <w:tcW w:w="0" w:type="dxa"/>
            <w:vAlign w:val="bottom"/>
          </w:tcPr>
          <w:p>
            <w:pPr>
              <w:spacing w:after="0"/>
              <w:rPr>
                <w:sz w:val="1"/>
                <w:szCs w:val="1"/>
                <w:color w:val="auto"/>
              </w:rPr>
            </w:pPr>
          </w:p>
        </w:tc>
      </w:tr>
      <w:tr>
        <w:trPr>
          <w:trHeight w:val="204"/>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232,259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199,387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464,678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396,956</w:t>
            </w:r>
          </w:p>
        </w:tc>
        <w:tc>
          <w:tcPr>
            <w:tcW w:w="0" w:type="dxa"/>
            <w:vAlign w:val="bottom"/>
          </w:tcPr>
          <w:p>
            <w:pPr>
              <w:spacing w:after="0"/>
              <w:rPr>
                <w:sz w:val="1"/>
                <w:szCs w:val="1"/>
                <w:color w:val="auto"/>
              </w:rPr>
            </w:pPr>
          </w:p>
        </w:tc>
      </w:tr>
      <w:tr>
        <w:trPr>
          <w:trHeight w:val="202"/>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operations</w:t>
            </w:r>
          </w:p>
        </w:tc>
        <w:tc>
          <w:tcPr>
            <w:tcW w:w="240" w:type="dxa"/>
            <w:vAlign w:val="bottom"/>
          </w:tcPr>
          <w:p>
            <w:pPr>
              <w:spacing w:after="0"/>
              <w:rPr>
                <w:sz w:val="17"/>
                <w:szCs w:val="17"/>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34,731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37,412</w:t>
            </w:r>
          </w:p>
        </w:tc>
        <w:tc>
          <w:tcPr>
            <w:tcW w:w="0" w:type="dxa"/>
            <w:vAlign w:val="bottom"/>
          </w:tcPr>
          <w:p>
            <w:pPr>
              <w:spacing w:after="0"/>
              <w:rPr>
                <w:sz w:val="1"/>
                <w:szCs w:val="1"/>
                <w:color w:val="auto"/>
              </w:rPr>
            </w:pPr>
          </w:p>
        </w:tc>
      </w:tr>
      <w:tr>
        <w:trPr>
          <w:trHeight w:val="21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w w:val="98"/>
              </w:rPr>
              <w:t>(8,522)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0" w:type="dxa"/>
            <w:vAlign w:val="bottom"/>
          </w:tcPr>
          <w:p>
            <w:pPr>
              <w:spacing w:after="0"/>
              <w:rPr>
                <w:sz w:val="1"/>
                <w:szCs w:val="1"/>
                <w:color w:val="auto"/>
              </w:rPr>
            </w:pPr>
          </w:p>
        </w:tc>
      </w:tr>
      <w:tr>
        <w:trPr>
          <w:trHeight w:val="209"/>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12,624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06"/>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43,131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63,549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36,950</w:t>
            </w:r>
          </w:p>
        </w:tc>
        <w:tc>
          <w:tcPr>
            <w:tcW w:w="0" w:type="dxa"/>
            <w:vAlign w:val="bottom"/>
          </w:tcPr>
          <w:p>
            <w:pPr>
              <w:spacing w:after="0"/>
              <w:rPr>
                <w:sz w:val="1"/>
                <w:szCs w:val="1"/>
                <w:color w:val="auto"/>
              </w:rPr>
            </w:pPr>
          </w:p>
        </w:tc>
      </w:tr>
      <w:tr>
        <w:trPr>
          <w:trHeight w:val="158"/>
        </w:trPr>
        <w:tc>
          <w:tcPr>
            <w:tcW w:w="6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13,691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17,204</w:t>
            </w:r>
          </w:p>
        </w:tc>
        <w:tc>
          <w:tcPr>
            <w:tcW w:w="0" w:type="dxa"/>
            <w:vAlign w:val="bottom"/>
          </w:tcPr>
          <w:p>
            <w:pPr>
              <w:spacing w:after="0"/>
              <w:rPr>
                <w:sz w:val="1"/>
                <w:szCs w:val="1"/>
                <w:color w:val="auto"/>
              </w:rPr>
            </w:pPr>
          </w:p>
        </w:tc>
      </w:tr>
      <w:tr>
        <w:trPr>
          <w:trHeight w:val="206"/>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29,440</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48,128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19,746</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Excludes technology and advertising costs</w:t>
      </w:r>
    </w:p>
    <w:p>
      <w:pPr>
        <w:spacing w:after="0" w:line="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represents the Company’s depreciation and amortization by expense category: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5"/>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3"/>
                <w:szCs w:val="13"/>
                <w:color w:val="auto"/>
              </w:rPr>
            </w:pPr>
          </w:p>
        </w:tc>
        <w:tc>
          <w:tcPr>
            <w:tcW w:w="2220" w:type="dxa"/>
            <w:vAlign w:val="bottom"/>
            <w:gridSpan w:val="4"/>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6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6"/>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20,804</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20,087</w:t>
            </w:r>
          </w:p>
        </w:tc>
        <w:tc>
          <w:tcPr>
            <w:tcW w:w="100" w:type="dxa"/>
            <w:vAlign w:val="bottom"/>
          </w:tcPr>
          <w:p>
            <w:pPr>
              <w:spacing w:after="0"/>
              <w:rPr>
                <w:sz w:val="17"/>
                <w:szCs w:val="17"/>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41,546</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39,961</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1,807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0" w:type="dxa"/>
            <w:vAlign w:val="bottom"/>
          </w:tcPr>
          <w:p>
            <w:pPr>
              <w:spacing w:after="0"/>
              <w:rPr>
                <w:sz w:val="1"/>
                <w:szCs w:val="1"/>
                <w:color w:val="auto"/>
              </w:rPr>
            </w:pPr>
          </w:p>
        </w:tc>
      </w:tr>
      <w:tr>
        <w:trPr>
          <w:trHeight w:val="202"/>
        </w:trPr>
        <w:tc>
          <w:tcPr>
            <w:tcW w:w="61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22,611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45,282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42,696</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80" w:type="dxa"/>
            <w:vAlign w:val="bottom"/>
            <w:gridSpan w:val="5"/>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vMerge w:val="continue"/>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3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120,120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268,092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230,547</w:t>
            </w:r>
          </w:p>
        </w:tc>
        <w:tc>
          <w:tcPr>
            <w:tcW w:w="0" w:type="dxa"/>
            <w:vAlign w:val="bottom"/>
          </w:tcPr>
          <w:p>
            <w:pPr>
              <w:spacing w:after="0"/>
              <w:rPr>
                <w:sz w:val="1"/>
                <w:szCs w:val="1"/>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130,568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108,773</w:t>
            </w:r>
          </w:p>
        </w:tc>
        <w:tc>
          <w:tcPr>
            <w:tcW w:w="0" w:type="dxa"/>
            <w:vAlign w:val="bottom"/>
          </w:tcPr>
          <w:p>
            <w:pPr>
              <w:spacing w:after="0"/>
              <w:rPr>
                <w:sz w:val="1"/>
                <w:szCs w:val="1"/>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110,950</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95,048</w:t>
            </w:r>
          </w:p>
        </w:tc>
        <w:tc>
          <w:tcPr>
            <w:tcW w:w="0" w:type="dxa"/>
            <w:vAlign w:val="bottom"/>
          </w:tcPr>
          <w:p>
            <w:pPr>
              <w:spacing w:after="0"/>
              <w:rPr>
                <w:sz w:val="1"/>
                <w:szCs w:val="1"/>
                <w:color w:val="auto"/>
              </w:rPr>
            </w:pPr>
          </w:p>
        </w:tc>
      </w:tr>
      <w:tr>
        <w:trPr>
          <w:trHeight w:val="202"/>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266,990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509,610</w:t>
            </w:r>
          </w:p>
        </w:tc>
        <w:tc>
          <w:tcPr>
            <w:tcW w:w="100" w:type="dxa"/>
            <w:vAlign w:val="bottom"/>
          </w:tcPr>
          <w:p>
            <w:pPr>
              <w:spacing w:after="0"/>
              <w:rPr>
                <w:sz w:val="17"/>
                <w:szCs w:val="17"/>
                <w:color w:val="auto"/>
              </w:rPr>
            </w:pPr>
          </w:p>
        </w:tc>
        <w:tc>
          <w:tcPr>
            <w:tcW w:w="54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434,368</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2"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42% and 50% of consolidated revenue for the six months ended June 30, 2025 and 2024, respectively. No other country accounts for more than 10% of the Company’s revenue in any period presented.</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180" w:type="dxa"/>
            <w:vAlign w:val="bottom"/>
          </w:tcPr>
          <w:p>
            <w:pPr>
              <w:spacing w:after="0"/>
              <w:rPr>
                <w:sz w:val="16"/>
                <w:szCs w:val="16"/>
                <w:color w:val="auto"/>
              </w:rPr>
            </w:pPr>
          </w:p>
        </w:tc>
        <w:tc>
          <w:tcPr>
            <w:tcW w:w="15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7"/>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45,354</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17,175</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3,871</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63,291</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66,400</w:t>
            </w:r>
          </w:p>
        </w:tc>
      </w:tr>
      <w:tr>
        <w:trPr>
          <w:trHeight w:val="21"/>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53% and 64% of total long-lived tangible assets as of June 30, 2025 and December 31, 2024, respectively. Ireland, included in Europe in the above table, accounted for 24% and 20% of total long-lived tangible assets as of June 30, 2025 and December 31, 2024, respectively. Australia, included in Rest of the world in the above table, accounted for 13% of the total long-lived tangible assets as of June 30, 2025. No other country accounts for more than 10% of the Company’s long-lived tangible assets in any period presented.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 and other obligations</w:t>
      </w:r>
    </w:p>
    <w:p>
      <w:pPr>
        <w:spacing w:after="0" w:line="113"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As of June 30, 2025, the Company had total non-lease obligations in the amount of approximately $28.8 million, which consisted primarily of minimum royalty guarantees and unconditional purchase obligations related to contracts for infrastructure and other business services. As of June 30, 2025, the Company’s non-lease obligations for the remainder of 2025 and for the years ending December 31, 2026, and 2027 were approximately $15.9 million, $11.0 million, and $1.9 million,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39" w:lineRule="exact"/>
        <w:rPr>
          <w:sz w:val="20"/>
          <w:szCs w:val="20"/>
          <w:color w:val="auto"/>
        </w:rPr>
      </w:pPr>
    </w:p>
    <w:p>
      <w:pPr>
        <w:ind w:firstLine="395"/>
        <w:spacing w:after="0" w:line="280" w:lineRule="auto"/>
        <w:rPr>
          <w:sz w:val="20"/>
          <w:szCs w:val="20"/>
          <w:color w:val="auto"/>
        </w:rPr>
      </w:pPr>
      <w:r>
        <w:rPr>
          <w:rFonts w:ascii="Times New Roman" w:cs="Times New Roman" w:eastAsia="Times New Roman" w:hAnsi="Times New Roman"/>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Except as described below, the Company currently has no material active litigation matters and, accordingly, no material reserves related to litigation.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6"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Since the definitive proxy statement filed with the SEC on April 30, 2025 (the “Proxy Statement”), two complaints have been filed against Shutterstock and each member of Shutterstock’s board of directors (the “Individual Defendants”). The two complaints are captioned as follows: Johnson v. Shutterstock, Inc., et al., 682860/2025 (filed in the Supreme Court of the State of New York, County of New York, Commercial Division (the “Johnson Action”) and Weiss v. Shutterstock, Inc., et al., 652853/2025 at ECF No. 1, filed in the Supreme Court of the State of New York, County of New York, Commercial Division (the “Weiss Action”, and together with the Johnson Action, the “Stockholder Actions”). The Stockholder Actions allege that, among other things, the Proxy Statement contains false and misleading and/or incomplete information regarding the Merger. The Stockholder Actions assert claims for (i) negligent misrepresentation and concealment, and (ii) negligence in connection with the filing of the allegedly false and misleading Proxy Statement. The Stockholder Actions seek an injunction enjoining the consummation of the Merger unless and until the Individual Defendants disclose the allegedly omitted material information, in the event that the Merger are consummated, rescission of the Merger and awarding actual and punitive damages to plaintiff, and an award of attorneys’ and experts’ fees.</w:t>
      </w:r>
    </w:p>
    <w:p>
      <w:pPr>
        <w:spacing w:after="0" w:line="115"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Stockholder Actions, beginning on April 25, 2025, certain purported stockholders of Shutterstock and Getty Images sent demand letters (the “Demand Letters”, and together with the Stockholder Actions, the “Matters”) alleging similar deficiencies regarding the disclosures made in the Proxy Statement and seeking additional disclosures to address those alleged deficiencies.</w:t>
      </w:r>
    </w:p>
    <w:p>
      <w:pPr>
        <w:spacing w:after="0" w:line="75"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Shutterstock believes it has substantial defenses in connection with the Matters and no supplemental disclosure is required under applicable law. However, in order to avoid the risk that the Matters may delay or otherwise adversely affect the implementation of the Merger, to minimize the costs, risks and uncertainties inherent in litigation, and without admitting any liability or wrongdoing, Shutterstock has determined to voluntarily supplement the Proxy Statement as described in the Current Report on Form 8-K filed with the SEC on May 30, 2025, to provide additional information to Shutterstock stockholders. Nothing in said Current Report on Form 8-K shall be deemed an admission of the legal necessity or materiality under applicable law of any of the disclosures set forth therein or in the Proxy Statement. To the contrary, Shutterstock denies all allegations in the Matters that any additional disclosure was or is required.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52" w:lineRule="exact"/>
        <w:rPr>
          <w:sz w:val="20"/>
          <w:szCs w:val="20"/>
          <w:color w:val="auto"/>
        </w:rPr>
      </w:pPr>
    </w:p>
    <w:p>
      <w:pPr>
        <w:ind w:right="80" w:firstLine="395"/>
        <w:spacing w:after="0" w:line="282"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and believes that it has appropriate insurance coverage in place to adequately cover indemnification claims, if necessary. As of and for the six months ended June 30, 2025, the Company made no material payments for losses on customer indemnification claims and recorded no liabilities related to indemnification for loss contingencies, before considering any insurance recoveries.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Indemnification Agreements</w:t>
      </w:r>
    </w:p>
    <w:p>
      <w:pPr>
        <w:spacing w:after="0" w:line="113" w:lineRule="exact"/>
        <w:rPr>
          <w:sz w:val="20"/>
          <w:szCs w:val="20"/>
          <w:color w:val="auto"/>
        </w:rPr>
      </w:pPr>
    </w:p>
    <w:p>
      <w:pPr>
        <w:jc w:val="both"/>
        <w:ind w:right="300" w:firstLine="395"/>
        <w:spacing w:after="0" w:line="256" w:lineRule="auto"/>
        <w:rPr>
          <w:sz w:val="20"/>
          <w:szCs w:val="20"/>
          <w:color w:val="auto"/>
        </w:rPr>
      </w:pPr>
      <w:r>
        <w:rPr>
          <w:rFonts w:ascii="Times New Roman" w:cs="Times New Roman" w:eastAsia="Times New Roman" w:hAnsi="Times New Roman"/>
          <w:sz w:val="18"/>
          <w:szCs w:val="18"/>
          <w:color w:val="auto"/>
        </w:rPr>
        <w:t>The Company has entered into employment arrangements and indemnification agreements with certain executive officers and with certain employees. The agreements specify various employment-related matters, including annual compensation, performance incentive bonuses, and severance benefits in the event of termination with or without cause.</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18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2024 Form 10-K.</w:t>
      </w:r>
    </w:p>
    <w:p>
      <w:pPr>
        <w:spacing w:after="0" w:line="111" w:lineRule="exact"/>
        <w:rPr>
          <w:sz w:val="20"/>
          <w:szCs w:val="20"/>
          <w:color w:val="auto"/>
        </w:rPr>
      </w:pPr>
    </w:p>
    <w:p>
      <w:pPr>
        <w:ind w:right="24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and the “Risk Factors” disclosures contained in our 2024 Form 10-K for additional discussion of the risks and uncertainties that could cause our actual results to differ materially from those expressed or implied in our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 with Getty Images</w:t>
      </w:r>
    </w:p>
    <w:p>
      <w:pPr>
        <w:spacing w:after="0" w:line="113" w:lineRule="exact"/>
        <w:rPr>
          <w:sz w:val="20"/>
          <w:szCs w:val="20"/>
          <w:color w:val="auto"/>
        </w:rPr>
      </w:pPr>
    </w:p>
    <w:p>
      <w:pPr>
        <w:jc w:val="both"/>
        <w:ind w:right="360" w:firstLine="395"/>
        <w:spacing w:after="0" w:line="303" w:lineRule="auto"/>
        <w:rPr>
          <w:sz w:val="20"/>
          <w:szCs w:val="20"/>
          <w:color w:val="auto"/>
        </w:rPr>
      </w:pPr>
      <w:r>
        <w:rPr>
          <w:rFonts w:ascii="Times New Roman" w:cs="Times New Roman" w:eastAsia="Times New Roman" w:hAnsi="Times New Roman"/>
          <w:sz w:val="16"/>
          <w:szCs w:val="16"/>
          <w:color w:val="auto"/>
        </w:rPr>
        <w:t>On January 6, 2025, we entered into an Agreement and Plan of Merger (the “Merger Agreement”) to combine in a merger-of-equals transaction with Getty Images Holdings, Inc. (NYSE:GETY) (“Getty Images”) (such transaction referred to herein as the “Merger”). Subject to terms and conditions in the Merger Agreement, the aggregate consideration to be paid by Getty Images in respect of the outstanding shares of common stock of Shutterstock will be:</w:t>
      </w:r>
    </w:p>
    <w:p>
      <w:pPr>
        <w:spacing w:after="0" w:line="172" w:lineRule="exact"/>
        <w:rPr>
          <w:sz w:val="20"/>
          <w:szCs w:val="20"/>
          <w:color w:val="auto"/>
        </w:rPr>
      </w:pPr>
    </w:p>
    <w:p>
      <w:pPr>
        <w:ind w:left="640" w:right="160" w:hanging="319"/>
        <w:spacing w:after="0" w:line="268" w:lineRule="auto"/>
        <w:tabs>
          <w:tab w:leader="none" w:pos="6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in cash equal to the product of $9.50 multiplied by the number of shares of Shutterstock common stock outstanding immediately prior to the transaction close (including vested Shutterstock restricted stock units and performance stock units); and</w:t>
      </w:r>
    </w:p>
    <w:p>
      <w:pPr>
        <w:spacing w:after="0" w:line="64" w:lineRule="exact"/>
        <w:rPr>
          <w:rFonts w:ascii="Times New Roman" w:cs="Times New Roman" w:eastAsia="Times New Roman" w:hAnsi="Times New Roman"/>
          <w:sz w:val="18"/>
          <w:szCs w:val="18"/>
          <w:color w:val="auto"/>
        </w:rPr>
      </w:pPr>
    </w:p>
    <w:p>
      <w:pPr>
        <w:ind w:left="640" w:right="280" w:hanging="319"/>
        <w:spacing w:after="0" w:line="268" w:lineRule="auto"/>
        <w:tabs>
          <w:tab w:leader="none" w:pos="6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number of shares of Getty Images common stock equal to the product of 9.17 multiplied by the number of shares of Shutterstock common stock outstanding immediately prior to the transaction close (including vested Shutterstock restricted stock units and performance stock units).</w:t>
      </w:r>
    </w:p>
    <w:p>
      <w:pPr>
        <w:spacing w:after="0" w:line="90"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Each holder of shares of Shutterstock common stock immediately prior to the transaction close will have the option to receive, subject to proration, for each share of Shutterstock common stock held by such holder:</w:t>
      </w:r>
    </w:p>
    <w:p>
      <w:pPr>
        <w:spacing w:after="0" w:line="104" w:lineRule="exact"/>
        <w:rPr>
          <w:sz w:val="20"/>
          <w:szCs w:val="20"/>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$9.50 and 9.17 shares of Getty Images common stock (a “Mixed Election”);</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consideration of $28.8487; or</w:t>
      </w:r>
    </w:p>
    <w:p>
      <w:pPr>
        <w:spacing w:after="0" w:line="108"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13.67237 shares of Getty Images common stock.</w:t>
      </w:r>
    </w:p>
    <w:p>
      <w:pPr>
        <w:spacing w:after="0" w:line="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If no election is made by a holder, each of such holder’s shares of Shutterstock common stock shall be treated as having made a Mixed Election.</w:t>
      </w:r>
    </w:p>
    <w:p>
      <w:pPr>
        <w:spacing w:after="0" w:line="148"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A majority of Shutterstock stockholders approved the adoption of the Merger Agreement at a special meeting of stockholders held on June 10, 2025 (the “</w:t>
      </w:r>
      <w:r>
        <w:rPr>
          <w:rFonts w:ascii="Times New Roman" w:cs="Times New Roman" w:eastAsia="Times New Roman" w:hAnsi="Times New Roman"/>
          <w:sz w:val="18"/>
          <w:szCs w:val="18"/>
          <w:u w:val="single" w:color="auto"/>
          <w:color w:val="auto"/>
        </w:rPr>
        <w:t>Shutterstock Stockholder Approval</w:t>
      </w:r>
      <w:r>
        <w:rPr>
          <w:rFonts w:ascii="Times New Roman" w:cs="Times New Roman" w:eastAsia="Times New Roman" w:hAnsi="Times New Roman"/>
          <w:sz w:val="18"/>
          <w:szCs w:val="18"/>
          <w:color w:val="auto"/>
        </w:rPr>
        <w:t>”). The Merger is subject to the satisfaction of customary closing conditions, further described below, including receipt of required regulatory approvals and the extension or refinancing of Getty Images’ existing debt obligations. Subject to the satisfaction of the closing conditions, upon closing of the Merger, Shutterstock’s common stock will be delisted from the NYSE and deregistered under the Securities Exchange Act of 1934, as amended. The closing of the Merger is subject to the satisfaction or waiver of certain closing conditions, including:</w:t>
      </w:r>
    </w:p>
    <w:p>
      <w:pPr>
        <w:spacing w:after="0" w:line="93" w:lineRule="exact"/>
        <w:rPr>
          <w:sz w:val="20"/>
          <w:szCs w:val="20"/>
          <w:color w:val="auto"/>
        </w:rPr>
      </w:pPr>
    </w:p>
    <w:p>
      <w:pPr>
        <w:ind w:left="640" w:right="200" w:hanging="319"/>
        <w:spacing w:after="0" w:line="253"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Shutterstock Stockholder Approval, which condition was subsequently satisfied as described above, and the Getty Images stockholder approval, which condition was subsequently satisfied by the Getty Images stockholder written consent;</w:t>
      </w:r>
    </w:p>
    <w:p>
      <w:pPr>
        <w:spacing w:after="0" w:line="195" w:lineRule="exact"/>
        <w:rPr>
          <w:rFonts w:ascii="Times New Roman" w:cs="Times New Roman" w:eastAsia="Times New Roman" w:hAnsi="Times New Roman"/>
          <w:sz w:val="18"/>
          <w:szCs w:val="18"/>
          <w:color w:val="auto"/>
        </w:rPr>
      </w:pPr>
    </w:p>
    <w:p>
      <w:pPr>
        <w:ind w:left="640" w:hanging="319"/>
        <w:spacing w:after="0" w:line="315" w:lineRule="auto"/>
        <w:tabs>
          <w:tab w:leader="none" w:pos="63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Getty Images’ registration statement on Form S-4 to be filed in connection with the Merger having become effective and the mailing of an information statement to Getty Images stockholders at least 20 business days prior to the closing, which condition was subsequently satisfied on April 30, 2025;</w:t>
      </w:r>
    </w:p>
    <w:p>
      <w:pPr>
        <w:spacing w:after="0" w:line="148"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order, injunction or other order or law in certain jurisdictions prohibiting the Merger or making the closing of the Merger illegal;</w:t>
      </w:r>
    </w:p>
    <w:p>
      <w:pPr>
        <w:spacing w:after="0" w:line="227" w:lineRule="exact"/>
        <w:rPr>
          <w:rFonts w:ascii="Times New Roman" w:cs="Times New Roman" w:eastAsia="Times New Roman" w:hAnsi="Times New Roman"/>
          <w:sz w:val="18"/>
          <w:szCs w:val="18"/>
          <w:color w:val="auto"/>
        </w:rPr>
      </w:pPr>
    </w:p>
    <w:p>
      <w:pPr>
        <w:ind w:left="640" w:right="240" w:hanging="319"/>
        <w:spacing w:after="0" w:line="253" w:lineRule="auto"/>
        <w:tabs>
          <w:tab w:leader="none" w:pos="6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applicable waiting period (and extensions thereof) under the Hart-Scott-Rodino Antitrust Improvements Act of 1976, as amended, and the receipt of other regulatory approvals deemed necessary or advisable;</w:t>
      </w:r>
    </w:p>
    <w:p>
      <w:pPr>
        <w:spacing w:after="0" w:line="195"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Getty Images common stock to be issued in connection with the Merger having been approved for listing on the NYSE;</w:t>
      </w:r>
    </w:p>
    <w:p>
      <w:pPr>
        <w:spacing w:after="0" w:line="227"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each party’s representations and warranties, subject to certain standards set forth in the Merger Agreement;</w:t>
      </w:r>
    </w:p>
    <w:p>
      <w:pPr>
        <w:spacing w:after="0" w:line="200" w:lineRule="exact"/>
        <w:rPr>
          <w:sz w:val="20"/>
          <w:szCs w:val="20"/>
          <w:color w:val="auto"/>
        </w:rPr>
      </w:pPr>
    </w:p>
    <w:p>
      <w:pPr>
        <w:spacing w:after="0" w:line="2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hanging="319"/>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compliance in all material respects of each party’s agreements and covenants under the Merger Agreement;</w:t>
      </w:r>
    </w:p>
    <w:p>
      <w:pPr>
        <w:spacing w:after="0" w:line="227" w:lineRule="exact"/>
        <w:rPr>
          <w:rFonts w:ascii="Times New Roman" w:cs="Times New Roman" w:eastAsia="Times New Roman" w:hAnsi="Times New Roman"/>
          <w:sz w:val="18"/>
          <w:szCs w:val="18"/>
          <w:color w:val="auto"/>
        </w:rPr>
      </w:pPr>
    </w:p>
    <w:p>
      <w:pPr>
        <w:ind w:left="640" w:right="120" w:hanging="319"/>
        <w:spacing w:after="0" w:line="253"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Getty Images material adverse effect or Shutterstock material adverse effect, as applicable and subject to the definitions thereof in the Merger Agreement;</w:t>
      </w:r>
    </w:p>
    <w:p>
      <w:pPr>
        <w:spacing w:after="0" w:line="195" w:lineRule="exact"/>
        <w:rPr>
          <w:rFonts w:ascii="Times New Roman" w:cs="Times New Roman" w:eastAsia="Times New Roman" w:hAnsi="Times New Roman"/>
          <w:sz w:val="18"/>
          <w:szCs w:val="18"/>
          <w:color w:val="auto"/>
        </w:rPr>
      </w:pPr>
    </w:p>
    <w:p>
      <w:pPr>
        <w:ind w:left="640" w:right="40" w:hanging="319"/>
        <w:spacing w:after="0" w:line="253"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an opinion of tax counsel that the Second Merger and the Third Merger as defined in the Merger Agreement, taken together, will qualify as a “reorganization” within the meaning of section 368(a) of the Internal Revenue Code of 1986, as amended; and</w:t>
      </w:r>
    </w:p>
    <w:p>
      <w:pPr>
        <w:spacing w:after="0" w:line="195" w:lineRule="exact"/>
        <w:rPr>
          <w:rFonts w:ascii="Times New Roman" w:cs="Times New Roman" w:eastAsia="Times New Roman" w:hAnsi="Times New Roman"/>
          <w:sz w:val="18"/>
          <w:szCs w:val="18"/>
          <w:color w:val="auto"/>
        </w:rPr>
      </w:pPr>
    </w:p>
    <w:p>
      <w:pPr>
        <w:ind w:left="640" w:right="600" w:hanging="319"/>
        <w:spacing w:after="0" w:line="253" w:lineRule="auto"/>
        <w:tabs>
          <w:tab w:leader="none" w:pos="6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Getty Images having amended or otherwise refinanced its existing term loans and senior notes to extend the maturity of each to no earlier than February 19, 2028.</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0"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a leading global creative platform connecting brands and businesses to high quality content.</w:t>
      </w:r>
    </w:p>
    <w:p>
      <w:pPr>
        <w:spacing w:after="0" w:line="104" w:lineRule="exact"/>
        <w:rPr>
          <w:sz w:val="20"/>
          <w:szCs w:val="20"/>
          <w:color w:val="auto"/>
        </w:rPr>
      </w:pPr>
    </w:p>
    <w:p>
      <w:pPr>
        <w:ind w:right="380" w:firstLine="395"/>
        <w:spacing w:after="0" w:line="252"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our platform to assist with the entire creative process from ideation through creative execution.</w:t>
      </w:r>
    </w:p>
    <w:p>
      <w:pPr>
        <w:spacing w:after="0" w:line="104" w:lineRule="exact"/>
        <w:rPr>
          <w:sz w:val="20"/>
          <w:szCs w:val="20"/>
          <w:color w:val="auto"/>
        </w:rPr>
      </w:pPr>
    </w:p>
    <w:p>
      <w:pPr>
        <w:ind w:right="140" w:firstLine="395"/>
        <w:spacing w:after="0" w:line="332" w:lineRule="auto"/>
        <w:rPr>
          <w:sz w:val="20"/>
          <w:szCs w:val="20"/>
          <w:color w:val="auto"/>
        </w:rPr>
      </w:pPr>
      <w:r>
        <w:rPr>
          <w:rFonts w:ascii="Times New Roman" w:cs="Times New Roman" w:eastAsia="Times New Roman" w:hAnsi="Times New Roman"/>
          <w:sz w:val="16"/>
          <w:szCs w:val="16"/>
          <w:color w:val="auto"/>
        </w:rPr>
        <w:t>Digital content licensed to our customers for their creative needs includes images, footage, music, and 3D models (our “Content” offering). Our Content revenues represent the majority of our business and are supported by our searchable creative platform and driven by our large contributor network.</w:t>
      </w:r>
    </w:p>
    <w:p>
      <w:pPr>
        <w:spacing w:after="0" w:line="57"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our “Data, Distribution, and Services” offerings).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Offering</w:t>
      </w:r>
    </w:p>
    <w:p>
      <w:pPr>
        <w:spacing w:after="0" w:line="1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offering includes licenses for:</w:t>
      </w:r>
    </w:p>
    <w:p>
      <w:pPr>
        <w:spacing w:after="0" w:line="148" w:lineRule="exact"/>
        <w:rPr>
          <w:sz w:val="20"/>
          <w:szCs w:val="20"/>
          <w:color w:val="auto"/>
        </w:rPr>
      </w:pPr>
    </w:p>
    <w:p>
      <w:pPr>
        <w:ind w:left="1040" w:right="160" w:hanging="324"/>
        <w:spacing w:after="0" w:line="268" w:lineRule="auto"/>
        <w:tabs>
          <w:tab w:leader="none" w:pos="10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1040" w:hanging="324"/>
        <w:spacing w:after="0" w:line="268" w:lineRule="auto"/>
        <w:tabs>
          <w:tab w:leader="none" w:pos="10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1020" w:hanging="304"/>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1040" w:right="340" w:hanging="324"/>
        <w:spacing w:after="0" w:line="268" w:lineRule="auto"/>
        <w:tabs>
          <w:tab w:leader="none" w:pos="10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available in a variety of formats,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1040" w:right="360" w:hanging="324"/>
        <w:spacing w:after="0" w:line="268" w:lineRule="auto"/>
        <w:tabs>
          <w:tab w:leader="none" w:pos="10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90"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Our Content is distributed to customers under the following brands: Shutterstock; Pond5; TurboSquid; PicMonkey; PremiumBeat; Splash News; Bigstock; and Envato. Shutterstock, our flagship brand, includes various content types such as image, footage, music and editorial.</w:t>
      </w:r>
    </w:p>
    <w:p>
      <w:pPr>
        <w:spacing w:after="0" w:line="104"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400"/>
        <w:spacing w:after="0" w:line="303" w:lineRule="auto"/>
        <w:rPr>
          <w:sz w:val="20"/>
          <w:szCs w:val="20"/>
          <w:color w:val="auto"/>
        </w:rPr>
      </w:pPr>
      <w:r>
        <w:rPr>
          <w:rFonts w:ascii="Times New Roman" w:cs="Times New Roman" w:eastAsia="Times New Roman" w:hAnsi="Times New Roman"/>
          <w:sz w:val="16"/>
          <w:szCs w:val="16"/>
          <w:color w:val="auto"/>
        </w:rPr>
        <w:t>offers exclusive high-quality music tracks and provides producers, filmmakers and marketers the ability to search handpicked production music from the world’s leading composers. Splash News provides editorial image and video content across celebrity and red carpet events. Bigstock maintains a separate content library tailored for creators seeking to incorporate cost-effective imagery into their projects. Envato enhances digital creative assets and templates.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Distribution, and Services Offering:</w:t>
      </w:r>
    </w:p>
    <w:p>
      <w:pPr>
        <w:spacing w:after="0" w:line="111" w:lineRule="exact"/>
        <w:rPr>
          <w:sz w:val="20"/>
          <w:szCs w:val="20"/>
          <w:color w:val="auto"/>
        </w:rPr>
      </w:pPr>
    </w:p>
    <w:p>
      <w:pPr>
        <w:ind w:right="100" w:firstLine="395"/>
        <w:spacing w:after="0" w:line="332" w:lineRule="auto"/>
        <w:rPr>
          <w:sz w:val="20"/>
          <w:szCs w:val="20"/>
          <w:color w:val="auto"/>
        </w:rPr>
      </w:pPr>
      <w:r>
        <w:rPr>
          <w:rFonts w:ascii="Times New Roman" w:cs="Times New Roman" w:eastAsia="Times New Roman" w:hAnsi="Times New Roman"/>
          <w:sz w:val="16"/>
          <w:szCs w:val="16"/>
          <w:color w:val="auto"/>
        </w:rPr>
        <w:t>Our Data, Distribution, and Services offering addresses customer demand for products and services that are beyond our Content licenses. These products and services include, among other things, the use of our metadata, leveraging our Giphy, Inc. platform, and customized Shutterstock Studios offerings.</w:t>
      </w:r>
    </w:p>
    <w:p>
      <w:pPr>
        <w:spacing w:after="0" w:line="17"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We have seen increased demand for access to our metadata for machine learning and generative artificial intelligence model training. We offer ethically sourced and licenseable metadata at industry leading scales and quality. Our metadata customer base ranges from large technology and media companies to smaller start-up organizations.</w:t>
      </w:r>
    </w:p>
    <w:p>
      <w:pPr>
        <w:spacing w:after="0" w:line="75"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50" w:lineRule="exact"/>
        <w:rPr>
          <w:sz w:val="20"/>
          <w:szCs w:val="20"/>
          <w:color w:val="auto"/>
        </w:rPr>
      </w:pPr>
    </w:p>
    <w:p>
      <w:pPr>
        <w:ind w:right="20" w:firstLine="395"/>
        <w:spacing w:after="0" w:line="332" w:lineRule="auto"/>
        <w:rPr>
          <w:sz w:val="20"/>
          <w:szCs w:val="20"/>
          <w:color w:val="auto"/>
        </w:rPr>
      </w:pPr>
      <w:r>
        <w:rPr>
          <w:rFonts w:ascii="Times New Roman" w:cs="Times New Roman" w:eastAsia="Times New Roman" w:hAnsi="Times New Roman"/>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57" w:lineRule="exact"/>
        <w:rPr>
          <w:sz w:val="20"/>
          <w:szCs w:val="20"/>
          <w:color w:val="auto"/>
        </w:rPr>
      </w:pPr>
    </w:p>
    <w:p>
      <w:pPr>
        <w:ind w:right="260" w:firstLine="395"/>
        <w:spacing w:after="0" w:line="252"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Average Revenue per Customer from Giphy beginning July 2024 and Subscribers, Subscriber revenue, and Average revenue per customer from Backgrid beginning February 2025. 2025 metrics include the counts and revenues from Envato for the three and six months ended June 30, 2025, which was acquired in July 22,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3" w:lineRule="exact"/>
        <w:rPr>
          <w:sz w:val="20"/>
          <w:szCs w:val="20"/>
          <w:color w:val="auto"/>
        </w:rPr>
      </w:pPr>
    </w:p>
    <w:p>
      <w:pPr>
        <w:ind w:right="180" w:firstLine="395"/>
        <w:spacing w:after="0" w:line="303"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3"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3" w:lineRule="exact"/>
        <w:rPr>
          <w:sz w:val="20"/>
          <w:szCs w:val="20"/>
          <w:color w:val="auto"/>
        </w:rPr>
      </w:pPr>
    </w:p>
    <w:p>
      <w:pPr>
        <w:jc w:val="both"/>
        <w:ind w:right="80" w:firstLine="395"/>
        <w:spacing w:after="0" w:line="25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3"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 Measuring the number of paid downloads that our customers make in a given period is important because it is a measure of customer engagement on our platform and triggers the recognition of revenue and contributor royalties.</w:t>
      </w:r>
    </w:p>
    <w:p>
      <w:pPr>
        <w:spacing w:after="0" w:line="200" w:lineRule="exact"/>
        <w:rPr>
          <w:sz w:val="20"/>
          <w:szCs w:val="20"/>
          <w:color w:val="auto"/>
        </w:rPr>
      </w:pPr>
    </w:p>
    <w:p>
      <w:pPr>
        <w:spacing w:after="0" w:line="31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tables summarize our key operating metrics, which are unaudited, for the three and six months ended June 30, 2025 and 2024:</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6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60" w:type="dxa"/>
            <w:vAlign w:val="bottom"/>
          </w:tcPr>
          <w:p>
            <w:pPr>
              <w:spacing w:after="0"/>
              <w:rPr>
                <w:sz w:val="13"/>
                <w:szCs w:val="13"/>
                <w:color w:val="auto"/>
              </w:rPr>
            </w:pPr>
          </w:p>
        </w:tc>
      </w:tr>
      <w:tr>
        <w:trPr>
          <w:trHeight w:val="190"/>
        </w:trPr>
        <w:tc>
          <w:tcPr>
            <w:tcW w:w="5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0"/>
        </w:trPr>
        <w:tc>
          <w:tcPr>
            <w:tcW w:w="53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10"/>
        </w:trPr>
        <w:tc>
          <w:tcPr>
            <w:tcW w:w="5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1,073,000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1,073,000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490,000</w:t>
            </w:r>
          </w:p>
        </w:tc>
      </w:tr>
      <w:tr>
        <w:trPr>
          <w:trHeight w:val="211"/>
        </w:trPr>
        <w:tc>
          <w:tcPr>
            <w:tcW w:w="5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100" w:type="dxa"/>
            <w:vAlign w:val="bottom"/>
          </w:tcPr>
          <w:p>
            <w:pPr>
              <w:spacing w:after="0"/>
              <w:rPr>
                <w:sz w:val="18"/>
                <w:szCs w:val="18"/>
                <w:color w:val="auto"/>
              </w:rPr>
            </w:pP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w:t>
            </w:r>
          </w:p>
        </w:tc>
      </w:tr>
      <w:tr>
        <w:trPr>
          <w:trHeight w:val="92"/>
        </w:trPr>
        <w:tc>
          <w:tcPr>
            <w:tcW w:w="5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r>
      <w:tr>
        <w:trPr>
          <w:trHeight w:val="211"/>
        </w:trPr>
        <w:tc>
          <w:tcPr>
            <w:tcW w:w="5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18"/>
                <w:szCs w:val="18"/>
                <w:color w:val="auto"/>
              </w:rPr>
            </w:pPr>
          </w:p>
        </w:tc>
        <w:tc>
          <w:tcPr>
            <w:tcW w:w="54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w:t>
            </w:r>
          </w:p>
        </w:tc>
      </w:tr>
      <w:tr>
        <w:trPr>
          <w:trHeight w:val="21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147" w:lineRule="exact"/>
        <w:rPr>
          <w:sz w:val="20"/>
          <w:szCs w:val="20"/>
          <w:color w:val="auto"/>
        </w:rPr>
      </w:pPr>
    </w:p>
    <w:p>
      <w:pPr>
        <w:ind w:right="540" w:firstLine="5"/>
        <w:spacing w:after="0" w:line="204" w:lineRule="auto"/>
        <w:tabs>
          <w:tab w:leader="none" w:pos="101"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Subscribers, Subscriber Revenue and Average Revenue Per Customer from acquisitions are included in these metrics beginning twelve months after the closing of the respective business combination. Accordingly, the metrics include Average Revenue per Customer from Giphy beginning July 2024 and Subscribers, Subscriber revenue, and Average revenue per customer from Backgrid beginning February 2025. 2025 metrics include the counts and revenues from Envato for the three and six months ended June 30, 2025, which was acquired in July 22, 2024.</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37"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Therefore, we consider these to be our critical accounting estimates. Actual results could differ from those estimates.</w:t>
      </w:r>
    </w:p>
    <w:p>
      <w:pPr>
        <w:spacing w:after="0" w:line="125"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2024 Form 10-K, under “Management’s Discussion and Analysis of Financial Condition and Results of Operations—Critical Accounting Estimates.”</w:t>
      </w:r>
    </w:p>
    <w:p>
      <w:pPr>
        <w:spacing w:after="0" w:line="64"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See Note 3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estimates as compared to our critical accounting policies and estimates included in our 2024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distribute our product offerings through two primary channels:</w:t>
      </w:r>
    </w:p>
    <w:p>
      <w:pPr>
        <w:spacing w:after="0" w:line="107"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The majority of our customers license image, video, music and 3D content for commercial purposes either directly through our self-service web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or through our dedicated sales teams. Content customers have the flexibility to purchase subscription-based plans that are paid on a monthly or annual basis. Customers are also able to license content on a transactional basis. These customers generally license content under our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82"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Data, Distribution, and Services: </w:t>
      </w:r>
      <w:r>
        <w:rPr>
          <w:rFonts w:ascii="Times New Roman" w:cs="Times New Roman" w:eastAsia="Times New Roman" w:hAnsi="Times New Roman"/>
          <w:sz w:val="18"/>
          <w:szCs w:val="18"/>
          <w:color w:val="auto"/>
        </w:rPr>
        <w:t>Our Data, Distribution, and Services offering addresses customer demand for products and services that are beyond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image, footage music and 3D model licenses. We have seen increased demand for access to our metadata for machine learning and generative artificial intelligence model training. We offer ethically sourced and licenseable metadata at unique scales and quality. Our metadata customer base ranges from large technology and media companies to smaller start-up organizations.</w:t>
      </w:r>
    </w:p>
    <w:p>
      <w:pPr>
        <w:spacing w:after="0" w:line="116"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and post-production stages.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and six months ended June 30, 2025 and 2024 are as follows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4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70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3"/>
                <w:szCs w:val="13"/>
                <w:color w:val="auto"/>
              </w:rPr>
            </w:pPr>
          </w:p>
        </w:tc>
      </w:tr>
      <w:tr>
        <w:trPr>
          <w:trHeight w:val="190"/>
        </w:trPr>
        <w:tc>
          <w:tcPr>
            <w:tcW w:w="53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6"/>
                <w:szCs w:val="16"/>
                <w:color w:val="auto"/>
              </w:rPr>
            </w:pPr>
          </w:p>
        </w:tc>
      </w:tr>
      <w:tr>
        <w:trPr>
          <w:trHeight w:val="185"/>
        </w:trPr>
        <w:tc>
          <w:tcPr>
            <w:tcW w:w="5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04"/>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199,796</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169,951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402,684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343,781</w:t>
            </w:r>
          </w:p>
        </w:tc>
      </w:tr>
      <w:tr>
        <w:trPr>
          <w:trHeight w:val="209"/>
        </w:trPr>
        <w:tc>
          <w:tcPr>
            <w:tcW w:w="5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67,194</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50,102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106,926</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90,587</w:t>
            </w:r>
          </w:p>
        </w:tc>
      </w:tr>
      <w:tr>
        <w:trPr>
          <w:trHeight w:val="231"/>
        </w:trPr>
        <w:tc>
          <w:tcPr>
            <w:tcW w:w="5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266,990</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509,610</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434,368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5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6"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 software and other IT equipment costs, allocated facility expenses and other supporting overhead costs.</w:t>
      </w:r>
    </w:p>
    <w:p>
      <w:pPr>
        <w:spacing w:after="0" w:line="111" w:lineRule="exact"/>
        <w:rPr>
          <w:sz w:val="20"/>
          <w:szCs w:val="20"/>
          <w:color w:val="auto"/>
        </w:rPr>
      </w:pPr>
    </w:p>
    <w:p>
      <w:pPr>
        <w:ind w:right="28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w:t>
      </w:r>
    </w:p>
    <w:p>
      <w:pPr>
        <w:spacing w:after="0" w:line="200" w:lineRule="exact"/>
        <w:rPr>
          <w:sz w:val="20"/>
          <w:szCs w:val="20"/>
          <w:color w:val="auto"/>
        </w:rPr>
      </w:pPr>
    </w:p>
    <w:p>
      <w:pPr>
        <w:spacing w:after="0" w:line="3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administrative expenses include outside legal, tax and accounting services, bad debt expense, insurance, facilities costs, other supporting overhead costs and depreciation and amortization expense.</w:t>
      </w:r>
    </w:p>
    <w:p>
      <w:pPr>
        <w:spacing w:after="0" w:line="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on our debt and amortization of deferred financing fees.</w:t>
      </w:r>
    </w:p>
    <w:p>
      <w:pPr>
        <w:spacing w:after="0" w:line="148" w:lineRule="exact"/>
        <w:rPr>
          <w:sz w:val="20"/>
          <w:szCs w:val="20"/>
          <w:color w:val="auto"/>
        </w:rPr>
      </w:pPr>
    </w:p>
    <w:p>
      <w:pPr>
        <w:ind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consists of non-operating costs such as foreign currency transaction gains and losses, in addition to unrealized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losses on investments and interest income and expense.</w:t>
      </w:r>
    </w:p>
    <w:p>
      <w:pPr>
        <w:spacing w:after="0" w:line="98"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242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1"/>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266,990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509,610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434,368</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179,458</w:t>
            </w:r>
          </w:p>
        </w:tc>
      </w:tr>
      <w:tr>
        <w:trPr>
          <w:trHeight w:val="21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108,117</w:t>
            </w:r>
          </w:p>
        </w:tc>
      </w:tr>
      <w:tr>
        <w:trPr>
          <w:trHeight w:val="209"/>
        </w:trPr>
        <w:tc>
          <w:tcPr>
            <w:tcW w:w="5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40,910</w:t>
            </w:r>
          </w:p>
        </w:tc>
      </w:tr>
      <w:tr>
        <w:trPr>
          <w:trHeight w:val="212"/>
        </w:trPr>
        <w:tc>
          <w:tcPr>
            <w:tcW w:w="5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106,741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68,471</w:t>
            </w:r>
          </w:p>
        </w:tc>
      </w:tr>
      <w:tr>
        <w:trPr>
          <w:trHeight w:val="202"/>
        </w:trPr>
        <w:tc>
          <w:tcPr>
            <w:tcW w:w="53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232,259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199,387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464,678</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396,956</w:t>
            </w:r>
          </w:p>
        </w:tc>
      </w:tr>
      <w:tr>
        <w:trPr>
          <w:trHeight w:val="206"/>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37,412</w:t>
            </w: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r>
      <w:tr>
        <w:trPr>
          <w:trHeight w:val="202"/>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36,950</w:t>
            </w: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12,935</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17,204</w:t>
            </w:r>
          </w:p>
        </w:tc>
      </w:tr>
      <w:tr>
        <w:trPr>
          <w:trHeight w:val="202"/>
        </w:trPr>
        <w:tc>
          <w:tcPr>
            <w:tcW w:w="5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29,440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48,128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19,746</w:t>
            </w:r>
          </w:p>
        </w:tc>
      </w:tr>
      <w:tr>
        <w:trPr>
          <w:trHeight w:val="21"/>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52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3"/>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6040" w:type="dxa"/>
            <w:vAlign w:val="bottom"/>
            <w:gridSpan w:val="2"/>
          </w:tcPr>
          <w:p>
            <w:pPr>
              <w:spacing w:after="0"/>
              <w:rPr>
                <w:sz w:val="2"/>
                <w:szCs w:val="2"/>
                <w:color w:val="auto"/>
              </w:rPr>
            </w:pPr>
          </w:p>
        </w:tc>
        <w:tc>
          <w:tcPr>
            <w:tcW w:w="156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9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6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9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r>
      <w:tr>
        <w:trPr>
          <w:trHeight w:val="20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2"/>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09"/>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12"/>
        </w:trPr>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09"/>
        </w:trPr>
        <w:tc>
          <w:tcPr>
            <w:tcW w:w="604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2"/>
        </w:trPr>
        <w:tc>
          <w:tcPr>
            <w:tcW w:w="6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2"/>
        </w:trPr>
        <w:tc>
          <w:tcPr>
            <w:tcW w:w="508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87 %</w:t>
            </w:r>
          </w:p>
        </w:tc>
        <w:tc>
          <w:tcPr>
            <w:tcW w:w="120" w:type="dxa"/>
            <w:vAlign w:val="bottom"/>
            <w:tcBorders>
              <w:bottom w:val="single" w:sz="8" w:color="CCEEFF"/>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1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91 %</w:t>
            </w:r>
          </w:p>
        </w:tc>
      </w:tr>
      <w:tr>
        <w:trPr>
          <w:trHeight w:val="206"/>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09"/>
        </w:trPr>
        <w:tc>
          <w:tcPr>
            <w:tcW w:w="6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12"/>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2"/>
        </w:trPr>
        <w:tc>
          <w:tcPr>
            <w:tcW w:w="5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12"/>
        </w:trPr>
        <w:tc>
          <w:tcPr>
            <w:tcW w:w="6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02"/>
        </w:trPr>
        <w:tc>
          <w:tcPr>
            <w:tcW w:w="5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1"/>
        </w:trPr>
        <w:tc>
          <w:tcPr>
            <w:tcW w:w="5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2025 and 2024</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(in thousands):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40" w:type="dxa"/>
            <w:vAlign w:val="bottom"/>
          </w:tcPr>
          <w:p>
            <w:pPr>
              <w:spacing w:after="0"/>
              <w:rPr>
                <w:sz w:val="16"/>
                <w:szCs w:val="16"/>
                <w:color w:val="auto"/>
              </w:rPr>
            </w:pPr>
          </w:p>
        </w:tc>
      </w:tr>
      <w:tr>
        <w:trPr>
          <w:trHeight w:val="24"/>
        </w:trPr>
        <w:tc>
          <w:tcPr>
            <w:tcW w:w="55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5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7"/>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09"/>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266,990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12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46,937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09"/>
        </w:trPr>
        <w:tc>
          <w:tcPr>
            <w:tcW w:w="5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105,994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14,740</w:t>
            </w:r>
          </w:p>
        </w:tc>
        <w:tc>
          <w:tcPr>
            <w:tcW w:w="12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w:t>
            </w:r>
          </w:p>
        </w:tc>
      </w:tr>
      <w:tr>
        <w:trPr>
          <w:trHeight w:val="209"/>
        </w:trPr>
        <w:tc>
          <w:tcPr>
            <w:tcW w:w="5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48,434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12,041</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33</w:t>
            </w:r>
          </w:p>
        </w:tc>
      </w:tr>
      <w:tr>
        <w:trPr>
          <w:trHeight w:val="202"/>
        </w:trPr>
        <w:tc>
          <w:tcPr>
            <w:tcW w:w="55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232,259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199,387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32,872</w:t>
            </w: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16</w:t>
            </w:r>
          </w:p>
        </w:tc>
      </w:tr>
      <w:tr>
        <w:trPr>
          <w:trHeight w:val="20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34,731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20,666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68</w:t>
            </w:r>
          </w:p>
        </w:tc>
      </w:tr>
      <w:tr>
        <w:trPr>
          <w:trHeight w:val="209"/>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120" w:type="dxa"/>
            <w:vAlign w:val="bottom"/>
          </w:tcPr>
          <w:p>
            <w:pPr>
              <w:spacing w:after="0"/>
              <w:rPr>
                <w:sz w:val="18"/>
                <w:szCs w:val="18"/>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653</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16,169</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(456)</w:t>
            </w:r>
          </w:p>
        </w:tc>
      </w:tr>
      <w:tr>
        <w:trPr>
          <w:trHeight w:val="202"/>
        </w:trPr>
        <w:tc>
          <w:tcPr>
            <w:tcW w:w="5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26,571</w:t>
            </w:r>
          </w:p>
        </w:tc>
        <w:tc>
          <w:tcPr>
            <w:tcW w:w="120" w:type="dxa"/>
            <w:vAlign w:val="bottom"/>
          </w:tcPr>
          <w:p>
            <w:pPr>
              <w:spacing w:after="0"/>
              <w:rPr>
                <w:sz w:val="17"/>
                <w:szCs w:val="17"/>
                <w:color w:val="auto"/>
              </w:rPr>
            </w:pPr>
          </w:p>
        </w:tc>
        <w:tc>
          <w:tcPr>
            <w:tcW w:w="10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160</w:t>
            </w:r>
          </w:p>
        </w:tc>
      </w:tr>
      <w:tr>
        <w:trPr>
          <w:trHeight w:val="212"/>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w:t>
            </w:r>
          </w:p>
        </w:tc>
      </w:tr>
      <w:tr>
        <w:trPr>
          <w:trHeight w:val="202"/>
        </w:trPr>
        <w:tc>
          <w:tcPr>
            <w:tcW w:w="5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29,440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25,815</w:t>
            </w:r>
          </w:p>
        </w:tc>
        <w:tc>
          <w:tcPr>
            <w:tcW w:w="120" w:type="dxa"/>
            <w:vAlign w:val="bottom"/>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712 %</w:t>
            </w:r>
          </w:p>
        </w:tc>
      </w:tr>
      <w:tr>
        <w:trPr>
          <w:trHeight w:val="21"/>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ind w:right="360" w:firstLine="395"/>
        <w:spacing w:after="0" w:line="303" w:lineRule="auto"/>
        <w:rPr>
          <w:sz w:val="20"/>
          <w:szCs w:val="20"/>
          <w:color w:val="auto"/>
        </w:rPr>
      </w:pPr>
      <w:r>
        <w:rPr>
          <w:rFonts w:ascii="Times New Roman" w:cs="Times New Roman" w:eastAsia="Times New Roman" w:hAnsi="Times New Roman"/>
          <w:sz w:val="16"/>
          <w:szCs w:val="16"/>
          <w:color w:val="auto"/>
        </w:rPr>
        <w:t>Revenue increased by $46.9 million, or 21%, to $267.0 million for the three months ended June 30, 2025, compared to the same period in 2024. On a constant currency basis, revenue increased 20% in the three months ended June 30, 2025, compared to the same period in 2024. The increase was largely attributable to revenue recognized from Envato, which we did not have in the same period in 2024, and growth in our data offering during the period.</w:t>
      </w:r>
    </w:p>
    <w:p>
      <w:pPr>
        <w:spacing w:after="0" w:line="80"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Our Content revenues increased by 18%, to $199.8 million in the three months ended June 30, 2025, compared to the same period in 2024. On a constant currency basis, content revenue increased 16% in the three months ended June 30, 2025, compared to the same period in 2024. During the three months ended June 30, 2025, growth in our Content revenue was driven by the contribution of Envato, which was acquired on July 22, 2024.</w:t>
      </w:r>
    </w:p>
    <w:p>
      <w:pPr>
        <w:spacing w:after="0" w:line="114"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revenues increased by 34%, to $67.2 million in the three months ended June 30, 2025, compared to the same period in 2024. Data, Distribution, and Services revenues increased 35% in the three months ended June 30, 2025, compared to the same period in 2024. Second quarter revenue benefited from the timing of data deal revenue recognition, which fluctuates quarter-to-quarter based on the delivery of metadata to our customers, as well as growth in our Distribution and Services offerings.</w:t>
      </w:r>
    </w:p>
    <w:p>
      <w:pPr>
        <w:spacing w:after="0" w:line="104" w:lineRule="exact"/>
        <w:rPr>
          <w:sz w:val="20"/>
          <w:szCs w:val="20"/>
          <w:color w:val="auto"/>
        </w:rPr>
      </w:pPr>
    </w:p>
    <w:p>
      <w:pPr>
        <w:ind w:right="34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$27.8 million, or 23%, to $147.9 million, revenue from Europe increased by $11.0 million, or 21%, to $64.4 million and revenue from outside Europe and North America increased by $8.2 million, or 18%, to $54.7 million, in the three months ended June 30, 2025 compared to the same period in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increased by $14.7 million to $106.0 million in the three months ended June 30, 2025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This increase was driven by increased royalties, content expenses, employee-related costs, and website hosting fees, primarily driven by the acquisition of Envato. These amounts were partially offset by a decrease in recurring and non-recurring Giphy Retention Compensation. As a percentage of revenue, cost of revenue decreased to 40% for the three months ended June 30, 2025, from 41% for the same period in 2024. We expect that our cost of revenue will continue to fluctuate in-line with changes in revenue.</w:t>
      </w:r>
    </w:p>
    <w:p>
      <w:pPr>
        <w:spacing w:after="0" w:line="8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$5.2 million, or 10%, to $57.1 million in the three months ended June 30,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2024. This was driven by an increase in brand and performance-based marketing expenses. In addition, there was a $0.7 million increase from recurring Giphy Retention Compensation expenses and an increase in employee-related costs driven by the acquisition of Envato. As a percentage of revenue, sales and marketing expenses decreased to 21% for the three months ended June 30, 2025, from 24% for the same period in 2024. We expect sales and</w:t>
      </w:r>
    </w:p>
    <w:p>
      <w:pPr>
        <w:spacing w:after="0" w:line="200" w:lineRule="exact"/>
        <w:rPr>
          <w:sz w:val="20"/>
          <w:szCs w:val="20"/>
          <w:color w:val="auto"/>
        </w:rPr>
      </w:pPr>
    </w:p>
    <w:p>
      <w:pPr>
        <w:spacing w:after="0" w:line="316"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marketing expenses to continue to fluctuate as we optimize our sales channels and invest in new customer acquisition, products and geographies.</w:t>
      </w:r>
    </w:p>
    <w:p>
      <w:pPr>
        <w:spacing w:after="0" w:line="107"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increased by $0.9 million to $20.8 million in the three months ended June 30, 2025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period in 2024. The increase in product development was driven by increases in software licenses and consultant expenses driven by the acquisition of Envato, partially offset by decreases of $0.4 million and $3.1 million from recurring and non-recurring Giphy Retention Compensation expenses, respectively.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0" w:lineRule="exact"/>
        <w:rPr>
          <w:sz w:val="20"/>
          <w:szCs w:val="20"/>
          <w:color w:val="auto"/>
        </w:rPr>
      </w:pPr>
    </w:p>
    <w:p>
      <w:pPr>
        <w:ind w:firstLine="395"/>
        <w:spacing w:after="0" w:line="294" w:lineRule="auto"/>
        <w:rPr>
          <w:sz w:val="20"/>
          <w:szCs w:val="20"/>
          <w:color w:val="auto"/>
        </w:rPr>
      </w:pPr>
      <w:r>
        <w:rPr>
          <w:rFonts w:ascii="Times New Roman" w:cs="Times New Roman" w:eastAsia="Times New Roman" w:hAnsi="Times New Roman"/>
          <w:sz w:val="16"/>
          <w:szCs w:val="16"/>
          <w:i w:val="1"/>
          <w:iCs w:val="1"/>
          <w:color w:val="auto"/>
        </w:rPr>
        <w:t>General and Administrative</w:t>
      </w:r>
      <w:r>
        <w:rPr>
          <w:rFonts w:ascii="Times New Roman" w:cs="Times New Roman" w:eastAsia="Times New Roman" w:hAnsi="Times New Roman"/>
          <w:sz w:val="16"/>
          <w:szCs w:val="16"/>
          <w:color w:val="auto"/>
        </w:rPr>
        <w:t>. General and administrative expenses increased by $12.0 million to $48.4 million in the three months ended June 30, 2025</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compared to the same period in 2024. This increase was driven by $8.7 million of expenses associated with the Getty merger, and increases in employee-related costs and other general and administrative expenses attributed to the addition of Envato. This was partially offset by a decrease in professional fees. In addition, there was a $0.1 million increase and a $0.6 million decrease from recurring and non-recurring Giphy Retention Compensation expenses, respectively.</w:t>
      </w:r>
    </w:p>
    <w:p>
      <w:pPr>
        <w:spacing w:after="0" w:line="46" w:lineRule="exact"/>
        <w:rPr>
          <w:sz w:val="20"/>
          <w:szCs w:val="20"/>
          <w:color w:val="auto"/>
        </w:rPr>
      </w:pPr>
    </w:p>
    <w:p>
      <w:pPr>
        <w:ind w:right="180" w:firstLine="395"/>
        <w:spacing w:after="0" w:line="304" w:lineRule="auto"/>
        <w:rPr>
          <w:sz w:val="20"/>
          <w:szCs w:val="20"/>
          <w:color w:val="auto"/>
        </w:rPr>
      </w:pPr>
      <w:r>
        <w:rPr>
          <w:rFonts w:ascii="Times New Roman" w:cs="Times New Roman" w:eastAsia="Times New Roman" w:hAnsi="Times New Roman"/>
          <w:sz w:val="16"/>
          <w:szCs w:val="16"/>
          <w:i w:val="1"/>
          <w:iCs w:val="1"/>
          <w:color w:val="auto"/>
        </w:rPr>
        <w:t>Interest Expense</w:t>
      </w:r>
      <w:r>
        <w:rPr>
          <w:rFonts w:ascii="Times New Roman" w:cs="Times New Roman" w:eastAsia="Times New Roman" w:hAnsi="Times New Roman"/>
          <w:sz w:val="16"/>
          <w:szCs w:val="16"/>
          <w:color w:val="auto"/>
        </w:rPr>
        <w:t>. In the three months ended June 30, 2025 and June 30, 2024, we recognized interest expense of $4.2 million and $0.6 million,</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respectively, related to our credit facility and the amortization of deferred financing fees. Interest expense for the three months ended June 30, 2025 increased due to the borrowings under A&amp;R Credit Agreement entered into during the quarter ended September 30, 2024 to fund the acquisition of Envato.</w:t>
      </w:r>
    </w:p>
    <w:p>
      <w:pPr>
        <w:spacing w:after="0" w:line="38" w:lineRule="exact"/>
        <w:rPr>
          <w:sz w:val="20"/>
          <w:szCs w:val="20"/>
          <w:color w:val="auto"/>
        </w:rPr>
      </w:pPr>
    </w:p>
    <w:p>
      <w:pPr>
        <w:ind w:right="20"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Other Income / (Expense), Net. </w:t>
      </w:r>
      <w:r>
        <w:rPr>
          <w:rFonts w:ascii="Times New Roman" w:cs="Times New Roman" w:eastAsia="Times New Roman" w:hAnsi="Times New Roman"/>
          <w:sz w:val="18"/>
          <w:szCs w:val="18"/>
          <w:color w:val="auto"/>
        </w:rPr>
        <w:t>In the three months ended June 30, 2025, other income / (expense), net was driven by $18.0 million of unrealized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our investment in Meitu, Inc. In addition, other income / (expense), net had $1.1 million of interest income. This was partially offset by a $5.0 million expense related to the impairment of our long-term investment in an equity security, and $1.5 million of unrealized foreign currency losses. In the three months ended June 30, 2024, other income / (expense), net was primarily driven by $3.6 million of unrealized losses related to our investment in Meitu, Inc. In addition, other income / (expense), net had $1.3 million of interest income and $1.3 million of unrealized foreign currency losses. As we increase the volume of business transacted in foreign currencies resulting from international expansion and as currency rates fluctuate, we expect foreign currency gains and losses to continue to fluctuate.</w:t>
      </w:r>
    </w:p>
    <w:p>
      <w:pPr>
        <w:spacing w:after="0" w:line="82" w:lineRule="exact"/>
        <w:rPr>
          <w:sz w:val="20"/>
          <w:szCs w:val="20"/>
          <w:color w:val="auto"/>
        </w:rPr>
      </w:pPr>
    </w:p>
    <w:p>
      <w:pPr>
        <w:ind w:right="36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The income tax benefit increased by $0.8 million for the three months ended June 30, 2025, compared to the same period in 2024.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were 31.7% and 78.1% for the three months ended June 30, 2025 and 2024, respectively.</w:t>
      </w:r>
    </w:p>
    <w:p>
      <w:pPr>
        <w:spacing w:after="0" w:line="61" w:lineRule="exact"/>
        <w:rPr>
          <w:sz w:val="20"/>
          <w:szCs w:val="20"/>
          <w:color w:val="auto"/>
        </w:rPr>
      </w:pPr>
    </w:p>
    <w:p>
      <w:pPr>
        <w:jc w:val="both"/>
        <w:ind w:right="40" w:firstLine="395"/>
        <w:spacing w:after="0" w:line="248" w:lineRule="auto"/>
        <w:rPr>
          <w:sz w:val="20"/>
          <w:szCs w:val="20"/>
          <w:color w:val="auto"/>
        </w:rPr>
      </w:pPr>
      <w:r>
        <w:rPr>
          <w:rFonts w:ascii="Times New Roman" w:cs="Times New Roman" w:eastAsia="Times New Roman" w:hAnsi="Times New Roman"/>
          <w:sz w:val="18"/>
          <w:szCs w:val="18"/>
          <w:color w:val="auto"/>
        </w:rPr>
        <w:t>For the three months ended June 30, 2025, the net effect of discrete items increased the effective tax rate by 2.3%. The discrete items for the three months ended June 30, 2025 primarily relate to shortfalls on equity award vestings, partially offset by a decrease in valuation allowance. Excluding discrete items, our effective tax rate would have been 29.4% for the three months ended June 30, 2025.</w:t>
      </w:r>
    </w:p>
    <w:p>
      <w:pPr>
        <w:spacing w:after="0" w:line="201" w:lineRule="exact"/>
        <w:rPr>
          <w:sz w:val="20"/>
          <w:szCs w:val="20"/>
          <w:color w:val="auto"/>
        </w:rPr>
      </w:pPr>
    </w:p>
    <w:p>
      <w:pPr>
        <w:ind w:right="300" w:firstLine="395"/>
        <w:spacing w:after="0" w:line="252" w:lineRule="auto"/>
        <w:rPr>
          <w:sz w:val="20"/>
          <w:szCs w:val="20"/>
          <w:color w:val="auto"/>
        </w:rPr>
      </w:pPr>
      <w:r>
        <w:rPr>
          <w:rFonts w:ascii="Times New Roman" w:cs="Times New Roman" w:eastAsia="Times New Roman" w:hAnsi="Times New Roman"/>
          <w:sz w:val="18"/>
          <w:szCs w:val="18"/>
          <w:color w:val="auto"/>
        </w:rPr>
        <w:t>For the three months ended June 30, 2024, the net effect of discrete items increased the effective tax rate by 59.7%. The discrete items for the three months ended June 30, 2024 relate to shortfalls on equity award vestings and a one-time charge of $6.3 million related to the reversal of a deferred tax asset resulting from the expiration of equity awards granted to the Company’s Founder and Executive Chairman. Excluding discrete items, our effective tax rate would have been 18.4% for the three months ended June 30, 2024.</w:t>
      </w:r>
    </w:p>
    <w:p>
      <w:pPr>
        <w:spacing w:after="0" w:line="118"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2025 and 2024</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60" w:type="dxa"/>
            <w:vAlign w:val="bottom"/>
          </w:tcPr>
          <w:p>
            <w:pPr>
              <w:spacing w:after="0"/>
              <w:rPr>
                <w:sz w:val="16"/>
                <w:szCs w:val="16"/>
                <w:color w:val="auto"/>
              </w:rPr>
            </w:pPr>
          </w:p>
        </w:tc>
      </w:tr>
      <w:tr>
        <w:trPr>
          <w:trHeight w:val="24"/>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5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509,610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434,368</w:t>
            </w:r>
          </w:p>
        </w:tc>
        <w:tc>
          <w:tcPr>
            <w:tcW w:w="120" w:type="dxa"/>
            <w:vAlign w:val="bottom"/>
          </w:tcPr>
          <w:p>
            <w:pPr>
              <w:spacing w:after="0"/>
              <w:rPr>
                <w:sz w:val="18"/>
                <w:szCs w:val="18"/>
                <w:color w:val="auto"/>
              </w:rPr>
            </w:pPr>
          </w:p>
        </w:tc>
        <w:tc>
          <w:tcPr>
            <w:tcW w:w="2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75,242</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206,882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27,424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r>
      <w:tr>
        <w:trPr>
          <w:trHeight w:val="209"/>
        </w:trPr>
        <w:tc>
          <w:tcPr>
            <w:tcW w:w="5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106,741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68,471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38,270</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r>
      <w:tr>
        <w:trPr>
          <w:trHeight w:val="202"/>
        </w:trPr>
        <w:tc>
          <w:tcPr>
            <w:tcW w:w="512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464,678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396,956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67,722</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06"/>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37,412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7,520</w:t>
            </w: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r>
        <w:trPr>
          <w:trHeight w:val="209"/>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(7,399)</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659 %</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26,478</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4,006 %</w:t>
            </w:r>
          </w:p>
        </w:tc>
      </w:tr>
      <w:tr>
        <w:trPr>
          <w:trHeight w:val="202"/>
        </w:trPr>
        <w:tc>
          <w:tcPr>
            <w:tcW w:w="5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63,549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26,599</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72 %</w:t>
            </w:r>
          </w:p>
        </w:tc>
      </w:tr>
      <w:tr>
        <w:trPr>
          <w:trHeight w:val="212"/>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2"/>
        </w:trPr>
        <w:tc>
          <w:tcPr>
            <w:tcW w:w="5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48,128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19,746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28,382</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144 %</w:t>
            </w:r>
          </w:p>
        </w:tc>
      </w:tr>
      <w:tr>
        <w:trPr>
          <w:trHeight w:val="21"/>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 meaningful</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Revenue increased by $75.2 million, or 17%, to $509.6 million in the six months ended June 30, 2025 compared to the same period in 2024. Revenue was not impacted on a constant currency basis in the six months ended June 30, 2025, compared to the same period in 2024. The increase was largely attributable to revenue recognized from Envato, which we did not have in the same period in 2024, and growth in our data offering during the period.</w:t>
      </w:r>
    </w:p>
    <w:p>
      <w:pPr>
        <w:spacing w:after="0" w:line="1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Our Content revenues increased by 17%, to $402.7 million in the six months ended June 30, 2025, compared to the same period in 2024. Foreign currency fluctuations did not have a significant impact on our Content revenues in the six months ended June 30, 2025. The increase in our Content revenues was driven by the contribution of Envato, which was acquired on July 22, 2024.</w:t>
      </w:r>
    </w:p>
    <w:p>
      <w:pPr>
        <w:spacing w:after="0" w:line="114"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revenues increased by 18%, to $106.9 million in the six months ended June 30, 2025, compared to the same period in 2024. Foreign currency fluctuations did not have a significant impact on our Data, Distribution, and Services revenues in the six months ended June 30, 2025. Data, Distribution, and Services revenues benefited from the timing of data deal revenue recognition, which fluctuates quarter-to-quarter based on the delivery of metadata to our customers, as well as growth in our Distribution and Services offerings.</w:t>
      </w:r>
    </w:p>
    <w:p>
      <w:pPr>
        <w:spacing w:after="0" w:line="78" w:lineRule="exact"/>
        <w:rPr>
          <w:sz w:val="20"/>
          <w:szCs w:val="20"/>
          <w:color w:val="auto"/>
        </w:rPr>
      </w:pPr>
    </w:p>
    <w:p>
      <w:pPr>
        <w:jc w:val="both"/>
        <w:ind w:right="34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$37.5 million, or 16%, to $268.1 million, revenue from Europe increased by $21.8 million, or 20%, to $130.6 million and revenue from outside Europe and North America increased by $15.9 million, or 17%, to $111.0 million, in the six months ended June 30, 2025 compared to the same period in 2024.</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24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increased by $27.4 million, or 15%, to $206.9 million in the six months ended June 30, 2025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2024. This increase was driven by increased royalty and content costs, costs associated with website hosting, hardware and software licenses, and employee related costs, and depreciation and amortization driven by the acquisition of Envato. As a percent of revenue, cost of revenue remained constant at 41% for the six months ended June 30, 2025, compared to the same period in 2024. We expect that our cost of revenue will continue to fluctuate in line with changes in revenue.</w:t>
      </w:r>
    </w:p>
    <w:p>
      <w:pPr>
        <w:spacing w:after="0" w:line="80" w:lineRule="exact"/>
        <w:rPr>
          <w:sz w:val="20"/>
          <w:szCs w:val="20"/>
          <w:color w:val="auto"/>
        </w:rPr>
      </w:pPr>
    </w:p>
    <w:p>
      <w:pPr>
        <w:ind w:right="2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by $2.3 million, or 2%, to $110.4 million in the six months ended June 30, 2025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same period in 2024. This increase was driven by an increase in employee-related costs driven by the Envato business, offset by a decline in performance marketing spend. In addition, there was a $1.2 million increase and a $0.2 million decrease from recurring and non-recurring Giphy Retention Compensation, respectively. As a</w:t>
      </w:r>
    </w:p>
    <w:p>
      <w:pPr>
        <w:spacing w:after="0" w:line="200" w:lineRule="exact"/>
        <w:rPr>
          <w:sz w:val="20"/>
          <w:szCs w:val="20"/>
          <w:color w:val="auto"/>
        </w:rPr>
      </w:pPr>
    </w:p>
    <w:p>
      <w:pPr>
        <w:spacing w:after="0" w:line="31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spacing w:after="0" w:line="332" w:lineRule="auto"/>
        <w:rPr>
          <w:sz w:val="20"/>
          <w:szCs w:val="20"/>
          <w:color w:val="auto"/>
        </w:rPr>
      </w:pPr>
      <w:r>
        <w:rPr>
          <w:rFonts w:ascii="Times New Roman" w:cs="Times New Roman" w:eastAsia="Times New Roman" w:hAnsi="Times New Roman"/>
          <w:sz w:val="16"/>
          <w:szCs w:val="16"/>
          <w:color w:val="auto"/>
        </w:rPr>
        <w:t>percent of revenue, sales and marketing expenses decreased to 22% for the six months ended June 30, 2025, from 25% for the same period in 2024. We expect sales and marketing expenses to continue to fluctuate as we optimize our sales channels and invest in new customer acquisition, products and geographies.</w:t>
      </w:r>
    </w:p>
    <w:p>
      <w:pPr>
        <w:spacing w:after="0" w:line="15" w:lineRule="exact"/>
        <w:rPr>
          <w:sz w:val="20"/>
          <w:szCs w:val="20"/>
          <w:color w:val="auto"/>
        </w:rPr>
      </w:pPr>
    </w:p>
    <w:p>
      <w:pPr>
        <w:ind w:right="120"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Product Development. </w:t>
      </w:r>
      <w:r>
        <w:rPr>
          <w:rFonts w:ascii="Times New Roman" w:cs="Times New Roman" w:eastAsia="Times New Roman" w:hAnsi="Times New Roman"/>
          <w:sz w:val="16"/>
          <w:szCs w:val="16"/>
          <w:color w:val="auto"/>
        </w:rPr>
        <w:t>Product development expenses decreased by $0.3 million, or 1%, to $40.6 million in the six months ended June 30, 2025 as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compared to the same period in 2024. The decrease in product development was driven by decreases of $1.8 million and $7.1 million from recurring and non-recurring Giphy Retention Compensation expenses, respectively. This was partially offset by increases in software licenses and employee-related costs driven by the acquisition of Envato.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50" w:lineRule="exact"/>
        <w:rPr>
          <w:sz w:val="20"/>
          <w:szCs w:val="20"/>
          <w:color w:val="auto"/>
        </w:rPr>
      </w:pPr>
    </w:p>
    <w:p>
      <w:pPr>
        <w:ind w:right="20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$38.3 million, or 56%, to $106.7 million in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2025 compared to the same period in 2024. The increase was driven by $20.6 million associated with the Getty merger, and increases in employee-related costs driven by the acquisition of Envato and bad debt expense. This was partially offset by a decrease professional fees. In addition, there was a $0.4 million increase and a $2.2 million decrease from recurring and non-recurring Giphy Retention Compensation expenses, respectively.</w:t>
      </w:r>
    </w:p>
    <w:p>
      <w:pPr>
        <w:spacing w:after="0" w:line="75" w:lineRule="exact"/>
        <w:rPr>
          <w:sz w:val="20"/>
          <w:szCs w:val="20"/>
          <w:color w:val="auto"/>
        </w:rPr>
      </w:pPr>
    </w:p>
    <w:p>
      <w:pPr>
        <w:ind w:right="60" w:firstLine="395"/>
        <w:spacing w:after="0" w:line="304" w:lineRule="auto"/>
        <w:rPr>
          <w:sz w:val="20"/>
          <w:szCs w:val="20"/>
          <w:color w:val="auto"/>
        </w:rPr>
      </w:pPr>
      <w:r>
        <w:rPr>
          <w:rFonts w:ascii="Times New Roman" w:cs="Times New Roman" w:eastAsia="Times New Roman" w:hAnsi="Times New Roman"/>
          <w:sz w:val="16"/>
          <w:szCs w:val="16"/>
          <w:i w:val="1"/>
          <w:iCs w:val="1"/>
          <w:color w:val="auto"/>
        </w:rPr>
        <w:t>Interest Expense</w:t>
      </w:r>
      <w:r>
        <w:rPr>
          <w:rFonts w:ascii="Times New Roman" w:cs="Times New Roman" w:eastAsia="Times New Roman" w:hAnsi="Times New Roman"/>
          <w:sz w:val="16"/>
          <w:szCs w:val="16"/>
          <w:color w:val="auto"/>
        </w:rPr>
        <w:t>. In the six months ended June 30, 2025 and June 30, 2024, we recognized interest expense of $8.5 million and $1.1 million, respectively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related to our credit facility and the amortization of deferred financing fees. Interest expense for the six months ended June 30, 2025 increased due to borrowings under the A&amp;R Credit Agreement entered into during the quarter ended September 30, 2024 to fund the acquisition of Envato.</w:t>
      </w:r>
    </w:p>
    <w:p>
      <w:pPr>
        <w:spacing w:after="0" w:line="3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During the six months ended June 30, 2025, other income, net substantially consisted of $2.0 million of interest income and</w:t>
      </w:r>
    </w:p>
    <w:p>
      <w:pPr>
        <w:spacing w:after="0" w:line="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6"/>
          <w:szCs w:val="16"/>
          <w:color w:val="auto"/>
        </w:rPr>
        <w:t>$31.3 million of unrealized gains related to our investment in Meitu, Inc., partially offset by a $5.0 million expense related to the impairment of our long-term investment in an equity security, and $1.2 million of unrealized foreign currency losses. During the six months ended June 30, 2024 other income, net consisted of $1.9 million of unfavorable unrealized foreign currency fluctuations and $2.4 million of interest income. As we increase the volume of business transacted in foreign currencies resulting from international expansion and as currency rates fluctuate, we expect foreign currency gains and losses to continue to fluctuate.</w:t>
      </w:r>
    </w:p>
    <w:p>
      <w:pPr>
        <w:spacing w:after="0" w:line="51" w:lineRule="exact"/>
        <w:rPr>
          <w:sz w:val="20"/>
          <w:szCs w:val="20"/>
          <w:color w:val="auto"/>
        </w:rPr>
      </w:pPr>
    </w:p>
    <w:p>
      <w:pPr>
        <w:ind w:right="54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Income tax expense decreased by $1.8 million for the six months ended June 30, 2025 as compared to the same period in 2024.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yielded an expense of 24.3% and 46.6% for the six months ended June 30, 2025 and 2024, respectively.</w:t>
      </w:r>
    </w:p>
    <w:p>
      <w:pPr>
        <w:spacing w:after="0" w:line="61" w:lineRule="exact"/>
        <w:rPr>
          <w:sz w:val="20"/>
          <w:szCs w:val="20"/>
          <w:color w:val="auto"/>
        </w:rPr>
      </w:pPr>
    </w:p>
    <w:p>
      <w:pPr>
        <w:jc w:val="both"/>
        <w:ind w:right="260" w:firstLine="395"/>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2025, the net effect of discrete items decreased the effective tax rate by 4.7%. The discrete items for the six months ended June 30, 2025 relate to shortfalls on equity award vestings. Excluding discrete items, our effective tax rate would have been 29.0% for the six months ended June 30, 2025.</w:t>
      </w:r>
    </w:p>
    <w:p>
      <w:pPr>
        <w:spacing w:after="0" w:line="75" w:lineRule="exact"/>
        <w:rPr>
          <w:sz w:val="20"/>
          <w:szCs w:val="20"/>
          <w:color w:val="auto"/>
        </w:rPr>
      </w:pPr>
    </w:p>
    <w:p>
      <w:pPr>
        <w:jc w:val="both"/>
        <w:ind w:right="180" w:firstLine="395"/>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2024, the net effect of discrete items increased the effective tax rate by 27.6%. The discrete items for the six months ended June 30, 2024 relate to shortfalls on equity award vestings and a one-time charge of $6.3 million related to the reversal of a deferred tax asset resulting from the expiration of equity awards granted to the Company’s Founder and Executive Chairman. Excluding discrete items, our effective tax rate would have been 19.0% for the six months ended June 30, 2024.</w:t>
      </w:r>
    </w:p>
    <w:p>
      <w:pPr>
        <w:spacing w:after="0" w:line="78"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52"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color w:val="auto"/>
        </w:rPr>
        <w:t>Our operating results have in the past fluctuated from quarter to quarter as a result of a variety of factors, including the effects of some seasonal trends in customer behavior, timing of acquisitions and the timing of revenue recognition associated with data deal partnerships. For example, for the Content business,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w:t>
      </w:r>
    </w:p>
    <w:p>
      <w:pPr>
        <w:spacing w:after="0" w:line="106" w:lineRule="exact"/>
        <w:rPr>
          <w:sz w:val="20"/>
          <w:szCs w:val="20"/>
          <w:color w:val="auto"/>
        </w:rPr>
      </w:pPr>
    </w:p>
    <w:p>
      <w:pPr>
        <w:jc w:val="both"/>
        <w:ind w:right="220" w:firstLine="395"/>
        <w:spacing w:after="0" w:line="303" w:lineRule="auto"/>
        <w:rPr>
          <w:sz w:val="20"/>
          <w:szCs w:val="20"/>
          <w:color w:val="auto"/>
        </w:rPr>
      </w:pPr>
      <w:r>
        <w:rPr>
          <w:rFonts w:ascii="Times New Roman" w:cs="Times New Roman" w:eastAsia="Times New Roman" w:hAnsi="Times New Roman"/>
          <w:sz w:val="16"/>
          <w:szCs w:val="16"/>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w:t>
      </w:r>
    </w:p>
    <w:p>
      <w:pPr>
        <w:spacing w:after="0" w:line="200" w:lineRule="exact"/>
        <w:rPr>
          <w:sz w:val="20"/>
          <w:szCs w:val="20"/>
          <w:color w:val="auto"/>
        </w:rPr>
      </w:pPr>
    </w:p>
    <w:p>
      <w:pPr>
        <w:spacing w:after="0" w:line="27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jc w:val="both"/>
        <w:ind w:right="420" w:firstLine="395"/>
        <w:spacing w:after="0" w:line="256" w:lineRule="auto"/>
        <w:rPr>
          <w:sz w:val="20"/>
          <w:szCs w:val="20"/>
          <w:color w:val="auto"/>
        </w:rPr>
      </w:pPr>
      <w:r>
        <w:rPr>
          <w:rFonts w:ascii="Times New Roman" w:cs="Times New Roman" w:eastAsia="Times New Roman" w:hAnsi="Times New Roman"/>
          <w:sz w:val="18"/>
          <w:szCs w:val="18"/>
          <w:color w:val="auto"/>
        </w:rPr>
        <w:t>As of June 30, 2025, we had cash and cash equivalents totaling $116.4 million which consisted primarily of bank balances. Since inception, we have financed our operations primarily through cash flows generated from operations. In addition, if necessary, we have the ability to draw on our A&amp;R Credit Agreement dated July 22, 2024.</w:t>
      </w:r>
    </w:p>
    <w:p>
      <w:pPr>
        <w:spacing w:after="0" w:line="75" w:lineRule="exact"/>
        <w:rPr>
          <w:sz w:val="20"/>
          <w:szCs w:val="20"/>
          <w:color w:val="auto"/>
        </w:rPr>
      </w:pPr>
    </w:p>
    <w:p>
      <w:pPr>
        <w:ind w:right="200" w:firstLine="395"/>
        <w:spacing w:after="0" w:line="250"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and content acquisitions. In addition, our capital allocation strategies also include funding business combinations and asset acquisitions that enhance our strategic position, cash dividend payments, principle and interest payments under our credit facilities and share purchases under our share repurchase programs.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$0.66 per share of common stock, or $23.1 million during the six months ended June 30, 2025.</w:t>
      </w:r>
    </w:p>
    <w:p>
      <w:pPr>
        <w:spacing w:after="0" w:line="8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On July 21, 2025, our Board of Directors declared a quarterly cash dividend of $0.33 per share of outstanding common stock payable on September 18,</w:t>
      </w:r>
    </w:p>
    <w:p>
      <w:pPr>
        <w:spacing w:after="0" w:line="44" w:lineRule="exact"/>
        <w:rPr>
          <w:sz w:val="20"/>
          <w:szCs w:val="20"/>
          <w:color w:val="auto"/>
        </w:rPr>
      </w:pPr>
    </w:p>
    <w:p>
      <w:pPr>
        <w:ind w:right="320"/>
        <w:spacing w:after="0" w:line="245" w:lineRule="auto"/>
        <w:rPr>
          <w:sz w:val="20"/>
          <w:szCs w:val="20"/>
          <w:color w:val="auto"/>
        </w:rPr>
      </w:pPr>
      <w:r>
        <w:rPr>
          <w:rFonts w:ascii="Times New Roman" w:cs="Times New Roman" w:eastAsia="Times New Roman" w:hAnsi="Times New Roman"/>
          <w:sz w:val="18"/>
          <w:szCs w:val="18"/>
          <w:color w:val="auto"/>
        </w:rPr>
        <w:t>2025 to stockholders of record at the close of business on September 4, 2025.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8" w:lineRule="exact"/>
        <w:rPr>
          <w:sz w:val="20"/>
          <w:szCs w:val="20"/>
          <w:color w:val="auto"/>
        </w:rPr>
      </w:pPr>
    </w:p>
    <w:p>
      <w:pPr>
        <w:ind w:right="160" w:firstLine="395"/>
        <w:spacing w:after="0" w:line="268" w:lineRule="auto"/>
        <w:rPr>
          <w:sz w:val="20"/>
          <w:szCs w:val="20"/>
          <w:color w:val="auto"/>
        </w:rPr>
      </w:pPr>
      <w:r>
        <w:rPr>
          <w:rFonts w:ascii="Times New Roman" w:cs="Times New Roman" w:eastAsia="Times New Roman" w:hAnsi="Times New Roman"/>
          <w:sz w:val="18"/>
          <w:szCs w:val="18"/>
          <w:color w:val="auto"/>
        </w:rPr>
        <w:t>In June 2023, our Board of Directors approved a share repurchase program (the “Share Repurchase Program”), providing authorization to repurchase up to $100 million of our common stock.</w:t>
      </w:r>
    </w:p>
    <w:p>
      <w:pPr>
        <w:spacing w:after="0" w:line="64" w:lineRule="exact"/>
        <w:rPr>
          <w:sz w:val="20"/>
          <w:szCs w:val="20"/>
          <w:color w:val="auto"/>
        </w:rPr>
      </w:pPr>
    </w:p>
    <w:p>
      <w:pPr>
        <w:ind w:right="260" w:firstLine="395"/>
        <w:spacing w:after="0" w:line="293" w:lineRule="auto"/>
        <w:rPr>
          <w:sz w:val="20"/>
          <w:szCs w:val="20"/>
          <w:color w:val="auto"/>
        </w:rPr>
      </w:pPr>
      <w:r>
        <w:rPr>
          <w:rFonts w:ascii="Times New Roman" w:cs="Times New Roman" w:eastAsia="Times New Roman" w:hAnsi="Times New Roman"/>
          <w:sz w:val="16"/>
          <w:szCs w:val="16"/>
          <w:color w:val="auto"/>
        </w:rPr>
        <w:t>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49" w:lineRule="exact"/>
        <w:rPr>
          <w:sz w:val="20"/>
          <w:szCs w:val="20"/>
          <w:color w:val="auto"/>
        </w:rPr>
      </w:pPr>
    </w:p>
    <w:p>
      <w:pPr>
        <w:jc w:val="both"/>
        <w:ind w:firstLine="395"/>
        <w:spacing w:after="0" w:line="252" w:lineRule="auto"/>
        <w:rPr>
          <w:sz w:val="20"/>
          <w:szCs w:val="20"/>
          <w:color w:val="auto"/>
        </w:rPr>
      </w:pPr>
      <w:r>
        <w:rPr>
          <w:rFonts w:ascii="Times New Roman" w:cs="Times New Roman" w:eastAsia="Times New Roman" w:hAnsi="Times New Roman"/>
          <w:sz w:val="18"/>
          <w:szCs w:val="18"/>
          <w:color w:val="auto"/>
        </w:rPr>
        <w:t>As of June 30, 2025, we have repurchased approximately 5.5 million shares of our common stock under the Share Repurchase Program at an average per-share cost of $48.86. During the three and six months ended June 30, 2025, we did not repurchase shares of our common stock. During the three and six months ended June 30, 2024, we repurchased approximately 517,000 shares of our common stock at an average cost of $39.83. As of June 30, 2025, we had $30 million of remaining authorization for repurchases under the Share Repurchase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and A&amp;R Credit Agreement</w:t>
      </w:r>
    </w:p>
    <w:p>
      <w:pPr>
        <w:spacing w:after="0" w:line="58"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permitted,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July 22, 2024, we entered into an amended and restated credit agreement (the “A&amp;R Credit Agreement”), which was entered into among us,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borrower, certain direct and indirect subsidiaries of our as guarantors, the lenders party thereto, and Bank of America, N.A., as Administrative Agent for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The A&amp;R Credit Agreement provides for a five-year (i) senior unsecured term loan facility (the “Term Loan”) in an aggregate principal amount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$125 million and (ii) senior unsecured revolving credit facility (the “Revolver”) in an aggregate principal amount of $250 million. The A&amp;R Credit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provides for a letter of credit subfacility and a swingline facility.</w:t>
      </w:r>
    </w:p>
    <w:p>
      <w:pPr>
        <w:spacing w:after="0" w:line="9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our option, loans under the A&amp;R Credit Agreement accrue interest at a per annum rate based on either (i) the base rate plus a margin ranging from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0.375% to 0.750%, determined based on our consolidated leverage ratio or (ii) the Term Secured Overnight Financing Rate (“SOFR”) (for interest periods of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 or 6 months) plus a margin ranging from 1.375% to 1.750%, determined based on our consolidated leverage ratio, plus a credit spread of 0.100%. We are also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to pay an unused commitment fee ranging from 0.175% to 0.250%, determined based on our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we paid debt issuance costs of approximately $2.2 million.</w:t>
      </w:r>
    </w:p>
    <w:p>
      <w:pPr>
        <w:spacing w:after="0" w:line="200" w:lineRule="exact"/>
        <w:rPr>
          <w:sz w:val="20"/>
          <w:szCs w:val="20"/>
          <w:color w:val="auto"/>
        </w:rPr>
      </w:pPr>
    </w:p>
    <w:p>
      <w:pPr>
        <w:spacing w:after="0" w:line="32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40" w:firstLine="395"/>
        <w:spacing w:after="0" w:line="332" w:lineRule="auto"/>
        <w:rPr>
          <w:sz w:val="20"/>
          <w:szCs w:val="20"/>
          <w:color w:val="auto"/>
        </w:rPr>
      </w:pPr>
      <w:r>
        <w:rPr>
          <w:rFonts w:ascii="Times New Roman" w:cs="Times New Roman" w:eastAsia="Times New Roman" w:hAnsi="Times New Roman"/>
          <w:sz w:val="16"/>
          <w:szCs w:val="16"/>
          <w:color w:val="auto"/>
        </w:rPr>
        <w:t>The A&amp;R Credit Agreement replaces our existing Credit Facility, which was fully repaid and terminated upon the effectiveness of the A&amp;R Credit Agreement. In connection with the closing of the Credit Facility, we repaid $30 million of existing outstanding borrowings and accrued interest.</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June 30, 2025, we had a remaining borrowing capacity of $94 million, net of standby letters of credit.</w:t>
      </w:r>
    </w:p>
    <w:p>
      <w:pPr>
        <w:spacing w:after="0" w:line="109"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A&amp;R Credit Agreement contains financial covenants and requirements restricting certain of our activities, which are customary for this type of credit facility. We are also required to maintain compliance with a consolidated leverage ratio and a consolidated interest coverage ratio, in each case, determined in accordance with the terms of the A&amp;R Credit Agreement. As of June 30, 2025, we were in compliance with these covenants.</w:t>
      </w:r>
    </w:p>
    <w:p>
      <w:pPr>
        <w:spacing w:after="0" w:line="75"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Our outstanding debt (in thousands) is reflected in the table below. We classify the Revolver as a current liability since we could draw upon and repay the outstanding amount as needed. The maturity of the Revolver is in 2029.</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debt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6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4"/>
        </w:trPr>
        <w:tc>
          <w:tcPr>
            <w:tcW w:w="796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9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Debt:</w:t>
            </w: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r>
      <w:tr>
        <w:trPr>
          <w:trHeight w:val="209"/>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Revolver - A&amp;R Credit Agreement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155,000</w:t>
            </w:r>
          </w:p>
        </w:tc>
        <w:tc>
          <w:tcPr>
            <w:tcW w:w="100" w:type="dxa"/>
            <w:vAlign w:val="bottom"/>
          </w:tcPr>
          <w:p>
            <w:pPr>
              <w:spacing w:after="0"/>
              <w:rPr>
                <w:sz w:val="18"/>
                <w:szCs w:val="18"/>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155,000</w:t>
            </w:r>
          </w:p>
        </w:tc>
      </w:tr>
      <w:tr>
        <w:trPr>
          <w:trHeight w:val="212"/>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3,106</w:t>
            </w:r>
          </w:p>
        </w:tc>
      </w:tr>
      <w:tr>
        <w:trPr>
          <w:trHeight w:val="210"/>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Debt: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 A&amp;R Credit Agreement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118,119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119,598</w:t>
            </w:r>
          </w:p>
        </w:tc>
      </w:tr>
    </w:tbl>
    <w:p>
      <w:pPr>
        <w:spacing w:after="0" w:line="126" w:lineRule="exact"/>
        <w:rPr>
          <w:sz w:val="20"/>
          <w:szCs w:val="20"/>
          <w:color w:val="auto"/>
        </w:rPr>
      </w:pPr>
    </w:p>
    <w:p>
      <w:pPr>
        <w:ind w:right="220" w:firstLine="395"/>
        <w:spacing w:after="0" w:line="332" w:lineRule="auto"/>
        <w:rPr>
          <w:sz w:val="20"/>
          <w:szCs w:val="20"/>
          <w:color w:val="auto"/>
        </w:rPr>
      </w:pPr>
      <w:r>
        <w:rPr>
          <w:rFonts w:ascii="Times New Roman" w:cs="Times New Roman" w:eastAsia="Times New Roman" w:hAnsi="Times New Roman"/>
          <w:sz w:val="16"/>
          <w:szCs w:val="16"/>
          <w:color w:val="auto"/>
        </w:rPr>
        <w:t>Based on Level 2 inputs, the carrying value of our debt approximates its fair value, as borrowings are subject to variable interest rates that adjust with changes in market rates and market conditions and the current interest rate approximates that which would be available under similar financial arrangements.</w:t>
      </w:r>
    </w:p>
    <w:p>
      <w:pPr>
        <w:spacing w:after="0" w:line="17" w:lineRule="exact"/>
        <w:rPr>
          <w:sz w:val="20"/>
          <w:szCs w:val="20"/>
          <w:color w:val="auto"/>
        </w:rPr>
      </w:pPr>
    </w:p>
    <w:p>
      <w:pPr>
        <w:ind w:right="320" w:firstLine="395"/>
        <w:spacing w:after="0" w:line="268" w:lineRule="auto"/>
        <w:rPr>
          <w:sz w:val="20"/>
          <w:szCs w:val="20"/>
          <w:color w:val="auto"/>
        </w:rPr>
      </w:pPr>
      <w:r>
        <w:rPr>
          <w:rFonts w:ascii="Times New Roman" w:cs="Times New Roman" w:eastAsia="Times New Roman" w:hAnsi="Times New Roman"/>
          <w:sz w:val="18"/>
          <w:szCs w:val="18"/>
          <w:color w:val="auto"/>
        </w:rPr>
        <w:t>For the three and six months ended June 30, 2025, we recognized interest expense of $4.2 million and $8.5 million, respectively. As of June 30, 2025, unamortized debt issuance cost related to the Term Loan - A&amp;R Credit Agreement is $0.6 million.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3"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49"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As of June 30, 2025, we had approximately $29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June 30, 2025, we had approximately $33 million in operating lease obligations with lease payments extending through 2029.</w:t>
      </w:r>
    </w:p>
    <w:p>
      <w:pPr>
        <w:spacing w:after="0" w:line="78"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See Note 16 to our Unaudited Consolidated Financial Statements included in Part I, Item 1 of this Quarterly Report on Form 10-Q for information regarding our existing capital commitments as of June 30,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six months ended June 30, 2025 and 2024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403"/>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8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ind w:left="405"/>
              <w:spacing w:after="0"/>
              <w:rPr>
                <w:sz w:val="20"/>
                <w:szCs w:val="20"/>
                <w:color w:val="auto"/>
              </w:rPr>
            </w:pPr>
            <w:r>
              <w:rPr>
                <w:rFonts w:ascii="Times New Roman" w:cs="Times New Roman" w:eastAsia="Times New Roman" w:hAnsi="Times New Roman"/>
                <w:sz w:val="16"/>
                <w:szCs w:val="16"/>
                <w:color w:val="auto"/>
                <w:w w:val="99"/>
              </w:rPr>
              <w:t>52,083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36,265</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center"/>
              <w:ind w:left="385"/>
              <w:spacing w:after="0"/>
              <w:rPr>
                <w:sz w:val="20"/>
                <w:szCs w:val="20"/>
                <w:color w:val="auto"/>
              </w:rPr>
            </w:pPr>
            <w:r>
              <w:rPr>
                <w:rFonts w:ascii="Times New Roman" w:cs="Times New Roman" w:eastAsia="Times New Roman" w:hAnsi="Times New Roman"/>
                <w:sz w:val="16"/>
                <w:szCs w:val="16"/>
                <w:color w:val="auto"/>
                <w:w w:val="98"/>
              </w:rPr>
              <w:t>(26,199)</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(8,227)</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ind w:left="385"/>
              <w:spacing w:after="0"/>
              <w:rPr>
                <w:sz w:val="20"/>
                <w:szCs w:val="20"/>
                <w:color w:val="auto"/>
              </w:rPr>
            </w:pPr>
            <w:r>
              <w:rPr>
                <w:rFonts w:ascii="Times New Roman" w:cs="Times New Roman" w:eastAsia="Times New Roman" w:hAnsi="Times New Roman"/>
                <w:sz w:val="16"/>
                <w:szCs w:val="16"/>
                <w:color w:val="auto"/>
                <w:w w:val="98"/>
              </w:rPr>
              <w:t>(29,699)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(50,778)</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w:t>
      </w:r>
    </w:p>
    <w:p>
      <w:pPr>
        <w:spacing w:after="0" w:line="200" w:lineRule="exact"/>
        <w:rPr>
          <w:sz w:val="20"/>
          <w:szCs w:val="20"/>
          <w:color w:val="auto"/>
        </w:rPr>
      </w:pPr>
    </w:p>
    <w:p>
      <w:pPr>
        <w:spacing w:after="0" w:line="29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80"/>
        <w:spacing w:after="0" w:line="268" w:lineRule="auto"/>
        <w:rPr>
          <w:sz w:val="20"/>
          <w:szCs w:val="20"/>
          <w:color w:val="auto"/>
        </w:rPr>
      </w:pPr>
      <w:r>
        <w:rPr>
          <w:rFonts w:ascii="Times New Roman" w:cs="Times New Roman" w:eastAsia="Times New Roman" w:hAnsi="Times New Roman"/>
          <w:sz w:val="18"/>
          <w:szCs w:val="18"/>
          <w:color w:val="auto"/>
        </w:rPr>
        <w:t>operating activities are for the payment of royalties to content contributors, employee-related expenditures and the payment of other operating expenses incurred in the ordinary course of business.</w:t>
      </w:r>
    </w:p>
    <w:p>
      <w:pPr>
        <w:spacing w:after="0" w:line="104" w:lineRule="exact"/>
        <w:rPr>
          <w:sz w:val="20"/>
          <w:szCs w:val="20"/>
          <w:color w:val="auto"/>
        </w:rPr>
      </w:pPr>
    </w:p>
    <w:p>
      <w:pPr>
        <w:ind w:right="420" w:firstLine="395"/>
        <w:spacing w:after="0" w:line="252" w:lineRule="auto"/>
        <w:rPr>
          <w:sz w:val="20"/>
          <w:szCs w:val="20"/>
          <w:color w:val="auto"/>
        </w:rPr>
      </w:pPr>
      <w:r>
        <w:rPr>
          <w:rFonts w:ascii="Times New Roman" w:cs="Times New Roman" w:eastAsia="Times New Roman" w:hAnsi="Times New Roman"/>
          <w:sz w:val="18"/>
          <w:szCs w:val="18"/>
          <w:color w:val="auto"/>
        </w:rPr>
        <w:t>Net cash provided by operating activities was $52.1 million for the six months ended June 30, 2025, compared to Net cash provided by operating activities of $36.3 million for the six months ended June 30, 2024. In the six months ended June 30, 2025, operating cash flows included a $35.7 million decrease in the recurring and non-recurring payments made to the Giphy workforce, the reimbursement of which is reflected in Investing Activities on the Statement of Cash Flows.</w:t>
      </w:r>
    </w:p>
    <w:p>
      <w:pPr>
        <w:spacing w:after="0" w:line="104" w:lineRule="exact"/>
        <w:rPr>
          <w:sz w:val="20"/>
          <w:szCs w:val="20"/>
          <w:color w:val="auto"/>
        </w:rPr>
      </w:pPr>
    </w:p>
    <w:p>
      <w:pPr>
        <w:ind w:right="520" w:firstLine="395"/>
        <w:spacing w:after="0" w:line="268" w:lineRule="auto"/>
        <w:rPr>
          <w:sz w:val="20"/>
          <w:szCs w:val="20"/>
          <w:color w:val="auto"/>
        </w:rPr>
      </w:pPr>
      <w:r>
        <w:rPr>
          <w:rFonts w:ascii="Times New Roman" w:cs="Times New Roman" w:eastAsia="Times New Roman" w:hAnsi="Times New Roman"/>
          <w:sz w:val="18"/>
          <w:szCs w:val="18"/>
          <w:color w:val="auto"/>
        </w:rPr>
        <w:t>Operating cash flows for the six months ended June 30, 2024 included the recurring and non-recurring payments made to the Giphy workforce, the reimbursement of which is reflected in Investing Activities on the Statement of Cash Flows.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50"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for the six months ended June 30, 2025 was $26.2 million, consisting primarily of (i) capital expenditures of $22.1 million for internal-use software and website development costs and purchases of software and equipment; and (ii) $5.0 million paid to acquire the rights to distribute certain digital content into perpetuity. These cash outflows were partially offset by $0.9 million of Giphy Retention Compensation, as reimbursed by the Giphy seller.</w:t>
      </w:r>
    </w:p>
    <w:p>
      <w:pPr>
        <w:spacing w:after="0" w:line="78"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in the six months ended June 30, 2024 was $8.2 million, consisting primarily of (i) capital expenditures of $23.5 million for internal-use software and website development costs and purchases of software and equipment, (ii) $19.5 million used in the acquisition of Backgrid, net of cash acquired, and (iii) $1.8 million paid to acquire the rights to distribute certain digital content in perpetuity. These cash outflows were partially offset by (i) $36.5 million of Giphy Retention Compensation, as reimbursed by the Giphy seller.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58" w:lineRule="exact"/>
        <w:rPr>
          <w:sz w:val="20"/>
          <w:szCs w:val="20"/>
          <w:color w:val="auto"/>
        </w:rPr>
      </w:pPr>
    </w:p>
    <w:p>
      <w:pPr>
        <w:jc w:val="both"/>
        <w:ind w:right="160"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2025 was $29.7 million, consisting of (i) $23.1 million, related to the payment of the quarterly cash dividend; (ii) $5.0 million paid in the settlement of tax withholding obligations related to employee stock-based compensation awards; and (ii) $1.6 million used for the repayment of our Credit Facility.</w:t>
      </w:r>
    </w:p>
    <w:p>
      <w:pPr>
        <w:spacing w:after="0" w:line="75"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in the six months ended June 30, 2024 was $50.8 million, consisting of (i) $21.3 million related to the payment of the quarterly cash dividend; (ii) $20.6 million paid in connection with the repurchase of common stock under our 2023 Share Repurchase Program; and (iii) $8.9 million paid in settlement of tax withholding obligations related to employee stock-based compensation awards.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net income, adjusted net income per diluted common share, adjusted EBITDA, adjusted EBITDA margin, revenue growth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700" w:type="dxa"/>
            <w:vAlign w:val="bottom"/>
            <w:gridSpan w:val="4"/>
          </w:tcPr>
          <w:p>
            <w:pPr>
              <w:jc w:val="right"/>
              <w:ind w:right="62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42,872</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35,897</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79,164</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69,018</w:t>
            </w: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82,236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62,072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145,600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118,049</w:t>
            </w: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17,498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36,184</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40,882</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47,430</w:t>
            </w:r>
          </w:p>
        </w:tc>
      </w:tr>
      <w:tr>
        <w:trPr>
          <w:trHeight w:val="212"/>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r>
    </w:tbl>
    <w:p>
      <w:pPr>
        <w:spacing w:after="0" w:line="200" w:lineRule="exact"/>
        <w:rPr>
          <w:sz w:val="20"/>
          <w:szCs w:val="20"/>
          <w:color w:val="auto"/>
        </w:rPr>
      </w:pPr>
    </w:p>
    <w:p>
      <w:pPr>
        <w:spacing w:after="0" w:line="308"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net income, adjusted net income per diluted common share, adjusted EBITDA, adjusted EBITDA margin,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w:t>
      </w: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color w:val="auto"/>
        </w:rPr>
        <w:t>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64"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82"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net income, adjusted net income per diluted common share, adjusted EBITDA, adjusted EBITDA margin, revenue growth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net income, adjusted net income per diluted common share, adjusted EBITDA and adjusted EBITDA margin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w:t>
      </w:r>
    </w:p>
    <w:p>
      <w:pPr>
        <w:spacing w:after="0" w:line="125"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06"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color w:val="auto"/>
        </w:rPr>
        <w:t>Our method for calculating adjusted net income, adjusted net income per diluted common share, adjusted EBITDA, adjusted EBITDA margin, revenue growth (including by product offering) on a constant currency basis (expressed as a percentage) and adjusted free cash flow, as well as a reconciliation of the differences between each of our non-GAAP financial measures (adjusted EBITDA, adjusted net income, revenue growth (including by product offering) on a constant currency basis (expressed as a percentage) and adjusted free cash flow), and each measure’s most directly comparable financial measure calculated and presented in accordance with GAAP, is presented below.</w:t>
      </w:r>
    </w:p>
    <w:p>
      <w:pPr>
        <w:spacing w:after="0" w:line="80"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three months ended June 30, 2025, the Company also incurred $4.3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32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8"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We define adjusted net income as net income adjusted for the impact of non-cash equity-based compensation, the amortization of acquisition-related intangible assets, impairment loss on long-term investment, Giphy Retention Compensation Expense - non-recurring, unrealized gains and losses on investments, severance costs associated with strategic workforce optimizations, costs incurred associated with the Getty merger, and the estimated tax impact of such adjustments. We define adjusted net income per diluted common share as adjusted net income divided by weighted average diluted shares.</w:t>
      </w:r>
    </w:p>
    <w:p>
      <w:pPr>
        <w:spacing w:after="0" w:line="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6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29,440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19,746</w:t>
            </w: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14,976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26,126</w:t>
            </w:r>
          </w:p>
        </w:tc>
      </w:tr>
      <w:tr>
        <w:trPr>
          <w:trHeight w:val="211"/>
        </w:trPr>
        <w:tc>
          <w:tcPr>
            <w:tcW w:w="5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(1)(2)</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1"/>
        </w:trPr>
        <w:tc>
          <w:tcPr>
            <w:tcW w:w="53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0"/>
                <w:szCs w:val="20"/>
                <w:color w:val="auto"/>
                <w:vertAlign w:val="superscript"/>
              </w:rPr>
              <w:t>(3)</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18,326</w:t>
            </w:r>
          </w:p>
        </w:tc>
      </w:tr>
      <w:tr>
        <w:trPr>
          <w:trHeight w:val="211"/>
        </w:trPr>
        <w:tc>
          <w:tcPr>
            <w:tcW w:w="5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(4,306)</w:t>
            </w:r>
          </w:p>
        </w:tc>
      </w:tr>
      <w:tr>
        <w:trPr>
          <w:trHeight w:val="211"/>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long-term investment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11,544</w:t>
            </w:r>
          </w:p>
        </w:tc>
      </w:tr>
      <w:tr>
        <w:trPr>
          <w:trHeight w:val="212"/>
        </w:trPr>
        <w:tc>
          <w:tcPr>
            <w:tcW w:w="534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Tax effect of Giphy Retention Compensation Expense - non-recurring</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(2,713)</w:t>
            </w:r>
          </w:p>
        </w:tc>
      </w:tr>
      <w:tr>
        <w:trPr>
          <w:trHeight w:val="209"/>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 related costs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8,710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5340" w:type="dxa"/>
            <w:vAlign w:val="bottom"/>
            <w:shd w:val="clear" w:color="auto" w:fill="CCEEFF"/>
          </w:tcPr>
          <w:p>
            <w:pPr>
              <w:ind w:left="140"/>
              <w:spacing w:after="0" w:line="212" w:lineRule="exact"/>
              <w:rPr>
                <w:sz w:val="20"/>
                <w:szCs w:val="20"/>
                <w:color w:val="auto"/>
              </w:rPr>
            </w:pPr>
            <w:r>
              <w:rPr>
                <w:rFonts w:ascii="Times New Roman" w:cs="Times New Roman" w:eastAsia="Times New Roman" w:hAnsi="Times New Roman"/>
                <w:sz w:val="16"/>
                <w:szCs w:val="16"/>
                <w:color w:val="auto"/>
              </w:rPr>
              <w:t>Tax effect of Merger related costs</w:t>
            </w:r>
            <w:r>
              <w:rPr>
                <w:rFonts w:ascii="Times New Roman" w:cs="Times New Roman" w:eastAsia="Times New Roman" w:hAnsi="Times New Roman"/>
                <w:sz w:val="20"/>
                <w:szCs w:val="20"/>
                <w:color w:val="auto"/>
                <w:vertAlign w:val="superscript"/>
              </w:rPr>
              <w:t>(1)</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3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0"/>
                <w:szCs w:val="20"/>
                <w:color w:val="auto"/>
                <w:vertAlign w:val="superscript"/>
              </w:rPr>
              <w:t>(4)</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1"/>
        </w:trPr>
        <w:tc>
          <w:tcPr>
            <w:tcW w:w="534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0"/>
                <w:szCs w:val="20"/>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4"/>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42,872</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35,897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79,164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69,018</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9"/>
        </w:trPr>
        <w:tc>
          <w:tcPr>
            <w:tcW w:w="5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diluted common share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00" w:type="dxa"/>
            <w:vAlign w:val="bottom"/>
          </w:tcPr>
          <w:p>
            <w:pPr>
              <w:spacing w:after="0"/>
              <w:rPr>
                <w:sz w:val="18"/>
                <w:szCs w:val="18"/>
                <w:color w:val="auto"/>
              </w:rPr>
            </w:pPr>
          </w:p>
        </w:tc>
        <w:tc>
          <w:tcPr>
            <w:tcW w:w="880" w:type="dxa"/>
            <w:vAlign w:val="bottom"/>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63"/>
        </w:trPr>
        <w:tc>
          <w:tcPr>
            <w:tcW w:w="53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35,982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35,642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36,023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12" w:lineRule="exact"/>
        <w:rPr>
          <w:rFonts w:ascii="Times New Roman" w:cs="Times New Roman" w:eastAsia="Times New Roman" w:hAnsi="Times New Roman"/>
          <w:sz w:val="14"/>
          <w:szCs w:val="14"/>
          <w:color w:val="auto"/>
        </w:rPr>
      </w:pPr>
    </w:p>
    <w:p>
      <w:pPr>
        <w:ind w:left="320" w:right="80" w:hanging="315"/>
        <w:spacing w:after="0" w:line="259" w:lineRule="auto"/>
        <w:tabs>
          <w:tab w:leader="none" w:pos="3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of non-cash equity-based compensation in 2024 includes a $6.3 million add-back for the reduction of deferred tax assets associated with the expiration of performance-based stock options and restricted stock units granted the Company’s Founder and Executive Chairman in 2014. The performance-based metrics were not met, the awards were not exercisable, and the Company recognized a non-cash tax expense for the change in deferred taxes.</w:t>
      </w:r>
    </w:p>
    <w:p>
      <w:pPr>
        <w:spacing w:after="0" w:line="81" w:lineRule="exact"/>
        <w:rPr>
          <w:rFonts w:ascii="Times New Roman" w:cs="Times New Roman" w:eastAsia="Times New Roman" w:hAnsi="Times New Roman"/>
          <w:sz w:val="14"/>
          <w:szCs w:val="14"/>
          <w:color w:val="auto"/>
        </w:rPr>
      </w:pPr>
    </w:p>
    <w:p>
      <w:pPr>
        <w:ind w:left="320" w:right="700" w:hanging="315"/>
        <w:spacing w:after="0" w:line="257" w:lineRule="auto"/>
        <w:tabs>
          <w:tab w:leader="none" w:pos="31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amounts, $8.9 million and $8.2 million are included in cost of revenue for the three months ended June 30, 2025 and 2024, respectively. The remainder of acquisition-related amortization expense is included in general and administrative expense in the Statement of Operations.</w:t>
      </w:r>
    </w:p>
    <w:p>
      <w:pPr>
        <w:ind w:left="320" w:hanging="315"/>
        <w:spacing w:after="0"/>
        <w:tabs>
          <w:tab w:leader="none" w:pos="3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consists of unrealized gains and losses on investments and severance costs associated with strategic workforce optimizations.</w:t>
      </w:r>
    </w:p>
    <w:p>
      <w:pPr>
        <w:spacing w:after="0" w:line="200" w:lineRule="exact"/>
        <w:rPr>
          <w:sz w:val="20"/>
          <w:szCs w:val="20"/>
          <w:color w:val="auto"/>
        </w:rPr>
      </w:pPr>
    </w:p>
    <w:p>
      <w:pPr>
        <w:spacing w:after="0" w:line="23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58" w:lineRule="exact"/>
        <w:rPr>
          <w:sz w:val="20"/>
          <w:szCs w:val="20"/>
          <w:color w:val="auto"/>
        </w:rPr>
      </w:pPr>
    </w:p>
    <w:p>
      <w:pPr>
        <w:ind w:right="220" w:firstLine="395"/>
        <w:spacing w:after="0" w:line="252"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Giphy Retention Compensation Expense - non-recurring, costs incurred associated with the Getty merger, foreign currency transaction gains and losses, severance costs associated with strategic workforce optimizations, impairment loss on long-term investment, unrealized gains and losses on investments, interest income and expense and income taxes. We define adjusted EBITDA margin as the ratio of adjusted EBITDA to revenue.</w:t>
      </w:r>
    </w:p>
    <w:p>
      <w:pPr>
        <w:spacing w:after="0" w:line="21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50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9"/>
        </w:trPr>
        <w:tc>
          <w:tcPr>
            <w:tcW w:w="5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29,440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48,128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19,746</w:t>
            </w: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561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8,522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1,123</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34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(1,348)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(2,391)</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13,691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12,935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15,421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17,204</w:t>
            </w:r>
          </w:p>
        </w:tc>
      </w:tr>
      <w:tr>
        <w:trPr>
          <w:trHeight w:val="209"/>
        </w:trPr>
        <w:tc>
          <w:tcPr>
            <w:tcW w:w="5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22,611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21,433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45,282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42,696</w:t>
            </w:r>
          </w:p>
        </w:tc>
      </w:tr>
      <w:tr>
        <w:trPr>
          <w:trHeight w:val="206"/>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EBITDA</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68,889</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37,206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115,341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78,378</w:t>
            </w:r>
          </w:p>
        </w:tc>
      </w:tr>
      <w:tr>
        <w:trPr>
          <w:trHeight w:val="263"/>
        </w:trPr>
        <w:tc>
          <w:tcPr>
            <w:tcW w:w="5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15,625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14,976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33,509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26,126</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4,715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1,005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11,544</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 related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8,710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20,571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loss</w:t>
            </w: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1,482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1,860</w:t>
            </w:r>
          </w:p>
        </w:tc>
      </w:tr>
      <w:tr>
        <w:trPr>
          <w:trHeight w:val="212"/>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 / loss on investment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(18,029)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(31,289)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(130)</w:t>
            </w:r>
          </w:p>
        </w:tc>
      </w:tr>
      <w:tr>
        <w:trPr>
          <w:trHeight w:val="209"/>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Workforce optimization - severance</w:t>
            </w: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271</w:t>
            </w: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loss on long-term investment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82,236</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62,072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145,600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118,049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9"/>
        </w:trPr>
        <w:tc>
          <w:tcPr>
            <w:tcW w:w="5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09"/>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266,990</w:t>
            </w:r>
          </w:p>
        </w:tc>
        <w:tc>
          <w:tcPr>
            <w:tcW w:w="12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509,610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434,368</w:t>
            </w:r>
          </w:p>
        </w:tc>
      </w:tr>
      <w:tr>
        <w:trPr>
          <w:trHeight w:val="212"/>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margin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07"/>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27.2 %</w:t>
            </w:r>
          </w:p>
        </w:tc>
      </w:tr>
    </w:tbl>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product offering) on a Constant Currency Basis</w:t>
      </w:r>
    </w:p>
    <w:p>
      <w:pPr>
        <w:spacing w:after="0" w:line="16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product offering)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266,990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220,053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509,610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434,368</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21 %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2 %</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20 %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6 %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3 %</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199,796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169,951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402,684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343,781</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 on a constant currency basis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16 %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w:t>
            </w:r>
          </w:p>
        </w:tc>
        <w:tc>
          <w:tcPr>
            <w:tcW w:w="0" w:type="dxa"/>
            <w:vAlign w:val="bottom"/>
          </w:tcPr>
          <w:p>
            <w:pPr>
              <w:spacing w:after="0"/>
              <w:rPr>
                <w:sz w:val="1"/>
                <w:szCs w:val="1"/>
                <w:color w:val="auto"/>
              </w:rPr>
            </w:pPr>
          </w:p>
        </w:tc>
      </w:tr>
      <w:tr>
        <w:trPr>
          <w:trHeight w:val="263"/>
        </w:trPr>
        <w:tc>
          <w:tcPr>
            <w:tcW w:w="5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67,194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50,102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106,926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90,587</w:t>
            </w:r>
          </w:p>
        </w:tc>
        <w:tc>
          <w:tcPr>
            <w:tcW w:w="0" w:type="dxa"/>
            <w:vAlign w:val="bottom"/>
          </w:tcPr>
          <w:p>
            <w:pPr>
              <w:spacing w:after="0"/>
              <w:rPr>
                <w:sz w:val="1"/>
                <w:szCs w:val="1"/>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129 %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110 %</w:t>
            </w:r>
          </w:p>
        </w:tc>
        <w:tc>
          <w:tcPr>
            <w:tcW w:w="0" w:type="dxa"/>
            <w:vAlign w:val="bottom"/>
          </w:tcPr>
          <w:p>
            <w:pPr>
              <w:spacing w:after="0"/>
              <w:rPr>
                <w:sz w:val="1"/>
                <w:szCs w:val="1"/>
                <w:color w:val="auto"/>
              </w:rPr>
            </w:pPr>
          </w:p>
        </w:tc>
      </w:tr>
      <w:tr>
        <w:trPr>
          <w:trHeight w:val="159"/>
        </w:trPr>
        <w:tc>
          <w:tcPr>
            <w:tcW w:w="504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i w:val="1"/>
                <w:iCs w:val="1"/>
                <w:color w:val="auto"/>
              </w:rPr>
              <w:t>Data, Distribution, and Services revenue growth on a constant currency</w:t>
            </w: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35 %</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129 %</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18 %</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110 %</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basis</w:t>
            </w: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150" w:lineRule="exact"/>
        <w:rPr>
          <w:sz w:val="20"/>
          <w:szCs w:val="20"/>
          <w:color w:val="auto"/>
        </w:rPr>
      </w:pPr>
    </w:p>
    <w:p>
      <w:pPr>
        <w:ind w:right="280" w:firstLine="395"/>
        <w:spacing w:after="0" w:line="268" w:lineRule="auto"/>
        <w:rPr>
          <w:sz w:val="20"/>
          <w:szCs w:val="20"/>
          <w:color w:val="auto"/>
        </w:rPr>
      </w:pPr>
      <w:r>
        <w:rPr>
          <w:rFonts w:ascii="Times New Roman" w:cs="Times New Roman" w:eastAsia="Times New Roman" w:hAnsi="Times New Roman"/>
          <w:sz w:val="18"/>
          <w:szCs w:val="18"/>
          <w:color w:val="auto"/>
        </w:rPr>
        <w:t>We define adjusted free cash flow as our net cash provided by operating activities, adjusted for capital expenditures, content acquisition, cash received related to Giphy Retention Compensation in connection with the acquisition of Giphy, and cash paid for Merger related costs.</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is a reconciliation of net cash provided by operating activities to adjusted free cash flow for each of the periods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80" w:type="dxa"/>
            <w:vAlign w:val="bottom"/>
          </w:tcPr>
          <w:p>
            <w:pPr>
              <w:spacing w:after="0"/>
              <w:rPr>
                <w:sz w:val="16"/>
                <w:szCs w:val="16"/>
                <w:color w:val="auto"/>
              </w:rPr>
            </w:pPr>
          </w:p>
        </w:tc>
        <w:tc>
          <w:tcPr>
            <w:tcW w:w="2420" w:type="dxa"/>
            <w:vAlign w:val="bottom"/>
            <w:gridSpan w:val="4"/>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3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7"/>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26,836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27,965</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52,083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36,265</w:t>
            </w:r>
          </w:p>
        </w:tc>
      </w:tr>
      <w:tr>
        <w:trPr>
          <w:trHeight w:val="212"/>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 provided by investing activities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(26,199)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(8,227)</w:t>
            </w: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(32,149)</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(29,699)</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(50,778)</w:t>
            </w:r>
          </w:p>
        </w:tc>
      </w:tr>
      <w:tr>
        <w:trPr>
          <w:trHeight w:val="265"/>
        </w:trPr>
        <w:tc>
          <w:tcPr>
            <w:tcW w:w="53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09"/>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2"/>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36,265</w:t>
            </w: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(23,536)</w:t>
            </w:r>
          </w:p>
        </w:tc>
      </w:tr>
      <w:tr>
        <w:trPr>
          <w:trHeight w:val="212"/>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r>
      <w:tr>
        <w:trPr>
          <w:trHeight w:val="209"/>
        </w:trPr>
        <w:tc>
          <w:tcPr>
            <w:tcW w:w="5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18,121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36,522</w:t>
            </w:r>
          </w:p>
        </w:tc>
      </w:tr>
      <w:tr>
        <w:trPr>
          <w:trHeight w:val="211"/>
        </w:trPr>
        <w:tc>
          <w:tcPr>
            <w:tcW w:w="5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Merger related costs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5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17,498</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36,184</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40,882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47,430</w:t>
            </w:r>
          </w:p>
        </w:tc>
      </w:tr>
      <w:tr>
        <w:trPr>
          <w:trHeight w:val="20"/>
        </w:trPr>
        <w:tc>
          <w:tcPr>
            <w:tcW w:w="5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3"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26% and 28% for the six months ended June 30, 2025 and 2024,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six months ended June 30, 2025, we estimate that a 10% change in the exchange rate of the U.S. dollar against all foreign currency denominated revenues would result in an approximately 3% impact on our revenue.</w:t>
      </w:r>
    </w:p>
    <w:p>
      <w:pPr>
        <w:spacing w:after="0" w:line="12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Three Months Ended June 30,</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24"/>
              <w:spacing w:after="0"/>
              <w:rPr>
                <w:sz w:val="20"/>
                <w:szCs w:val="20"/>
                <w:color w:val="auto"/>
              </w:rPr>
            </w:pPr>
            <w:r>
              <w:rPr>
                <w:rFonts w:ascii="Arial" w:cs="Arial" w:eastAsia="Arial" w:hAnsi="Arial"/>
                <w:sz w:val="12"/>
                <w:szCs w:val="12"/>
                <w:b w:val="1"/>
                <w:bCs w:val="1"/>
                <w:color w:val="auto"/>
              </w:rPr>
              <w:t>Six Months Ended June 30,</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63"/>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2025</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800" w:type="dxa"/>
            <w:vAlign w:val="bottom"/>
            <w:tcBorders>
              <w:bottom w:val="single" w:sz="8" w:color="auto"/>
            </w:tcBorders>
          </w:tcPr>
          <w:p>
            <w:pPr>
              <w:spacing w:after="0"/>
              <w:rPr>
                <w:sz w:val="14"/>
                <w:szCs w:val="14"/>
                <w:color w:val="auto"/>
              </w:rPr>
            </w:pPr>
          </w:p>
        </w:tc>
      </w:tr>
      <w:tr>
        <w:trPr>
          <w:trHeight w:val="116"/>
        </w:trPr>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72"/>
              <w:spacing w:after="0" w:line="117"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50"/>
              <w:spacing w:after="0" w:line="117" w:lineRule="exact"/>
              <w:rPr>
                <w:sz w:val="20"/>
                <w:szCs w:val="20"/>
                <w:color w:val="auto"/>
              </w:rPr>
            </w:pPr>
            <w:r>
              <w:rPr>
                <w:rFonts w:ascii="Times New Roman" w:cs="Times New Roman" w:eastAsia="Times New Roman" w:hAnsi="Times New Roman"/>
                <w:sz w:val="12"/>
                <w:szCs w:val="12"/>
                <w:b w:val="1"/>
                <w:bCs w:val="1"/>
                <w:color w:val="auto"/>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2"/>
              <w:spacing w:after="0" w:line="117" w:lineRule="exact"/>
              <w:rPr>
                <w:sz w:val="20"/>
                <w:szCs w:val="20"/>
                <w:color w:val="auto"/>
              </w:rPr>
            </w:pPr>
            <w:r>
              <w:rPr>
                <w:rFonts w:ascii="Times New Roman" w:cs="Times New Roman" w:eastAsia="Times New Roman" w:hAnsi="Times New Roman"/>
                <w:sz w:val="12"/>
                <w:szCs w:val="12"/>
                <w:b w:val="1"/>
                <w:bCs w:val="1"/>
                <w:color w:val="auto"/>
                <w:w w:val="99"/>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17" w:lineRule="exact"/>
              <w:rPr>
                <w:sz w:val="20"/>
                <w:szCs w:val="20"/>
                <w:color w:val="auto"/>
              </w:rPr>
            </w:pPr>
            <w:r>
              <w:rPr>
                <w:rFonts w:ascii="Times New Roman" w:cs="Times New Roman" w:eastAsia="Times New Roman" w:hAnsi="Times New Roman"/>
                <w:sz w:val="12"/>
                <w:szCs w:val="12"/>
                <w:b w:val="1"/>
                <w:bCs w:val="1"/>
                <w:color w:val="auto"/>
              </w:rPr>
              <w:t>Originating</w:t>
            </w:r>
          </w:p>
        </w:tc>
      </w:tr>
      <w:tr>
        <w:trPr>
          <w:trHeight w:val="177"/>
        </w:trPr>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5"/>
                <w:szCs w:val="15"/>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38,381</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6"/>
                <w:szCs w:val="16"/>
                <w:color w:val="auto"/>
              </w:rPr>
              <w:t>34,717</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32,544</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30,143</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76,497</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70,569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65,824</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60,852</w:t>
            </w:r>
          </w:p>
        </w:tc>
      </w:tr>
      <w:tr>
        <w:trPr>
          <w:trHeight w:val="212"/>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13,762</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10,346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14,550</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28,465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22,919</w:t>
            </w:r>
          </w:p>
        </w:tc>
      </w:tr>
      <w:tr>
        <w:trPr>
          <w:trHeight w:val="211"/>
        </w:trPr>
        <w:tc>
          <w:tcPr>
            <w:tcW w:w="324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12,725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13,018</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25,414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26,201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04"/>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130,376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120,896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9"/>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202,122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159,941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379,234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313,472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31"/>
        </w:trPr>
        <w:tc>
          <w:tcPr>
            <w:tcW w:w="3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266,990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220,053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509,610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434,368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13"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5"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Amounts borrowed under the A&amp;R Credit Agreement accrue interest at a per annum rate based on either (i) the base rate plus a margin ranging from 0.375% to 0.750%, determined based on the Company’s consolidated net leverage ratio or (ii) the Term SOFR rate (for interest periods of 1, 3 or 6 months) plus a margin ranging from 1.375% to 1.750%, determined based on the Company’s consolidated net leverage ratio, plus a credit spread adjustment of 0.100%. A hypothetical 10% change in interest rates would not have a material impact on our interest expense as of June 30,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evaluated the effectiveness of our disclosure controls and procedures as of June 30, 2025.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60"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June 30, 2025,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Although we are not currently a party to any material pending litigation (except as described below),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108" w:lineRule="exact"/>
        <w:rPr>
          <w:sz w:val="20"/>
          <w:szCs w:val="20"/>
          <w:color w:val="auto"/>
        </w:rPr>
      </w:pPr>
    </w:p>
    <w:p>
      <w:pPr>
        <w:ind w:firstLine="395"/>
        <w:spacing w:after="0" w:line="246" w:lineRule="auto"/>
        <w:rPr>
          <w:sz w:val="20"/>
          <w:szCs w:val="20"/>
          <w:color w:val="auto"/>
        </w:rPr>
      </w:pPr>
      <w:r>
        <w:rPr>
          <w:rFonts w:ascii="Times New Roman" w:cs="Times New Roman" w:eastAsia="Times New Roman" w:hAnsi="Times New Roman"/>
          <w:sz w:val="18"/>
          <w:szCs w:val="18"/>
          <w:color w:val="auto"/>
        </w:rPr>
        <w:t>Since the definitive proxy statement filed with the SEC on April 30, 2025 (the “Proxy Statement”), two complaints have been filed against Shutterstock and each member of Shutterstock’s board of directors (the “Individual Defendants”). The two complaints are captioned as follows: Johnson v. Shutterstock, Inc., et al., 682860/2025 (filed in the Supreme Court of the State of New York, County of New York, Commercial Division (the “Johnson Action”) and Weiss v. Shutterstock, Inc., et al., 652853/2025 at ECF No. 1, filed in the Supreme Court of the State of New York, County of New York, Commercial Division (the “Weiss Action”, and together with the Johnson Action, the “Stockholder Actions”). The Stockholder Actions allege that, among other things, the Proxy Statement contains false and misleading and/or incomplete information regarding the Merger. The Stockholder Actions assert claims for (i) negligent misrepresentation and concealment, and (ii) negligence in connection with the filing of the allegedly false and misleading Proxy Statement. The Stockholder Actions seek an injunction enjoining the consummation of the Merger unless and until the Individual Defendants disclose the allegedly omitted material information, in the event that the Merger are consummated, rescission of the Merger and awarding actual and punitive damages to plaintiff, and an award of attorneys’ and experts’ fees.</w:t>
      </w:r>
    </w:p>
    <w:p>
      <w:pPr>
        <w:spacing w:after="0" w:line="129"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In addition to the Stockholder Actions, beginning on April 25, 2025, certain purported stockholders of Shutterstock and Getty Images sent demand letters (the “Demand Letters”, and together with the Stockholder Actions, the “Matters”) alleging similar deficiencies regarding the disclosures made in the Proxy Statement and seeking additional disclosures to address those alleged deficiencies.</w:t>
      </w:r>
    </w:p>
    <w:p>
      <w:pPr>
        <w:spacing w:after="0" w:line="75" w:lineRule="exact"/>
        <w:rPr>
          <w:sz w:val="20"/>
          <w:szCs w:val="20"/>
          <w:color w:val="auto"/>
        </w:rPr>
      </w:pPr>
    </w:p>
    <w:p>
      <w:pPr>
        <w:ind w:firstLine="395"/>
        <w:spacing w:after="0" w:line="286" w:lineRule="auto"/>
        <w:rPr>
          <w:sz w:val="20"/>
          <w:szCs w:val="20"/>
          <w:color w:val="auto"/>
        </w:rPr>
      </w:pPr>
      <w:r>
        <w:rPr>
          <w:rFonts w:ascii="Times New Roman" w:cs="Times New Roman" w:eastAsia="Times New Roman" w:hAnsi="Times New Roman"/>
          <w:sz w:val="16"/>
          <w:szCs w:val="16"/>
          <w:color w:val="auto"/>
        </w:rPr>
        <w:t>Shutterstock believes it has substantial defenses in connection with the Matters and no supplemental disclosure is required under applicable law. However, in order to avoid the risk that the Matters may delay or otherwise adversely affect the implementation of the Merger, to minimize the costs, risks and uncertainties inherent in litigation, and without admitting any liability or wrongdoing, Shutterstock has determined to voluntarily supplement the Proxy Statement as described in the Current Report on Form 8-K filed with the SEC on May 30, 2025, to provide additional information to Shutterstock stockholders. Nothing in said Current Report on Form 8-K shall be deemed an admission of the legal necessity or materiality under applicable law of any of the disclosures set forth therein or in the Proxy Statement. To the contrary, Shutterstock denies all allegations in the Matters that any additional disclosure was or is required.</w:t>
      </w:r>
    </w:p>
    <w:p>
      <w:pPr>
        <w:spacing w:after="0" w:line="32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400" w:firstLine="395"/>
        <w:spacing w:after="0" w:line="293" w:lineRule="auto"/>
        <w:rPr>
          <w:sz w:val="20"/>
          <w:szCs w:val="20"/>
          <w:color w:val="auto"/>
        </w:rPr>
      </w:pPr>
      <w:r>
        <w:rPr>
          <w:rFonts w:ascii="Times New Roman" w:cs="Times New Roman" w:eastAsia="Times New Roman" w:hAnsi="Times New Roman"/>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2024 Form 10-K, which could materially affect our business, financial condition or future results. During the three months ended June 30, 2025, there were no material changes to these risk factors as described in our 2024 Form 10-K.</w:t>
      </w:r>
    </w:p>
    <w:p>
      <w:pPr>
        <w:spacing w:after="0" w:line="28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344"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34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40" w:firstLine="395"/>
        <w:spacing w:after="0" w:line="241" w:lineRule="auto"/>
        <w:rPr>
          <w:sz w:val="20"/>
          <w:szCs w:val="20"/>
          <w:color w:val="auto"/>
        </w:rPr>
      </w:pPr>
      <w:r>
        <w:rPr>
          <w:rFonts w:ascii="Times New Roman" w:cs="Times New Roman" w:eastAsia="Times New Roman" w:hAnsi="Times New Roman"/>
          <w:sz w:val="18"/>
          <w:szCs w:val="18"/>
          <w:color w:val="auto"/>
        </w:rPr>
        <w:t>During the quarter ended June 30, 2025, none of our directors or officers (as defined in Section 16 of the Securities Exchange Act of 1934, as amended), adopted or terminated a “Rule 10b5-1 trading arrangement” or a “non-Rule 10b5-1 trading arrangement” (each as defined in Item 408(a) and (c), respectively, of Regulation S-K).</w:t>
      </w:r>
    </w:p>
    <w:p>
      <w:pPr>
        <w:spacing w:after="0" w:line="200" w:lineRule="exact"/>
        <w:rPr>
          <w:sz w:val="20"/>
          <w:szCs w:val="20"/>
          <w:color w:val="auto"/>
        </w:rPr>
      </w:pPr>
    </w:p>
    <w:p>
      <w:pPr>
        <w:spacing w:after="0" w:line="25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46" w:name="page47"/>
    <w:bookmarkEnd w:id="46"/>
    <w:p>
      <w:pPr>
        <w:ind w:left="1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40" w:type="dxa"/>
            <w:vAlign w:val="bottom"/>
            <w:gridSpan w:val="4"/>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80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80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100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5"/>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2.1</w:t>
            </w:r>
          </w:p>
        </w:tc>
        <w:tc>
          <w:tcPr>
            <w:tcW w:w="100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8"/>
              </w:rPr>
            </w:pPr>
            <w:hyperlink r:id="rId63">
              <w:r>
                <w:rPr>
                  <w:rFonts w:ascii="Times New Roman" w:cs="Times New Roman" w:eastAsia="Times New Roman" w:hAnsi="Times New Roman"/>
                  <w:sz w:val="16"/>
                  <w:szCs w:val="16"/>
                  <w:color w:val="0000FF"/>
                  <w:w w:val="98"/>
                </w:rPr>
                <w:t>Agreement and Plan of Merger, dated as of January 6, 2025, by and among Getty Images, Merger Sub 2, Merger Sub 3, Shutterstock, HoldCo and Merger Sub</w:t>
              </w:r>
            </w:hyperlink>
          </w:p>
        </w:tc>
      </w:tr>
      <w:tr>
        <w:trPr>
          <w:trHeight w:val="138"/>
        </w:trPr>
        <w:tc>
          <w:tcPr>
            <w:tcW w:w="800" w:type="dxa"/>
            <w:vAlign w:val="bottom"/>
          </w:tcPr>
          <w:p>
            <w:pPr>
              <w:spacing w:after="0"/>
              <w:rPr>
                <w:sz w:val="11"/>
                <w:szCs w:val="11"/>
                <w:color w:val="auto"/>
              </w:rPr>
            </w:pPr>
          </w:p>
        </w:tc>
        <w:tc>
          <w:tcPr>
            <w:tcW w:w="120" w:type="dxa"/>
            <w:vAlign w:val="bottom"/>
            <w:tcBorders>
              <w:bottom w:val="single" w:sz="8" w:color="0000FF"/>
            </w:tcBorders>
          </w:tcPr>
          <w:p>
            <w:pPr>
              <w:spacing w:after="0" w:line="138" w:lineRule="exact"/>
              <w:rPr>
                <w:rFonts w:ascii="Times New Roman" w:cs="Times New Roman" w:eastAsia="Times New Roman" w:hAnsi="Times New Roman"/>
                <w:sz w:val="15"/>
                <w:szCs w:val="15"/>
                <w:color w:val="0000FF"/>
                <w:w w:val="88"/>
              </w:rPr>
            </w:pPr>
            <w:hyperlink r:id="rId63">
              <w:r>
                <w:rPr>
                  <w:rFonts w:ascii="Times New Roman" w:cs="Times New Roman" w:eastAsia="Times New Roman" w:hAnsi="Times New Roman"/>
                  <w:sz w:val="15"/>
                  <w:szCs w:val="15"/>
                  <w:color w:val="0000FF"/>
                  <w:w w:val="88"/>
                </w:rPr>
                <w:t>1.</w:t>
              </w:r>
            </w:hyperlink>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31.1#</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Certification of Chief Executive Officer pursuant to Exchange Act Rules 13a-14(a) and 15d-14(a), as adopted pursuant to Section 302 of the Sarbanes-Oxley</w:t>
            </w:r>
          </w:p>
        </w:tc>
      </w:tr>
      <w:tr>
        <w:trPr>
          <w:trHeight w:val="138"/>
        </w:trPr>
        <w:tc>
          <w:tcPr>
            <w:tcW w:w="800" w:type="dxa"/>
            <w:vAlign w:val="bottom"/>
          </w:tcPr>
          <w:p>
            <w:pPr>
              <w:spacing w:after="0"/>
              <w:rPr>
                <w:sz w:val="11"/>
                <w:szCs w:val="11"/>
                <w:color w:val="auto"/>
              </w:rPr>
            </w:pPr>
          </w:p>
        </w:tc>
        <w:tc>
          <w:tcPr>
            <w:tcW w:w="760" w:type="dxa"/>
            <w:vAlign w:val="bottom"/>
            <w:tcBorders>
              <w:top w:val="single" w:sz="8" w:color="0000FF"/>
              <w:bottom w:val="single" w:sz="8" w:color="0000FF"/>
            </w:tcBorders>
            <w:gridSpan w:val="2"/>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6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31.2#</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Exchange Act Rules 13a-14(a) and 15d-14(a), as adopted pursuant to Section 302 of the Sarbanes-Oxley</w:t>
            </w:r>
          </w:p>
        </w:tc>
      </w:tr>
      <w:tr>
        <w:trPr>
          <w:trHeight w:val="138"/>
        </w:trPr>
        <w:tc>
          <w:tcPr>
            <w:tcW w:w="800" w:type="dxa"/>
            <w:vAlign w:val="bottom"/>
          </w:tcPr>
          <w:p>
            <w:pPr>
              <w:spacing w:after="0"/>
              <w:rPr>
                <w:sz w:val="11"/>
                <w:szCs w:val="11"/>
                <w:color w:val="auto"/>
              </w:rPr>
            </w:pPr>
          </w:p>
        </w:tc>
        <w:tc>
          <w:tcPr>
            <w:tcW w:w="760" w:type="dxa"/>
            <w:vAlign w:val="bottom"/>
            <w:tcBorders>
              <w:top w:val="single" w:sz="8" w:color="0000FF"/>
              <w:bottom w:val="single" w:sz="8" w:color="0000FF"/>
            </w:tcBorders>
            <w:gridSpan w:val="2"/>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20" w:type="dxa"/>
            <w:vAlign w:val="bottom"/>
            <w:tcBorders>
              <w:top w:val="single" w:sz="8" w:color="0000FF"/>
            </w:tcBorders>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r>
      <w:tr>
        <w:trPr>
          <w:trHeight w:val="19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32#</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Certification of Chief Executive Officer and Chief Financial Officer pursuant to 18 U.S.C. Section 1350, as adopted pursuant to Section 906 of the Sarbanes-</w:t>
            </w:r>
          </w:p>
        </w:tc>
      </w:tr>
      <w:tr>
        <w:trPr>
          <w:trHeight w:val="138"/>
        </w:trPr>
        <w:tc>
          <w:tcPr>
            <w:tcW w:w="800" w:type="dxa"/>
            <w:vAlign w:val="bottom"/>
          </w:tcPr>
          <w:p>
            <w:pPr>
              <w:spacing w:after="0"/>
              <w:rPr>
                <w:sz w:val="11"/>
                <w:szCs w:val="11"/>
                <w:color w:val="auto"/>
              </w:rPr>
            </w:pPr>
          </w:p>
        </w:tc>
        <w:tc>
          <w:tcPr>
            <w:tcW w:w="9940" w:type="dxa"/>
            <w:vAlign w:val="bottom"/>
            <w:tcBorders>
              <w:top w:val="single" w:sz="8" w:color="0000FF"/>
            </w:tcBorders>
            <w:gridSpan w:val="6"/>
          </w:tcPr>
          <w:p>
            <w:pPr>
              <w:spacing w:after="0" w:line="138" w:lineRule="exact"/>
              <w:rPr>
                <w:sz w:val="20"/>
                <w:szCs w:val="20"/>
                <w:color w:val="auto"/>
              </w:rPr>
            </w:pPr>
            <w:r>
              <w:rPr>
                <w:rFonts w:ascii="Times New Roman" w:cs="Times New Roman" w:eastAsia="Times New Roman" w:hAnsi="Times New Roman"/>
                <w:sz w:val="15"/>
                <w:szCs w:val="15"/>
                <w:color w:val="0000FF"/>
              </w:rPr>
              <w:t>Oxley Act of 2002</w:t>
            </w:r>
          </w:p>
        </w:tc>
        <w:tc>
          <w:tcPr>
            <w:tcW w:w="80" w:type="dxa"/>
            <w:vAlign w:val="bottom"/>
          </w:tcPr>
          <w:p>
            <w:pPr>
              <w:spacing w:after="0"/>
              <w:rPr>
                <w:sz w:val="11"/>
                <w:szCs w:val="11"/>
                <w:color w:val="auto"/>
              </w:rPr>
            </w:pPr>
          </w:p>
        </w:tc>
      </w:tr>
      <w:tr>
        <w:trPr>
          <w:trHeight w:val="20"/>
        </w:trPr>
        <w:tc>
          <w:tcPr>
            <w:tcW w:w="8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8840" w:type="dxa"/>
            <w:vAlign w:val="bottom"/>
            <w:gridSpan w:val="4"/>
          </w:tcPr>
          <w:p>
            <w:pPr>
              <w:spacing w:after="0" w:line="20" w:lineRule="exact"/>
              <w:rPr>
                <w:sz w:val="1"/>
                <w:szCs w:val="1"/>
                <w:color w:val="auto"/>
              </w:rPr>
            </w:pPr>
          </w:p>
        </w:tc>
      </w:tr>
      <w:tr>
        <w:trPr>
          <w:trHeight w:val="177"/>
        </w:trPr>
        <w:tc>
          <w:tcPr>
            <w:tcW w:w="800" w:type="dxa"/>
            <w:vAlign w:val="bottom"/>
          </w:tcPr>
          <w:p>
            <w:pPr>
              <w:jc w:val="right"/>
              <w:ind w:right="63"/>
              <w:spacing w:after="0" w:line="178" w:lineRule="exact"/>
              <w:rPr>
                <w:sz w:val="20"/>
                <w:szCs w:val="20"/>
                <w:color w:val="auto"/>
              </w:rPr>
            </w:pPr>
            <w:r>
              <w:rPr>
                <w:rFonts w:ascii="Times New Roman" w:cs="Times New Roman" w:eastAsia="Times New Roman" w:hAnsi="Times New Roman"/>
                <w:sz w:val="16"/>
                <w:szCs w:val="16"/>
                <w:color w:val="auto"/>
              </w:rPr>
              <w:t>101.INS</w:t>
            </w:r>
          </w:p>
        </w:tc>
        <w:tc>
          <w:tcPr>
            <w:tcW w:w="10020" w:type="dxa"/>
            <w:vAlign w:val="bottom"/>
            <w:gridSpan w:val="7"/>
          </w:tcPr>
          <w:p>
            <w:pPr>
              <w:spacing w:after="0" w:line="178" w:lineRule="exact"/>
              <w:rPr>
                <w:sz w:val="20"/>
                <w:szCs w:val="20"/>
                <w:color w:val="auto"/>
              </w:rPr>
            </w:pPr>
            <w:r>
              <w:rPr>
                <w:rFonts w:ascii="Times New Roman" w:cs="Times New Roman" w:eastAsia="Times New Roman" w:hAnsi="Times New Roman"/>
                <w:sz w:val="16"/>
                <w:szCs w:val="16"/>
                <w:color w:val="auto"/>
                <w:w w:val="99"/>
              </w:rPr>
              <w:t>XBRL Instance Document - the instance document does not appear in the Interactive Data File because its XBRL tags are embedded within the Inline XBRL</w:t>
            </w:r>
          </w:p>
        </w:tc>
      </w:tr>
      <w:tr>
        <w:trPr>
          <w:trHeight w:val="207"/>
        </w:trPr>
        <w:tc>
          <w:tcPr>
            <w:tcW w:w="800" w:type="dxa"/>
            <w:vAlign w:val="bottom"/>
          </w:tcPr>
          <w:p>
            <w:pPr>
              <w:spacing w:after="0"/>
              <w:rPr>
                <w:sz w:val="17"/>
                <w:szCs w:val="17"/>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0"/>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101.SCH</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101.CAL</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101.DEF</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101.LAB</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1"/>
        </w:trPr>
        <w:tc>
          <w:tcPr>
            <w:tcW w:w="80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101.PRE</w:t>
            </w:r>
          </w:p>
        </w:tc>
        <w:tc>
          <w:tcPr>
            <w:tcW w:w="1002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 w:lineRule="exact"/>
        <w:rPr>
          <w:sz w:val="20"/>
          <w:szCs w:val="20"/>
          <w:color w:val="auto"/>
        </w:rPr>
      </w:pPr>
    </w:p>
    <w:p>
      <w:pPr>
        <w:ind w:left="800" w:hanging="375"/>
        <w:spacing w:after="0"/>
        <w:tabs>
          <w:tab w:leader="none" w:pos="80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1" w:lineRule="exact"/>
        <w:rPr>
          <w:rFonts w:ascii="Times New Roman" w:cs="Times New Roman" w:eastAsia="Times New Roman" w:hAnsi="Times New Roman"/>
          <w:sz w:val="16"/>
          <w:szCs w:val="16"/>
          <w:color w:val="auto"/>
        </w:rPr>
      </w:pPr>
    </w:p>
    <w:p>
      <w:pPr>
        <w:ind w:left="1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______________________________________</w:t>
      </w:r>
    </w:p>
    <w:p>
      <w:pPr>
        <w:spacing w:after="0" w:line="104" w:lineRule="exact"/>
        <w:rPr>
          <w:rFonts w:ascii="Times New Roman" w:cs="Times New Roman" w:eastAsia="Times New Roman" w:hAnsi="Times New Roman"/>
          <w:sz w:val="16"/>
          <w:szCs w:val="16"/>
          <w:color w:val="auto"/>
        </w:rPr>
      </w:pPr>
    </w:p>
    <w:p>
      <w:pPr>
        <w:ind w:left="380" w:hanging="220"/>
        <w:spacing w:after="0"/>
        <w:tabs>
          <w:tab w:leader="none" w:pos="3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134620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20"/>
          </w:cols>
          <w:pgMar w:left="560" w:top="121" w:right="519" w:bottom="1440" w:gutter="0" w:footer="0" w:header="0"/>
        </w:sectPr>
      </w:pPr>
    </w:p>
    <w:bookmarkStart w:id="47" w:name="page48"/>
    <w:bookmarkEnd w:id="4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380" w:type="dxa"/>
            <w:vAlign w:val="bottom"/>
          </w:tcPr>
          <w:p>
            <w:pPr>
              <w:spacing w:after="0"/>
              <w:rPr>
                <w:sz w:val="18"/>
                <w:szCs w:val="18"/>
                <w:color w:val="auto"/>
              </w:rPr>
            </w:pPr>
          </w:p>
        </w:tc>
        <w:tc>
          <w:tcPr>
            <w:tcW w:w="7820" w:type="dxa"/>
            <w:vAlign w:val="bottom"/>
            <w:gridSpan w:val="2"/>
          </w:tcPr>
          <w:p>
            <w:pPr>
              <w:ind w:left="206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42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Dated: July 29, 2025</w:t>
            </w:r>
          </w:p>
        </w:tc>
        <w:tc>
          <w:tcPr>
            <w:tcW w:w="270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Rik Powell</w:t>
            </w:r>
          </w:p>
        </w:tc>
      </w:tr>
      <w:tr>
        <w:trPr>
          <w:trHeight w:val="202"/>
        </w:trPr>
        <w:tc>
          <w:tcPr>
            <w:tcW w:w="33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Rik Powell</w:t>
            </w:r>
          </w:p>
        </w:tc>
      </w:tr>
      <w:tr>
        <w:trPr>
          <w:trHeight w:val="210"/>
        </w:trPr>
        <w:tc>
          <w:tcPr>
            <w:tcW w:w="3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11"/>
        </w:trPr>
        <w:tc>
          <w:tcPr>
            <w:tcW w:w="3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423"/>
        </w:trPr>
        <w:tc>
          <w:tcPr>
            <w:tcW w:w="3380" w:type="dxa"/>
            <w:vAlign w:val="bottom"/>
          </w:tcPr>
          <w:p>
            <w:pPr>
              <w:spacing w:after="0"/>
              <w:rPr>
                <w:sz w:val="20"/>
                <w:szCs w:val="20"/>
                <w:color w:val="auto"/>
              </w:rPr>
            </w:pPr>
            <w:r>
              <w:rPr>
                <w:rFonts w:ascii="Times New Roman" w:cs="Times New Roman" w:eastAsia="Times New Roman" w:hAnsi="Times New Roman"/>
                <w:sz w:val="16"/>
                <w:szCs w:val="16"/>
                <w:color w:val="auto"/>
              </w:rPr>
              <w:t>Dated: July 29, 2025</w:t>
            </w:r>
          </w:p>
        </w:tc>
        <w:tc>
          <w:tcPr>
            <w:tcW w:w="270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Ciardiello</w:t>
            </w:r>
          </w:p>
        </w:tc>
      </w:tr>
      <w:tr>
        <w:trPr>
          <w:trHeight w:val="202"/>
        </w:trPr>
        <w:tc>
          <w:tcPr>
            <w:tcW w:w="33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Ciardiello</w:t>
            </w:r>
          </w:p>
        </w:tc>
      </w:tr>
      <w:tr>
        <w:trPr>
          <w:trHeight w:val="210"/>
        </w:trPr>
        <w:tc>
          <w:tcPr>
            <w:tcW w:w="3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Accounting Officer</w:t>
            </w:r>
          </w:p>
        </w:tc>
      </w:tr>
      <w:tr>
        <w:trPr>
          <w:trHeight w:val="211"/>
        </w:trPr>
        <w:tc>
          <w:tcPr>
            <w:tcW w:w="33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20"/>
          </w:cols>
          <w:pgMar w:left="320" w:top="121" w:right="3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198" w:lineRule="exact"/>
        <w:rPr>
          <w:sz w:val="20"/>
          <w:szCs w:val="20"/>
          <w:color w:val="auto"/>
        </w:rPr>
      </w:pPr>
    </w:p>
    <w:p>
      <w:pPr>
        <w:ind w:left="840" w:hanging="519"/>
        <w:spacing w:after="0"/>
        <w:tabs>
          <w:tab w:leader="none" w:pos="84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July 29, 2025</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Rik Powell, certify that:</w:t>
      </w:r>
    </w:p>
    <w:p>
      <w:pPr>
        <w:spacing w:after="0" w:line="198" w:lineRule="exact"/>
        <w:rPr>
          <w:sz w:val="20"/>
          <w:szCs w:val="20"/>
          <w:color w:val="auto"/>
        </w:rPr>
      </w:pPr>
    </w:p>
    <w:p>
      <w:pPr>
        <w:ind w:left="840" w:hanging="519"/>
        <w:spacing w:after="0"/>
        <w:tabs>
          <w:tab w:leader="none" w:pos="8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5760" w:val="left"/>
          <w:tab w:leader="none" w:pos="6220" w:val="left"/>
        </w:tabs>
        <w:rPr>
          <w:sz w:val="20"/>
          <w:szCs w:val="20"/>
          <w:color w:val="auto"/>
        </w:rPr>
      </w:pPr>
      <w:r>
        <w:rPr>
          <w:rFonts w:ascii="Times New Roman" w:cs="Times New Roman" w:eastAsia="Times New Roman" w:hAnsi="Times New Roman"/>
          <w:sz w:val="16"/>
          <w:szCs w:val="16"/>
          <w:color w:val="auto"/>
        </w:rPr>
        <w:t>Date: July 29,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3183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Rik Powell</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8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June 30, 2025 as filed with the Securities and Exchange Commission on the date hereof (the “Report”), I, Paul Hennessy,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July 29, 2025</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9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June 30, 2025 as filed with the Securities and Exchange Commission on the date hereof (the “Report”), I, Rik Powell,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July 29,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Rik Powell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Rik Powell</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5"/>
    </w:lvl>
  </w:abstractNum>
  <w:abstractNum w:abstractNumId="7">
    <w:nsid w:val="1BEFD79F"/>
    <w:multiLevelType w:val="hybridMultilevel"/>
    <w:lvl w:ilvl="0">
      <w:lvlJc w:val="left"/>
      <w:lvlText w:val="1"/>
      <w:numFmt w:val="bullet"/>
      <w:start w:val="1"/>
    </w:lvl>
  </w:abstractNum>
  <w:abstractNum w:abstractNumId="8">
    <w:nsid w:val="41A7C4C9"/>
    <w:multiLevelType w:val="hybridMultilevel"/>
    <w:lvl w:ilvl="0">
      <w:lvlJc w:val="left"/>
      <w:lvlText w:val="2"/>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bullet"/>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lvl w:ilvl="1">
      <w:lvlJc w:val="left"/>
      <w:lvlText w:val="%2"/>
      <w:numFmt w:val="decimal"/>
      <w:start w:val="104"/>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3" Type="http://schemas.openxmlformats.org/officeDocument/2006/relationships/hyperlink" Target="https://www.sec.gov/Archives/edgar/data/1549346/000114036125000468/ny20041185x1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2025-07-29T06:23:51Z</dcterms:created>
  <dcterms:modified xsi:type="dcterms:W3CDTF">2025-07-29T06:23:51Z</dcterms:modified>
</cp:coreProperties>
</file>