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1694_8k.htm"/>
      <w:bookmarkStart w:id="1" w:name="ksef20081694_8k"/>
      <w:bookmarkStart w:id="2" w:name="ef20081694_8k.htm"/>
      <w:bookmarkStart w:id="3" w:name="ksef20081694_8k"/>
      <w:bookmarkEnd w:id="2"/>
      <w:bookmarkEnd w:id="3"/>
    </w:p>
    <w:p>
      <w:pPr>
        <w:pStyle w:val="TextBody"/>
        <w:bidi w:val="0"/>
        <w:spacing w:before="0" w:after="0"/>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36"/>
        </w:rPr>
      </w:pPr>
      <w:r>
        <w:rPr>
          <w:rFonts w:ascii="Times New Roman" w:hAnsi="Times New Roman"/>
          <w:b/>
          <w:sz w:val="36"/>
        </w:rPr>
        <w:t>FORM 8-K</w:t>
      </w:r>
      <w:r>
        <w:rPr>
          <w:rFonts w:ascii="Times New Roman" w:hAnsi="Times New Roman"/>
          <w:sz w:val="36"/>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b/>
          <w:sz w:val="20"/>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Pursuant to Section 13 or 15(d) of the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Securities Exchange Act of 1934</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September 4, 2026</w:t>
      </w:r>
      <w:r>
        <w:rPr>
          <w:rFonts w:ascii="Times New Roman" w:hAnsi="Times New Roman"/>
          <w:sz w:val="20"/>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48"/>
        </w:rPr>
      </w:pPr>
      <w:r>
        <w:rPr>
          <w:rFonts w:ascii="Times New Roman" w:hAnsi="Times New Roman"/>
          <w:b/>
          <w:sz w:val="48"/>
        </w:rPr>
        <w:t>Shutterstock, Inc.</w:t>
      </w:r>
      <w:r>
        <w:rPr>
          <w:rFonts w:ascii="Times New Roman" w:hAnsi="Times New Roman"/>
          <w:sz w:val="48"/>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4146"/>
        <w:gridCol w:w="2698"/>
        <w:gridCol w:w="3361"/>
      </w:tblGrid>
      <w:tr>
        <w:trPr/>
        <w:tc>
          <w:tcPr>
            <w:tcW w:w="4146"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146" w:type="dxa"/>
            <w:tcBorders>
              <w:top w:val="single" w:sz="12" w:space="0" w:color="000000"/>
            </w:tcBorders>
            <w:tcMar>
              <w:left w:w="0" w:type="dxa"/>
              <w:bottom w:w="0" w:type="dxa"/>
              <w:right w:w="0" w:type="dxa"/>
            </w:tcMar>
            <w:vAlign w:val="center"/>
          </w:tcPr>
          <w:p>
            <w:pPr>
              <w:pStyle w:val="TableContents"/>
              <w:bidi w:val="0"/>
              <w:spacing w:before="0" w:after="0"/>
              <w:jc w:val="center"/>
              <w:rPr/>
            </w:pPr>
            <w:r>
              <w:rPr>
                <w:b/>
              </w:rPr>
              <w:t>Delaware</w:t>
            </w:r>
            <w:r>
              <w:rPr/>
              <w:t xml:space="preserve"> </w:t>
            </w:r>
          </w:p>
        </w:tc>
        <w:tc>
          <w:tcPr>
            <w:tcW w:w="2698" w:type="dxa"/>
            <w:tcBorders>
              <w:top w:val="single" w:sz="12" w:space="0" w:color="000000"/>
            </w:tcBorders>
            <w:tcMar>
              <w:left w:w="0" w:type="dxa"/>
              <w:bottom w:w="0" w:type="dxa"/>
              <w:right w:w="0" w:type="dxa"/>
            </w:tcMar>
            <w:vAlign w:val="center"/>
          </w:tcPr>
          <w:p>
            <w:pPr>
              <w:pStyle w:val="TableContents"/>
              <w:bidi w:val="0"/>
              <w:spacing w:before="0" w:after="0"/>
              <w:jc w:val="center"/>
              <w:rPr/>
            </w:pPr>
            <w:r>
              <w:rPr>
                <w:b/>
              </w:rPr>
              <w:t>001-35669</w:t>
            </w:r>
            <w:r>
              <w:rPr/>
              <w:t xml:space="preserve"> </w:t>
            </w:r>
          </w:p>
        </w:tc>
        <w:tc>
          <w:tcPr>
            <w:tcW w:w="3361" w:type="dxa"/>
            <w:tcBorders>
              <w:top w:val="single" w:sz="12" w:space="0" w:color="000000"/>
            </w:tcBorders>
            <w:tcMar>
              <w:left w:w="0" w:type="dxa"/>
              <w:bottom w:w="0" w:type="dxa"/>
              <w:right w:w="0" w:type="dxa"/>
            </w:tcMar>
            <w:vAlign w:val="center"/>
          </w:tcPr>
          <w:p>
            <w:pPr>
              <w:pStyle w:val="TableContents"/>
              <w:bidi w:val="0"/>
              <w:spacing w:before="0" w:after="0"/>
              <w:jc w:val="center"/>
              <w:rPr/>
            </w:pPr>
            <w:r>
              <w:rPr>
                <w:b/>
              </w:rPr>
              <w:t>80-0812659</w:t>
            </w:r>
            <w:r>
              <w:rPr/>
              <w:t xml:space="preserve"> </w:t>
            </w:r>
          </w:p>
        </w:tc>
      </w:tr>
      <w:tr>
        <w:trPr/>
        <w:tc>
          <w:tcPr>
            <w:tcW w:w="4146" w:type="dxa"/>
            <w:tcBorders/>
            <w:tcMar>
              <w:top w:w="0" w:type="dxa"/>
              <w:left w:w="0" w:type="dxa"/>
              <w:bottom w:w="0" w:type="dxa"/>
              <w:right w:w="0" w:type="dxa"/>
            </w:tcMar>
            <w:vAlign w:val="center"/>
          </w:tcPr>
          <w:p>
            <w:pPr>
              <w:pStyle w:val="TableContents"/>
              <w:bidi w:val="0"/>
              <w:spacing w:before="0" w:after="0"/>
              <w:jc w:val="center"/>
              <w:rPr/>
            </w:pPr>
            <w:r>
              <w:rPr/>
              <w:t xml:space="preserve">(State or other jurisdiction of incorporation) </w:t>
            </w:r>
          </w:p>
        </w:tc>
        <w:tc>
          <w:tcPr>
            <w:tcW w:w="2698" w:type="dxa"/>
            <w:tcBorders/>
            <w:tcMar>
              <w:top w:w="0" w:type="dxa"/>
              <w:left w:w="0" w:type="dxa"/>
              <w:bottom w:w="0" w:type="dxa"/>
              <w:right w:w="0" w:type="dxa"/>
            </w:tcMar>
            <w:vAlign w:val="center"/>
          </w:tcPr>
          <w:p>
            <w:pPr>
              <w:pStyle w:val="TableContents"/>
              <w:bidi w:val="0"/>
              <w:spacing w:before="0" w:after="0"/>
              <w:jc w:val="center"/>
              <w:rPr/>
            </w:pPr>
            <w:r>
              <w:rPr/>
              <w:t xml:space="preserve">(Commission File Number) </w:t>
            </w:r>
          </w:p>
        </w:tc>
        <w:tc>
          <w:tcPr>
            <w:tcW w:w="3361" w:type="dxa"/>
            <w:tcBorders/>
            <w:tcMar>
              <w:top w:w="0" w:type="dxa"/>
              <w:left w:w="0" w:type="dxa"/>
              <w:bottom w:w="0" w:type="dxa"/>
              <w:right w:w="0" w:type="dxa"/>
            </w:tcMar>
            <w:vAlign w:val="center"/>
          </w:tcPr>
          <w:p>
            <w:pPr>
              <w:pStyle w:val="TableContents"/>
              <w:bidi w:val="0"/>
              <w:spacing w:before="0" w:after="0"/>
              <w:jc w:val="center"/>
              <w:rPr/>
            </w:pPr>
            <w:r>
              <w:rPr/>
              <w:t xml:space="preserve">(IRS Employer Identification No.)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350 Fifth Avenue, 20th Floor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New York, NY 10118</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(Address of principal executive offices, including zip code) </w:t>
      </w:r>
    </w:p>
    <w:p>
      <w:pPr>
        <w:pStyle w:val="TextBody"/>
        <w:bidi w:val="0"/>
        <w:spacing w:before="0" w:after="0"/>
        <w:jc w:val="center"/>
        <w:rPr>
          <w:rFonts w:ascii="Times New Roman" w:hAnsi="Times New Roman"/>
          <w:sz w:val="20"/>
        </w:rPr>
      </w:pPr>
      <w:r>
        <w:rPr>
          <w:rFonts w:ascii="Times New Roman" w:hAnsi="Times New Roman"/>
          <w:sz w:val="20"/>
        </w:rPr>
        <w:t xml:space="preserve">(646) 710-3417 </w:t>
      </w:r>
    </w:p>
    <w:p>
      <w:pPr>
        <w:pStyle w:val="TextBody"/>
        <w:bidi w:val="0"/>
        <w:spacing w:before="0" w:after="0"/>
        <w:jc w:val="center"/>
        <w:rPr>
          <w:rFonts w:ascii="Times New Roman" w:hAnsi="Times New Roman"/>
          <w:sz w:val="20"/>
        </w:rPr>
      </w:pPr>
      <w:r>
        <w:rPr>
          <w:rFonts w:ascii="Times New Roman" w:hAnsi="Times New Roman"/>
          <w:sz w:val="20"/>
        </w:rPr>
        <w:t xml:space="preserve">(Registrant’s telephone number, including area code) </w:t>
      </w:r>
    </w:p>
    <w:p>
      <w:pPr>
        <w:pStyle w:val="TextBody"/>
        <w:bidi w:val="0"/>
        <w:spacing w:before="0" w:after="0"/>
        <w:jc w:val="center"/>
        <w:rPr>
          <w:rFonts w:ascii="Times New Roman" w:hAnsi="Times New Roman"/>
          <w:sz w:val="20"/>
        </w:rPr>
      </w:pPr>
      <w:r>
        <w:rPr>
          <w:rFonts w:ascii="Times New Roman" w:hAnsi="Times New Roman"/>
          <w:sz w:val="20"/>
        </w:rPr>
        <w:t xml:space="preserve">Not applicable </w:t>
      </w:r>
    </w:p>
    <w:p>
      <w:pPr>
        <w:pStyle w:val="TextBody"/>
        <w:bidi w:val="0"/>
        <w:spacing w:before="0" w:after="0"/>
        <w:jc w:val="center"/>
        <w:rPr>
          <w:rFonts w:ascii="Times New Roman" w:hAnsi="Times New Roman"/>
          <w:sz w:val="20"/>
        </w:rPr>
      </w:pPr>
      <w:r>
        <w:rPr>
          <w:rFonts w:ascii="Times New Roman" w:hAnsi="Times New Roman"/>
          <w:sz w:val="20"/>
        </w:rPr>
        <w:t xml:space="preserve">(Former name, former address and former fiscal year, if changed since last report)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450"/>
        <w:jc w:val="center"/>
        <w:rPr>
          <w:rFonts w:ascii="Times New Roman" w:hAnsi="Times New Roman"/>
          <w:sz w:val="20"/>
        </w:rPr>
      </w:pPr>
      <w:r>
        <w:rPr>
          <w:rFonts w:ascii="Times New Roman" w:hAnsi="Times New Roman"/>
          <w:b/>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4154"/>
        <w:gridCol w:w="1711"/>
        <w:gridCol w:w="4340"/>
      </w:tblGrid>
      <w:tr>
        <w:trPr/>
        <w:tc>
          <w:tcPr>
            <w:tcW w:w="415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r>
      <w:tr>
        <w:trPr/>
        <w:tc>
          <w:tcPr>
            <w:tcW w:w="4154" w:type="dxa"/>
            <w:tcBorders>
              <w:top w:val="single" w:sz="12" w:space="0" w:color="000000"/>
              <w:bottom w:val="single" w:sz="12" w:space="0" w:color="000000"/>
            </w:tcBorders>
            <w:tcMar>
              <w:left w:w="0" w:type="dxa"/>
              <w:right w:w="0" w:type="dxa"/>
            </w:tcMar>
            <w:vAlign w:val="center"/>
          </w:tcPr>
          <w:p>
            <w:pPr>
              <w:pStyle w:val="TableContents"/>
              <w:bidi w:val="0"/>
              <w:spacing w:before="0" w:after="0"/>
              <w:jc w:val="center"/>
              <w:rPr/>
            </w:pPr>
            <w:r>
              <w:rPr>
                <w:b/>
              </w:rPr>
              <w:t>Title of each class</w:t>
            </w:r>
            <w:r>
              <w:rPr/>
              <w:t xml:space="preserve"> </w:t>
            </w:r>
          </w:p>
        </w:tc>
        <w:tc>
          <w:tcPr>
            <w:tcW w:w="1711" w:type="dxa"/>
            <w:tcBorders>
              <w:top w:val="single" w:sz="12" w:space="0" w:color="000000"/>
              <w:bottom w:val="single" w:sz="12" w:space="0" w:color="000000"/>
            </w:tcBorders>
            <w:tcMar>
              <w:left w:w="0" w:type="dxa"/>
              <w:right w:w="0" w:type="dxa"/>
            </w:tcMar>
            <w:vAlign w:val="center"/>
          </w:tcPr>
          <w:p>
            <w:pPr>
              <w:pStyle w:val="TableContents"/>
              <w:bidi w:val="0"/>
              <w:spacing w:before="0" w:after="0"/>
              <w:jc w:val="center"/>
              <w:rPr/>
            </w:pPr>
            <w:r>
              <w:rPr>
                <w:b/>
              </w:rPr>
              <w:t>Trading symbol</w:t>
            </w:r>
            <w:r>
              <w:rPr/>
              <w:t xml:space="preserve"> </w:t>
            </w:r>
          </w:p>
        </w:tc>
        <w:tc>
          <w:tcPr>
            <w:tcW w:w="4340" w:type="dxa"/>
            <w:tcBorders>
              <w:top w:val="single" w:sz="12" w:space="0" w:color="000000"/>
              <w:bottom w:val="single" w:sz="12" w:space="0" w:color="000000"/>
            </w:tcBorders>
            <w:tcMar>
              <w:left w:w="0" w:type="dxa"/>
              <w:right w:w="0" w:type="dxa"/>
            </w:tcMar>
            <w:vAlign w:val="center"/>
          </w:tcPr>
          <w:p>
            <w:pPr>
              <w:pStyle w:val="TableContents"/>
              <w:bidi w:val="0"/>
              <w:spacing w:before="0" w:after="0"/>
              <w:jc w:val="center"/>
              <w:rPr/>
            </w:pPr>
            <w:r>
              <w:rPr>
                <w:b/>
              </w:rPr>
              <w:t>Name of each exchange on which registered</w:t>
            </w:r>
            <w:r>
              <w:rPr/>
              <w:t xml:space="preserve"> </w:t>
            </w:r>
          </w:p>
        </w:tc>
      </w:tr>
      <w:tr>
        <w:trPr/>
        <w:tc>
          <w:tcPr>
            <w:tcW w:w="4154" w:type="dxa"/>
            <w:tcBorders/>
            <w:tcMar>
              <w:top w:w="0" w:type="dxa"/>
              <w:left w:w="0" w:type="dxa"/>
              <w:bottom w:w="0" w:type="dxa"/>
              <w:right w:w="0" w:type="dxa"/>
            </w:tcMar>
            <w:vAlign w:val="center"/>
          </w:tcPr>
          <w:p>
            <w:pPr>
              <w:pStyle w:val="TableContents"/>
              <w:bidi w:val="0"/>
              <w:spacing w:before="0" w:after="0"/>
              <w:jc w:val="center"/>
              <w:rPr/>
            </w:pPr>
            <w:r>
              <w:rPr>
                <w:b/>
              </w:rPr>
              <w:t>Common Stock, $0.01 par value per share</w:t>
            </w:r>
            <w:r>
              <w:rPr/>
              <w:t xml:space="preserve"> </w:t>
            </w:r>
          </w:p>
        </w:tc>
        <w:tc>
          <w:tcPr>
            <w:tcW w:w="1711" w:type="dxa"/>
            <w:tcBorders/>
            <w:tcMar>
              <w:top w:w="0" w:type="dxa"/>
              <w:left w:w="0" w:type="dxa"/>
              <w:bottom w:w="0" w:type="dxa"/>
              <w:right w:w="0" w:type="dxa"/>
            </w:tcMar>
            <w:vAlign w:val="center"/>
          </w:tcPr>
          <w:p>
            <w:pPr>
              <w:pStyle w:val="TableContents"/>
              <w:bidi w:val="0"/>
              <w:spacing w:before="0" w:after="0"/>
              <w:jc w:val="center"/>
              <w:rPr/>
            </w:pPr>
            <w:r>
              <w:rPr>
                <w:b/>
              </w:rPr>
              <w:t>SSTK</w:t>
            </w:r>
            <w:r>
              <w:rPr/>
              <w:t xml:space="preserve"> </w:t>
            </w:r>
          </w:p>
        </w:tc>
        <w:tc>
          <w:tcPr>
            <w:tcW w:w="4340" w:type="dxa"/>
            <w:tcBorders/>
            <w:tcMar>
              <w:top w:w="0" w:type="dxa"/>
              <w:left w:w="0" w:type="dxa"/>
              <w:bottom w:w="0" w:type="dxa"/>
              <w:right w:w="0" w:type="dxa"/>
            </w:tcMar>
            <w:vAlign w:val="center"/>
          </w:tcPr>
          <w:p>
            <w:pPr>
              <w:pStyle w:val="TableContents"/>
              <w:bidi w:val="0"/>
              <w:spacing w:before="0" w:after="0"/>
              <w:jc w:val="center"/>
              <w:rPr/>
            </w:pPr>
            <w:r>
              <w:rPr>
                <w:b/>
              </w:rPr>
              <w:t>NYSE</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Emerging growth company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360" w:right="0" w:hanging="360"/>
        <w:jc w:val="left"/>
        <w:rPr/>
      </w:pPr>
      <w:r>
        <w:rPr/>
        <w:t xml:space="preserve">☐    </w:t>
      </w: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36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1260"/>
        <w:jc w:val="left"/>
        <w:rPr>
          <w:rFonts w:ascii="Times New Roman" w:hAnsi="Times New Roman"/>
          <w:sz w:val="20"/>
        </w:rPr>
      </w:pPr>
      <w:r>
        <w:rPr>
          <w:rFonts w:ascii="Times New Roman" w:hAnsi="Times New Roman"/>
          <w:b/>
          <w:sz w:val="20"/>
        </w:rPr>
        <w:t>Departure of Directors or Certain Officers; Election of Directors; Appointment of Certain Officers; Compensatory Arrangements of Certain Officers.</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8001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extBody"/>
                              <w:bidi w:val="0"/>
                              <w:spacing w:before="0" w:after="283"/>
                              <w:jc w:val="left"/>
                              <w:rPr/>
                            </w:pPr>
                            <w:r>
                              <w:rPr>
                                <w:b/>
                              </w:rPr>
                              <w:t>Item 5.02</w:t>
                            </w:r>
                            <w:r>
                              <w:rPr/>
                              <w:t xml:space="preserve"> </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5.02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(d) Election of Directors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On September 4, 2026, the board of directors (the “Board”) of Shutterstock, Inc. (the “Company”), based on the recommendation of the Nominating and Corporate Governance Committee (the “Nominating Committee”), appointed Timothy Adams, Matthew Salzberg, and Michael Thompson to the Board (each a “New Director” and collectively, the “New Directors”), effective as of September 8, 2026. Mr. Adams and Mr. Salzberg were appointed as Class II directors of the Company, with terms expiring at the Company’s 2026 annual meeting of stockholders and Mr. Thompson was appointed as a Class III director of the Company, with a term expiring at the Company’s 2027 annual meeting of stockholders. The New Directors were not appointed to any committee of the Board at this time.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The Board determined that each New Director qualifies as independent under the director independence standards set forth in the rules and regulations of the Securities and Exchange Commission (the “SEC”) and the applicable listing standards of the New York Stock Exchange (the “NYSE”).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b/>
          <w:i/>
          <w:sz w:val="20"/>
        </w:rPr>
        <w:t>Timothy Adams</w:t>
      </w:r>
      <w:r>
        <w:rPr>
          <w:rFonts w:ascii="Times New Roman" w:hAnsi="Times New Roman"/>
          <w:sz w:val="20"/>
        </w:rPr>
        <w:t xml:space="preserve"> is the Chief Financial Officer of Validity Inc., an AI powered email marketing company, since January 2026. Prior to joining Validity, Mr. Adams served as the Chief Financial Officer of Rapid7, Inc., a cybersecurity company, from January 2022 to November 2025. Prior to joining Rapid7, Mr. Adams served as the Chief Financial Officer of BitSight Technologies, Inc., a cybersecurity ratings company, from April 2020 to December 2021. Mr. Adams has served as a member of the board of directors, the nominating and corporate governance committee and the chair of the audit committee of Model N, a public revenue management solutions company, from December 2016 to June 2024. Mr. Adams is currently a member of the Board of the Murray State University Foundation. Mr. Adams began his career in public accounting at PricewaterhouseCoopers LLP, formerly Price Waterhouse.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Mr. Adams holds a B.S. in accounting from Murray State University and an M.B.A. from Boston University.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b/>
          <w:i/>
          <w:sz w:val="20"/>
        </w:rPr>
        <w:t>Matthew Salzberg</w:t>
      </w:r>
      <w:r>
        <w:rPr>
          <w:rFonts w:ascii="Times New Roman" w:hAnsi="Times New Roman"/>
          <w:sz w:val="20"/>
        </w:rPr>
        <w:t xml:space="preserve"> is a CEO, investor, and founder focused on building and scaling technology-enabled businesses. Since February 2022, Mr. Salzberg has served as co-founder and Chairman of Unlimited, an alternative investment manager offering publicly traded ETFs and private investment funds. He is also the co-founder of Embark Veterinary, a leading canine genetics company, where he has served as a director since July 2015, and the co-founder and director of Coldcart, a software company focused on perishable logistics, since June 2021. From July 2019 to September 2024, Mr. Salzberg served as the founder and Managing Partner of Material, a venture capital firm.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In 2011, Mr. Salzberg founded Blue Apron, the meal kit pioneer, and served as Chief Executive Officer for its first six years, from December 2011 to November 2017, overseeing the company's growth from idea to category-leading public company. During that time, Blue Apron became a nationally recognizable consumer brand serving millions of customers. Mr. Salzberg led the company's initial public offering in June 2017 and served as CEO as the business scaled to approximately $910 million in LTM revenue and more than 5,000 employees. He served, first as Executive Chairman, then as Chairman of the Board of Blue Apron Holdings, Inc. from November 2017 to September 2021.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From September 2023 to September 2025, Mr. Salzberg served as Chief Executive Officer of Ambr Group, a portfolio of e-commerce brands, where he was brought in to lead a restructuring of the organization. Earlier in his career, Mr. Salzberg worked as a Senior Associate at Bessemer Venture Partners, a venture capital firm, and as an analyst at The Blackstone Group, a private equity and asset management firm.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Mr. Salzberg holds an A.B. in Economics, summa cum laude, from Harvard College and an M.B.A. from Harvard Business School.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450"/>
        <w:jc w:val="left"/>
        <w:rPr>
          <w:rFonts w:ascii="Times New Roman" w:hAnsi="Times New Roman"/>
          <w:sz w:val="20"/>
        </w:rPr>
      </w:pPr>
      <w:r>
        <w:rPr>
          <w:rFonts w:ascii="Times New Roman" w:hAnsi="Times New Roman"/>
          <w:b/>
          <w:i/>
          <w:sz w:val="20"/>
        </w:rPr>
        <w:t>Michael Thompson</w:t>
      </w:r>
      <w:r>
        <w:rPr>
          <w:rFonts w:ascii="Times New Roman" w:hAnsi="Times New Roman"/>
          <w:sz w:val="20"/>
        </w:rPr>
        <w:t xml:space="preserve"> has served as Managing Partner of Reinvent Capital, a private investment fund focused on technology companies, since 2017. Previously, he founded and served as Managing Partner of BHR Capital, a New York-based hedge fund, from 2009 to 2016. He serves on the Board of Directors of American Banknote Corporation (since 2017), Joby Aviation (since 2024) and Oklo Inc. (since 2025), and has been an advisor to Xona Space Systems since 2025. Throughout his career, he has advised and served on the boards of numerous innovative technology companies, with a focus on aerospace, advanced energy and emerging technologies with a focus on AI applications in the physical world.</w:t>
      </w:r>
    </w:p>
    <w:p>
      <w:pPr>
        <w:pStyle w:val="TextBody"/>
        <w:bidi w:val="0"/>
        <w:spacing w:before="0" w:after="0"/>
        <w:ind w:left="0" w:right="0" w:firstLine="450"/>
        <w:jc w:val="left"/>
        <w:rPr/>
      </w:pPr>
      <w:r>
        <w:rPr/>
        <w:t>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Mr. Thompson holds a Bachelor of Business Administration in International Finance from the Honors Program at the University of Georgia.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In connection with their appointment to the Board, the New Directors will receive the same compensation as the Company’s other non-employee directors, as described in the Amendment No. 1 to the Company’s Annual Report on Form 10-K filed with the U.S. Securities and Exchange Commission on April 24, 2026.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There is no understanding or arrangement between a New Director and any other person pursuant to which they were selected as a director. There are no transactions in which any New Director has an interest requiring disclosure under Item 404(a) of the Regulation S-K.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In addition, the Company will enter into indemnification agreements with the New Directors, the form of which is attached as Exhibit 10.1 to Amendment No. 3 to the Company’s Registration Statement on Form S-1, as amended (File No. 333-181376), filed with the SEC on August 30, 2012. </w:t>
      </w:r>
    </w:p>
    <w:p>
      <w:pPr>
        <w:pStyle w:val="TextBody"/>
        <w:bidi w:val="0"/>
        <w:spacing w:before="0" w:after="0"/>
        <w:jc w:val="left"/>
        <w:rPr/>
      </w:pPr>
      <w:r>
        <w:rPr/>
        <w:t> </w:t>
      </w:r>
    </w:p>
    <w:p>
      <w:pPr>
        <w:pStyle w:val="TextBody"/>
        <w:bidi w:val="0"/>
        <w:spacing w:before="0" w:after="0"/>
        <w:ind w:left="0" w:right="0" w:hanging="720"/>
        <w:jc w:val="left"/>
        <w:rPr>
          <w:rFonts w:ascii="Times New Roman" w:hAnsi="Times New Roman"/>
          <w:sz w:val="20"/>
        </w:rPr>
      </w:pPr>
      <w:r>
        <w:rPr>
          <w:rFonts w:ascii="Times New Roman" w:hAnsi="Times New Roman"/>
          <w:b/>
          <w:spacing w:val="0"/>
          <w:sz w:val="20"/>
        </w:rPr>
        <w:t>Regulation FD Disclosure.</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8001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extBody"/>
                              <w:bidi w:val="0"/>
                              <w:spacing w:before="0" w:after="283"/>
                              <w:jc w:val="left"/>
                              <w:rPr>
                                <w:b/>
                              </w:rPr>
                            </w:pPr>
                            <w:r>
                              <w:rPr>
                                <w:b/>
                              </w:rPr>
                              <w:t>Item 7.01</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b/>
                        </w:rPr>
                      </w:pPr>
                      <w:r>
                        <w:rPr>
                          <w:b/>
                        </w:rPr>
                        <w:t>Item 7.01</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A copy of the press release announcing the appointment of Messrs. Adams, Salzberg and Thompson to the Board is furnished as Exhibit 99.1 and incorporated herein by reference. </w:t>
      </w:r>
    </w:p>
    <w:p>
      <w:pPr>
        <w:pStyle w:val="TextBody"/>
        <w:bidi w:val="0"/>
        <w:spacing w:before="0" w:after="0"/>
        <w:jc w:val="left"/>
        <w:rPr/>
      </w:pPr>
      <w:r>
        <w:rPr/>
        <w:t xml:space="preserve">  </w:t>
      </w:r>
    </w:p>
    <w:p>
      <w:pPr>
        <w:pStyle w:val="TextBody"/>
        <w:bidi w:val="0"/>
        <w:spacing w:before="0" w:after="0"/>
        <w:ind w:left="0" w:right="0" w:firstLine="450"/>
        <w:jc w:val="left"/>
        <w:rPr>
          <w:rFonts w:ascii="Times New Roman" w:hAnsi="Times New Roman"/>
          <w:sz w:val="20"/>
        </w:rPr>
      </w:pPr>
      <w:r>
        <w:rPr>
          <w:rFonts w:ascii="Times New Roman" w:hAnsi="Times New Roman"/>
          <w:sz w:val="20"/>
        </w:rPr>
        <w:t xml:space="preserve">The information furnished under this Item 7.01, including Exhibit 99.1, shall not be deemed “filed” for purposes of Section 18 of the Securities Exchange Act of 1934 (the “Exchange Act”) or incorporated by reference in any filing under the Securities Act of 1933 or the Exchange Act, regardless of any general incorporation language in such filing. </w:t>
      </w:r>
    </w:p>
    <w:p>
      <w:pPr>
        <w:pStyle w:val="TextBody"/>
        <w:bidi w:val="0"/>
        <w:spacing w:before="0" w:after="0"/>
        <w:jc w:val="left"/>
        <w:rPr/>
      </w:pPr>
      <w:r>
        <w:rPr/>
        <w:t> </w:t>
      </w:r>
    </w:p>
    <w:p>
      <w:pPr>
        <w:pStyle w:val="TextBody"/>
        <w:bidi w:val="0"/>
        <w:spacing w:before="0" w:after="0"/>
        <w:ind w:left="0" w:right="0" w:hanging="720"/>
        <w:jc w:val="left"/>
        <w:rPr>
          <w:rFonts w:ascii="Times New Roman" w:hAnsi="Times New Roman"/>
          <w:sz w:val="20"/>
        </w:rPr>
      </w:pPr>
      <w:r>
        <w:rPr>
          <w:rFonts w:ascii="Times New Roman" w:hAnsi="Times New Roman"/>
          <w:b/>
          <w:spacing w:val="0"/>
          <w:sz w:val="20"/>
        </w:rPr>
        <w:t>Financial Statements and Exhibits.</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8001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extBody"/>
                              <w:bidi w:val="0"/>
                              <w:spacing w:before="0" w:after="283"/>
                              <w:jc w:val="left"/>
                              <w:rPr>
                                <w:b/>
                              </w:rPr>
                            </w:pPr>
                            <w:r>
                              <w:rPr>
                                <w:b/>
                              </w:rPr>
                              <w:t>Item 9.01</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b/>
                        </w:rPr>
                      </w:pPr>
                      <w:r>
                        <w:rPr>
                          <w:b/>
                        </w:rPr>
                        <w:t>Item 9.01</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tbl>
      <w:tblPr>
        <w:tblW w:w="6857" w:type="dxa"/>
        <w:jc w:val="left"/>
        <w:tblInd w:w="0" w:type="dxa"/>
        <w:tblLayout w:type="fixed"/>
        <w:tblCellMar>
          <w:top w:w="28" w:type="dxa"/>
          <w:left w:w="28" w:type="dxa"/>
          <w:bottom w:w="28" w:type="dxa"/>
          <w:right w:w="28" w:type="dxa"/>
        </w:tblCellMar>
      </w:tblPr>
      <w:tblGrid>
        <w:gridCol w:w="871"/>
        <w:gridCol w:w="5986"/>
      </w:tblGrid>
      <w:tr>
        <w:trPr/>
        <w:tc>
          <w:tcPr>
            <w:tcW w:w="871" w:type="dxa"/>
            <w:tcBorders/>
            <w:vAlign w:val="center"/>
          </w:tcPr>
          <w:p>
            <w:pPr>
              <w:pStyle w:val="TableContents"/>
              <w:bidi w:val="0"/>
              <w:spacing w:before="0" w:after="283"/>
              <w:jc w:val="left"/>
              <w:rPr/>
            </w:pPr>
            <w:r>
              <w:rPr/>
              <w:t> </w:t>
            </w:r>
          </w:p>
        </w:tc>
        <w:tc>
          <w:tcPr>
            <w:tcW w:w="598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0"/>
              <w:jc w:val="left"/>
              <w:rPr/>
            </w:pPr>
            <w:r>
              <w:rPr/>
              <w:t xml:space="preserve">Exhibit </w:t>
            </w:r>
          </w:p>
          <w:p>
            <w:pPr>
              <w:pStyle w:val="TableContents"/>
              <w:bidi w:val="0"/>
              <w:spacing w:before="0" w:after="0"/>
              <w:jc w:val="left"/>
              <w:rPr>
                <w:u w:val="single"/>
              </w:rPr>
            </w:pPr>
            <w:r>
              <w:rPr>
                <w:u w:val="single"/>
              </w:rPr>
              <w:t xml:space="preserve">No. </w:t>
            </w:r>
          </w:p>
        </w:tc>
        <w:tc>
          <w:tcPr>
            <w:tcW w:w="5986" w:type="dxa"/>
            <w:tcBorders/>
            <w:tcMar>
              <w:top w:w="0" w:type="dxa"/>
              <w:left w:w="0" w:type="dxa"/>
              <w:bottom w:w="0" w:type="dxa"/>
              <w:right w:w="0" w:type="dxa"/>
            </w:tcMar>
            <w:vAlign w:val="center"/>
          </w:tcPr>
          <w:p>
            <w:pPr>
              <w:pStyle w:val="TableContents"/>
              <w:bidi w:val="0"/>
              <w:spacing w:before="0" w:after="0"/>
              <w:jc w:val="left"/>
              <w:rPr>
                <w:u w:val="single"/>
              </w:rPr>
            </w:pPr>
            <w:r>
              <w:rPr>
                <w:u w:val="single"/>
              </w:rPr>
              <w:t xml:space="preserve">Description </w:t>
            </w:r>
          </w:p>
        </w:tc>
      </w:tr>
      <w:tr>
        <w:trPr/>
        <w:tc>
          <w:tcPr>
            <w:tcW w:w="87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9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871" w:type="dxa"/>
            <w:tcBorders/>
            <w:tcMar>
              <w:top w:w="0" w:type="dxa"/>
              <w:left w:w="0" w:type="dxa"/>
              <w:bottom w:w="0" w:type="dxa"/>
              <w:right w:w="0" w:type="dxa"/>
            </w:tcMar>
            <w:vAlign w:val="center"/>
          </w:tcPr>
          <w:p>
            <w:pPr>
              <w:pStyle w:val="TableContents"/>
              <w:bidi w:val="0"/>
              <w:spacing w:before="0" w:after="0"/>
              <w:jc w:val="left"/>
              <w:rPr/>
            </w:pPr>
            <w:r>
              <w:rPr/>
              <w:t xml:space="preserve">99.1 </w:t>
            </w:r>
          </w:p>
        </w:tc>
        <w:tc>
          <w:tcPr>
            <w:tcW w:w="5986" w:type="dxa"/>
            <w:tcBorders/>
            <w:tcMar>
              <w:top w:w="0" w:type="dxa"/>
              <w:left w:w="0" w:type="dxa"/>
              <w:bottom w:w="0" w:type="dxa"/>
              <w:right w:w="0" w:type="dxa"/>
            </w:tcMar>
            <w:vAlign w:val="center"/>
          </w:tcPr>
          <w:p>
            <w:pPr>
              <w:pStyle w:val="TableContents"/>
              <w:bidi w:val="0"/>
              <w:spacing w:before="0" w:after="0"/>
              <w:jc w:val="left"/>
              <w:rPr/>
            </w:pPr>
            <w:hyperlink w:anchor="ef20081694_ex99-1.htm">
              <w:r>
                <w:rPr>
                  <w:rStyle w:val="InternetLink"/>
                </w:rPr>
                <w:t>Press release dated September 8, 2026</w:t>
              </w:r>
            </w:hyperlink>
            <w:r>
              <w:rPr/>
              <w:t xml:space="preserve"> </w:t>
            </w:r>
          </w:p>
        </w:tc>
      </w:tr>
      <w:tr>
        <w:trPr/>
        <w:tc>
          <w:tcPr>
            <w:tcW w:w="87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9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871"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5986"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(formatted as Inline XBRL)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xml:space="preserve">  </w:t>
      </w:r>
    </w:p>
    <w:tbl>
      <w:tblPr>
        <w:tblW w:w="5583" w:type="dxa"/>
        <w:jc w:val="left"/>
        <w:tblInd w:w="0" w:type="dxa"/>
        <w:tblLayout w:type="fixed"/>
        <w:tblCellMar>
          <w:top w:w="28" w:type="dxa"/>
          <w:left w:w="28" w:type="dxa"/>
          <w:bottom w:w="28" w:type="dxa"/>
          <w:right w:w="28" w:type="dxa"/>
        </w:tblCellMar>
      </w:tblPr>
      <w:tblGrid>
        <w:gridCol w:w="2656"/>
        <w:gridCol w:w="511"/>
        <w:gridCol w:w="2416"/>
      </w:tblGrid>
      <w:tr>
        <w:trPr/>
        <w:tc>
          <w:tcPr>
            <w:tcW w:w="265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27" w:type="dxa"/>
            <w:gridSpan w:val="2"/>
            <w:tcBorders/>
            <w:vAlign w:val="center"/>
          </w:tcPr>
          <w:p>
            <w:pPr>
              <w:pStyle w:val="TableContents"/>
              <w:bidi w:val="0"/>
              <w:spacing w:before="0" w:after="0"/>
              <w:jc w:val="left"/>
              <w:rPr/>
            </w:pPr>
            <w:r>
              <w:rPr>
                <w:b/>
              </w:rPr>
              <w:t>SHUTTERSTOCK, INC.</w:t>
            </w:r>
            <w:r>
              <w:rPr/>
              <w:t xml:space="preserve"> </w:t>
            </w:r>
          </w:p>
        </w:tc>
      </w:tr>
      <w:tr>
        <w:trPr/>
        <w:tc>
          <w:tcPr>
            <w:tcW w:w="265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41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656" w:type="dxa"/>
            <w:tcBorders/>
            <w:tcMar>
              <w:top w:w="0" w:type="dxa"/>
              <w:left w:w="0" w:type="dxa"/>
              <w:bottom w:w="0" w:type="dxa"/>
              <w:right w:w="0" w:type="dxa"/>
            </w:tcMar>
            <w:vAlign w:val="center"/>
          </w:tcPr>
          <w:p>
            <w:pPr>
              <w:pStyle w:val="TableContents"/>
              <w:bidi w:val="0"/>
              <w:spacing w:before="0" w:after="0"/>
              <w:jc w:val="left"/>
              <w:rPr/>
            </w:pPr>
            <w:r>
              <w:rPr/>
              <w:t xml:space="preserve">Dated: September 8, 2026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41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Colleen M. Kearney </w:t>
            </w:r>
          </w:p>
        </w:tc>
      </w:tr>
      <w:tr>
        <w:trPr/>
        <w:tc>
          <w:tcPr>
            <w:tcW w:w="265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416" w:type="dxa"/>
            <w:tcBorders/>
            <w:tcMar>
              <w:top w:w="0" w:type="dxa"/>
              <w:left w:w="0" w:type="dxa"/>
              <w:bottom w:w="0" w:type="dxa"/>
              <w:right w:w="0" w:type="dxa"/>
            </w:tcMar>
            <w:vAlign w:val="center"/>
          </w:tcPr>
          <w:p>
            <w:pPr>
              <w:pStyle w:val="TableContents"/>
              <w:bidi w:val="0"/>
              <w:spacing w:before="0" w:after="0"/>
              <w:jc w:val="left"/>
              <w:rPr/>
            </w:pPr>
            <w:r>
              <w:rPr/>
              <w:t xml:space="preserve">Colleen M. Kearney </w:t>
            </w:r>
          </w:p>
        </w:tc>
      </w:tr>
      <w:tr>
        <w:trPr/>
        <w:tc>
          <w:tcPr>
            <w:tcW w:w="265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416" w:type="dxa"/>
            <w:tcBorders/>
            <w:tcMar>
              <w:top w:w="0" w:type="dxa"/>
              <w:left w:w="0" w:type="dxa"/>
              <w:bottom w:w="0" w:type="dxa"/>
              <w:right w:w="0" w:type="dxa"/>
            </w:tcMar>
            <w:vAlign w:val="center"/>
          </w:tcPr>
          <w:p>
            <w:pPr>
              <w:pStyle w:val="TableContents"/>
              <w:bidi w:val="0"/>
              <w:spacing w:before="0" w:after="0"/>
              <w:jc w:val="left"/>
              <w:rPr/>
            </w:pPr>
            <w:r>
              <w:rPr/>
              <w:t xml:space="preserve">General Counsel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81694_ex99-1.htm"/>
      <w:bookmarkStart w:id="5" w:name="ksef20081694_ex991"/>
      <w:bookmarkStart w:id="6" w:name="ef20081694_ex99-1.htm"/>
      <w:bookmarkStart w:id="7" w:name="ksef20081694_ex991"/>
      <w:bookmarkEnd w:id="6"/>
      <w:bookmarkEnd w:id="7"/>
      <w:r>
        <w:br w:type="page"/>
      </w:r>
    </w:p>
    <w:p>
      <w:pPr>
        <w:pStyle w:val="TextBody"/>
        <w:bidi w:val="0"/>
        <w:spacing w:before="0" w:after="0"/>
        <w:jc w:val="righ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Exhibit 99.1</w:t>
      </w:r>
    </w:p>
    <w:p>
      <w:pPr>
        <w:pStyle w:val="TextBody"/>
        <w:bidi w:val="0"/>
        <w:spacing w:before="0" w:after="0"/>
        <w:jc w:val="left"/>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Shutterstock Appoints Three Accomplished Business Leaders to Board of Directors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Timothy Adams, Matthew Salzberg, and Michael Thompson bring extensive financial, operational, investment and technology expertise to Shutterstock’s Board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NEW YORK, Sept. 8, 2026 /PRNewswire/ -- Shutterstock, Inc. (NYSE: SSTK), a family of brands delivering scalable creative and GenAI solutions to help customers fuel great work, today announced the appointment of Timothy Adams, Matthew Salzberg, and Michael Thompson to its Board of Directors.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appointments add three accomplished executives and investors with deep experience across technology and emerging markets, investment and capital allocation, building and scaling businesses, and public-company finance and governance. Their collective expertise further strengthens the Board as Shutterstock remains focused on creating long-term value for the Company and its shareholders. </w:t>
      </w:r>
    </w:p>
    <w:p>
      <w:pPr>
        <w:pStyle w:val="TextBody"/>
        <w:bidi w:val="0"/>
        <w:spacing w:before="0" w:after="0"/>
        <w:jc w:val="left"/>
        <w:rPr/>
      </w:pPr>
      <w:r>
        <w:rPr/>
        <w:t xml:space="preserve">  </w:t>
      </w:r>
    </w:p>
    <w:p>
      <w:pPr>
        <w:pStyle w:val="TextBody"/>
        <w:bidi w:val="0"/>
        <w:spacing w:before="0" w:after="0"/>
        <w:jc w:val="left"/>
        <w:rPr/>
      </w:pPr>
      <w:r>
        <w:rPr/>
        <w:t>“</w:t>
      </w:r>
      <w:r>
        <w:rPr>
          <w:rFonts w:ascii="TimesNewRoman;Times New Roman;Times;Baskerville;Georgia;serif" w:hAnsi="TimesNewRoman;Times New Roman;Times;Baskerville;Georgia;serif"/>
          <w:sz w:val="20"/>
        </w:rPr>
        <w:t xml:space="preserve">The caliber of leaders joining our Board speaks to both the strength of Shutterstock and the opportunity ahead,” said Jon Oringer, Executive Chairman of the Board at Shutterstock. “Tim, Matt, and Michael have each built impressive careers leading, investing in and advising companies through periods of growth and transformation. They bring deep financial, operational, governance and technology expertise, along with the independent perspective that comes from having successfully navigated complex business environments. We are thrilled they have chosen to bring that experience to Shutterstock.”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Timothy Adams is a seasoned financial executive and board director with more than 20 years of leadership experience across public and private technology companies. He currently serves as Chief Financial Officer of Validity Inc. and previously served as Chief Financial Officer of Rapid7, Inc. and BitSight Technologies, Inc. Adams also served on the Board of Directors of Model N, where he chaired the Audit Committee. Throughout his career, he has led and advised on IPOs, M&amp;A transactions, capital raises and strategic financings, bringing extensive experience in public-company governance, financial discipline and investor relations. He holds a B.S. in Accounting from Murray State University, and an M.B.A. from Boston University.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Matthew Salzberg is a CEO, investor, and founder with extensive experience building, scaling, and transforming technology-enabled businesses. He is co-founder and Chairman of Unlimited, an alternative investment manager, and co-founder of Embark Veterinary and Coldcart. Salzberg founded Blue Apron in 2011 and served as CEO for its first six years, growing the company from an idea into a nationally recognized consumer brand with approximately $910 million in annual revenue and more than 5,000 employees. He led Blue Apron’s 2017 initial public offering and later served as Chairman of its Board. Salzberg also founded venture capital firm Material and previously served as CEO of Ambr Group. He holds an A.B. in Economics, summa cum laude, from Harvard College and an M.B.A. from Harvard Business School.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Michael Thompson has served as Managing Partner of Reinvent Capital, a private investment fund focused on technology companies, since 2017. Previously, he founded and served as Managing Partner of BHR Capital, a New York-based hedge fund. Thompson has invested in and advised numerous innovative technology companies throughout his career, with particular experience across aerospace, advanced energy, emerging technologies and AI applications in the physical world. He currently serves on the Boards of Directors of Joby Aviation, Oklo Inc. and American Banknote Corporation and is an advisor to Xona Space Systems. Thompson holds a Bachelor of Business Administration in International Finance from the Honors Program at the University of Georgia.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About Shutterstock</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offers access to one of the world's largest and most diverse collections of high-quality licensable assets, specialized training datasets, evaluation tools, and end-to-end strategic partnerships for the full model training lifecycle, as well as advertising and distribution solutions, exclusive editorial content, and full-service studio production—delivering unparalleled resources to fuel great work.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color w:val="000000"/>
          <w:sz w:val="20"/>
        </w:rPr>
        <w:t xml:space="preserve">Discover our impact at </w:t>
      </w:r>
      <w:r>
        <w:rPr>
          <w:rFonts w:ascii="TimesNewRoman;Times New Roman;Times;Baskerville;Georgia;serif" w:hAnsi="TimesNewRoman;Times New Roman;Times;Baskerville;Georgia;serif"/>
          <w:color w:val="000000"/>
          <w:sz w:val="20"/>
          <w:u w:val="single"/>
        </w:rPr>
        <w:t>www.shutterstock.com</w:t>
      </w:r>
      <w:r>
        <w:rPr>
          <w:rFonts w:ascii="TimesNewRoman;Times New Roman;Times;Baskerville;Georgia;serif" w:hAnsi="TimesNewRoman;Times New Roman;Times;Baskerville;Georgia;serif"/>
          <w:color w:val="000000"/>
          <w:sz w:val="20"/>
        </w:rPr>
        <w:t xml:space="preserve"> and connect with us on </w:t>
      </w:r>
      <w:r>
        <w:rPr>
          <w:rFonts w:ascii="TimesNewRoman;Times New Roman;Times;Baskerville;Georgia;serif" w:hAnsi="TimesNewRoman;Times New Roman;Times;Baskerville;Georgia;serif"/>
          <w:color w:val="000000"/>
          <w:sz w:val="20"/>
          <w:u w:val="single"/>
        </w:rPr>
        <w:t>LinkedIn</w:t>
      </w:r>
      <w:r>
        <w:rPr>
          <w:rFonts w:ascii="TimesNewRoman;Times New Roman;Times;Baskerville;Georgia;serif" w:hAnsi="TimesNewRoman;Times New Roman;Times;Baskerville;Georgia;serif"/>
          <w:color w:val="000000"/>
          <w:sz w:val="20"/>
        </w:rPr>
        <w:t xml:space="preserve">, </w:t>
      </w:r>
      <w:r>
        <w:rPr>
          <w:rFonts w:ascii="TimesNewRoman;Times New Roman;Times;Baskerville;Georgia;serif" w:hAnsi="TimesNewRoman;Times New Roman;Times;Baskerville;Georgia;serif"/>
          <w:color w:val="000000"/>
          <w:sz w:val="20"/>
          <w:u w:val="single"/>
        </w:rPr>
        <w:t>Instagram</w:t>
      </w:r>
      <w:r>
        <w:rPr>
          <w:rFonts w:ascii="TimesNewRoman;Times New Roman;Times;Baskerville;Georgia;serif" w:hAnsi="TimesNewRoman;Times New Roman;Times;Baskerville;Georgia;serif"/>
          <w:color w:val="000000"/>
          <w:sz w:val="20"/>
        </w:rPr>
        <w:t xml:space="preserve">, </w:t>
      </w:r>
      <w:r>
        <w:rPr>
          <w:rFonts w:ascii="TimesNewRoman;Times New Roman;Times;Baskerville;Georgia;serif" w:hAnsi="TimesNewRoman;Times New Roman;Times;Baskerville;Georgia;serif"/>
          <w:color w:val="000000"/>
          <w:sz w:val="20"/>
          <w:u w:val="single"/>
        </w:rPr>
        <w:t>X</w:t>
      </w:r>
      <w:r>
        <w:rPr>
          <w:rFonts w:ascii="TimesNewRoman;Times New Roman;Times;Baskerville;Georgia;serif" w:hAnsi="TimesNewRoman;Times New Roman;Times;Baskerville;Georgia;serif"/>
          <w:color w:val="000000"/>
          <w:sz w:val="20"/>
        </w:rPr>
        <w:t xml:space="preserve">, </w:t>
      </w:r>
      <w:r>
        <w:rPr>
          <w:rFonts w:ascii="TimesNewRoman;Times New Roman;Times;Baskerville;Georgia;serif" w:hAnsi="TimesNewRoman;Times New Roman;Times;Baskerville;Georgia;serif"/>
          <w:color w:val="000000"/>
          <w:sz w:val="20"/>
          <w:u w:val="single"/>
        </w:rPr>
        <w:t>Facebook</w:t>
      </w:r>
      <w:r>
        <w:rPr>
          <w:rFonts w:ascii="TimesNewRoman;Times New Roman;Times;Baskerville;Georgia;serif" w:hAnsi="TimesNewRoman;Times New Roman;Times;Baskerville;Georgia;serif"/>
          <w:color w:val="000000"/>
          <w:sz w:val="20"/>
        </w:rPr>
        <w:t xml:space="preserve"> and </w:t>
      </w:r>
      <w:r>
        <w:rPr>
          <w:rFonts w:ascii="TimesNewRoman;Times New Roman;Times;Baskerville;Georgia;serif" w:hAnsi="TimesNewRoman;Times New Roman;Times;Baskerville;Georgia;serif"/>
          <w:color w:val="000000"/>
          <w:sz w:val="20"/>
          <w:u w:val="single"/>
        </w:rPr>
        <w:t>YouTube</w:t>
      </w:r>
      <w:r>
        <w:rPr>
          <w:rFonts w:ascii="TimesNewRoman;Times New Roman;Times;Baskerville;Georgia;serif" w:hAnsi="TimesNewRoman;Times New Roman;Times;Baskerville;Georgia;serif"/>
          <w:color w:val="000000"/>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Press Contact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Emma Gammons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press@shutterstock.com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Investor Relations Contact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Scott Grossman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ir@shutterstock.com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2051</Words>
  <Characters>11520</Characters>
  <CharactersWithSpaces>13705</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