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369570</wp:posOffset>
            </wp:positionV>
            <wp:extent cx="695198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1980"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411480</wp:posOffset>
            </wp:positionV>
            <wp:extent cx="69519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80"/>
        <w:spacing w:after="0"/>
        <w:rPr>
          <w:sz w:val="20"/>
          <w:szCs w:val="20"/>
          <w:color w:val="auto"/>
        </w:rPr>
      </w:pPr>
      <w:r>
        <w:rPr>
          <w:rFonts w:ascii="Arial" w:cs="Arial" w:eastAsia="Arial" w:hAnsi="Arial"/>
          <w:sz w:val="28"/>
          <w:szCs w:val="28"/>
          <w:b w:val="1"/>
          <w:bCs w:val="1"/>
          <w:color w:val="auto"/>
        </w:rPr>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28"/>
          <w:szCs w:val="28"/>
          <w:b w:val="1"/>
          <w:bCs w:val="1"/>
          <w:color w:val="auto"/>
        </w:rPr>
        <w:t>SECURITIES AND EXCHANGE COMMISSION</w:t>
      </w:r>
    </w:p>
    <w:p>
      <w:pPr>
        <w:spacing w:after="0" w:line="19"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30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w:t>
      </w:r>
    </w:p>
    <w:p>
      <w:pPr>
        <w:jc w:val="center"/>
        <w:ind w:right="80"/>
        <w:spacing w:after="0"/>
        <w:rPr>
          <w:sz w:val="20"/>
          <w:szCs w:val="20"/>
          <w:color w:val="auto"/>
        </w:rPr>
      </w:pPr>
      <w:r>
        <w:rPr>
          <w:rFonts w:ascii="Arial" w:cs="Arial" w:eastAsia="Arial" w:hAnsi="Arial"/>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w:t>
      </w:r>
    </w:p>
    <w:p>
      <w:pPr>
        <w:spacing w:after="0" w:line="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1" w:lineRule="exact"/>
        <w:rPr>
          <w:sz w:val="24"/>
          <w:szCs w:val="24"/>
          <w:color w:val="auto"/>
        </w:rPr>
      </w:pPr>
    </w:p>
    <w:p>
      <w:pPr>
        <w:ind w:left="1940" w:hanging="263"/>
        <w:spacing w:after="0"/>
        <w:tabs>
          <w:tab w:leader="none" w:pos="194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47" w:lineRule="exact"/>
        <w:rPr>
          <w:rFonts w:ascii="MS PGothic" w:cs="MS PGothic" w:eastAsia="MS PGothic" w:hAnsi="MS PGothic"/>
          <w:sz w:val="15"/>
          <w:szCs w:val="15"/>
          <w:color w:val="auto"/>
        </w:rPr>
      </w:pPr>
    </w:p>
    <w:p>
      <w:pPr>
        <w:ind w:left="4120"/>
        <w:spacing w:after="0"/>
        <w:rPr>
          <w:rFonts w:ascii="MS PGothic" w:cs="MS PGothic" w:eastAsia="MS PGothic" w:hAnsi="MS PGothic"/>
          <w:sz w:val="15"/>
          <w:szCs w:val="15"/>
          <w:color w:val="auto"/>
        </w:rPr>
      </w:pPr>
      <w:r>
        <w:rPr>
          <w:rFonts w:ascii="Arial" w:cs="Arial" w:eastAsia="Arial" w:hAnsi="Arial"/>
          <w:sz w:val="18"/>
          <w:szCs w:val="18"/>
          <w:b w:val="1"/>
          <w:bCs w:val="1"/>
          <w:color w:val="auto"/>
        </w:rPr>
        <w:t>For the quarterly period ended June 30, 2023</w:t>
      </w:r>
    </w:p>
    <w:p>
      <w:pPr>
        <w:spacing w:after="0" w:line="56"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61" w:lineRule="exact"/>
        <w:rPr>
          <w:sz w:val="24"/>
          <w:szCs w:val="24"/>
          <w:color w:val="auto"/>
        </w:rPr>
      </w:pPr>
    </w:p>
    <w:p>
      <w:pPr>
        <w:ind w:left="2060" w:hanging="488"/>
        <w:spacing w:after="0"/>
        <w:tabs>
          <w:tab w:leader="none" w:pos="20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60"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Commission File Number: 001-35669</w:t>
      </w:r>
    </w:p>
    <w:p>
      <w:pPr>
        <w:spacing w:after="0" w:line="56"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_____________________________________________________________________</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28"/>
          <w:szCs w:val="28"/>
          <w:b w:val="1"/>
          <w:bCs w:val="1"/>
          <w:color w:val="auto"/>
        </w:rPr>
        <w:t>SHUTTERSTOCK, INC.</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________________________________________________________</w:t>
      </w:r>
    </w:p>
    <w:p>
      <w:pPr>
        <w:sectPr>
          <w:pgSz w:w="11900" w:h="16838" w:orient="portrait"/>
          <w:cols w:equalWidth="0" w:num="1">
            <w:col w:w="11340"/>
          </w:cols>
          <w:pgMar w:left="320" w:top="232" w:right="239" w:bottom="1440" w:gutter="0" w:footer="0" w:header="0"/>
        </w:sectPr>
      </w:pPr>
    </w:p>
    <w:p>
      <w:pPr>
        <w:spacing w:after="0" w:line="43" w:lineRule="exact"/>
        <w:rPr>
          <w:sz w:val="24"/>
          <w:szCs w:val="24"/>
          <w:color w:val="auto"/>
        </w:rPr>
      </w:pPr>
    </w:p>
    <w:p>
      <w:pPr>
        <w:ind w:left="26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80-0812659</w:t>
      </w:r>
    </w:p>
    <w:p>
      <w:pPr>
        <w:spacing w:after="0" w:line="71" w:lineRule="exact"/>
        <w:rPr>
          <w:sz w:val="24"/>
          <w:szCs w:val="24"/>
          <w:color w:val="auto"/>
        </w:rPr>
      </w:pPr>
    </w:p>
    <w:p>
      <w:pPr>
        <w:sectPr>
          <w:pgSz w:w="11900" w:h="16838" w:orient="portrait"/>
          <w:cols w:equalWidth="0" w:num="2">
            <w:col w:w="7640" w:space="720"/>
            <w:col w:w="2980"/>
          </w:cols>
          <w:pgMar w:left="320" w:top="232" w:right="239" w:bottom="1440" w:gutter="0" w:footer="0" w:header="0"/>
          <w:type w:val="continuous"/>
        </w:sectPr>
      </w:pPr>
    </w:p>
    <w:p>
      <w:pPr>
        <w:ind w:left="124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84" w:lineRule="exact"/>
        <w:rPr>
          <w:sz w:val="24"/>
          <w:szCs w:val="24"/>
          <w:color w:val="auto"/>
        </w:rPr>
      </w:pPr>
    </w:p>
    <w:p>
      <w:pPr>
        <w:sectPr>
          <w:pgSz w:w="11900" w:h="16838" w:orient="portrait"/>
          <w:cols w:equalWidth="0" w:num="2">
            <w:col w:w="7000" w:space="720"/>
            <w:col w:w="3620"/>
          </w:cols>
          <w:pgMar w:left="320" w:top="232" w:right="239" w:bottom="1440" w:gutter="0" w:footer="0" w:header="0"/>
          <w:type w:val="continuous"/>
        </w:sectPr>
      </w:pPr>
    </w:p>
    <w:p>
      <w:pPr>
        <w:jc w:val="center"/>
        <w:ind w:left="380"/>
        <w:spacing w:after="0"/>
        <w:rPr>
          <w:sz w:val="20"/>
          <w:szCs w:val="20"/>
          <w:color w:val="auto"/>
        </w:rPr>
      </w:pPr>
      <w:r>
        <w:rPr>
          <w:rFonts w:ascii="Arial" w:cs="Arial" w:eastAsia="Arial" w:hAnsi="Arial"/>
          <w:sz w:val="16"/>
          <w:szCs w:val="16"/>
          <w:b w:val="1"/>
          <w:bCs w:val="1"/>
          <w:color w:val="auto"/>
        </w:rPr>
        <w:t>350 Fifth Avenue, 20th Floor</w:t>
      </w:r>
    </w:p>
    <w:p>
      <w:pPr>
        <w:spacing w:after="0" w:line="18" w:lineRule="exact"/>
        <w:rPr>
          <w:sz w:val="24"/>
          <w:szCs w:val="24"/>
          <w:color w:val="auto"/>
        </w:rPr>
      </w:pPr>
    </w:p>
    <w:p>
      <w:pPr>
        <w:jc w:val="center"/>
        <w:ind w:left="380"/>
        <w:spacing w:after="0"/>
        <w:rPr>
          <w:sz w:val="20"/>
          <w:szCs w:val="20"/>
          <w:color w:val="auto"/>
        </w:rPr>
      </w:pPr>
      <w:r>
        <w:rPr>
          <w:rFonts w:ascii="Arial" w:cs="Arial" w:eastAsia="Arial" w:hAnsi="Arial"/>
          <w:sz w:val="16"/>
          <w:szCs w:val="16"/>
          <w:b w:val="1"/>
          <w:bCs w:val="1"/>
          <w:color w:val="auto"/>
        </w:rPr>
        <w:t>New York, NY 10118</w:t>
      </w:r>
    </w:p>
    <w:p>
      <w:pPr>
        <w:jc w:val="center"/>
        <w:ind w:left="38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2"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(646) 710-3417</w:t>
      </w:r>
    </w:p>
    <w:p>
      <w:pPr>
        <w:spacing w:after="0" w:line="14"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(Registrant’s telephone number, including area code)</w:t>
      </w:r>
    </w:p>
    <w:p>
      <w:pPr>
        <w:spacing w:after="0" w:line="39"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Not applicable</w:t>
      </w:r>
    </w:p>
    <w:p>
      <w:pPr>
        <w:spacing w:after="0" w:line="17"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 w:lineRule="exact"/>
        <w:rPr>
          <w:sz w:val="24"/>
          <w:szCs w:val="24"/>
          <w:color w:val="auto"/>
        </w:rPr>
      </w:pPr>
    </w:p>
    <w:p>
      <w:pPr>
        <w:ind w:left="29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w:t>
      </w:r>
    </w:p>
    <w:p>
      <w:pPr>
        <w:spacing w:after="0" w:line="234"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720" w:type="dxa"/>
        <w:tblCellMar>
          <w:top w:w="0" w:type="dxa"/>
          <w:left w:w="0" w:type="dxa"/>
          <w:bottom w:w="0" w:type="dxa"/>
          <w:right w:w="0" w:type="dxa"/>
        </w:tblCellMar>
      </w:tblPr>
      <w:tr>
        <w:trPr>
          <w:trHeight w:val="196"/>
        </w:trPr>
        <w:tc>
          <w:tcPr>
            <w:tcW w:w="3980" w:type="dxa"/>
            <w:vAlign w:val="bottom"/>
          </w:tcPr>
          <w:p>
            <w:pPr>
              <w:jc w:val="center"/>
              <w:ind w:left="490"/>
              <w:spacing w:after="0"/>
              <w:rPr>
                <w:sz w:val="20"/>
                <w:szCs w:val="20"/>
                <w:color w:val="auto"/>
              </w:rPr>
            </w:pPr>
            <w:r>
              <w:rPr>
                <w:rFonts w:ascii="Arial" w:cs="Arial" w:eastAsia="Arial" w:hAnsi="Arial"/>
                <w:sz w:val="14"/>
                <w:szCs w:val="14"/>
                <w:b w:val="1"/>
                <w:bCs w:val="1"/>
                <w:color w:val="auto"/>
                <w:w w:val="87"/>
              </w:rPr>
              <w:t>Title of each class</w:t>
            </w:r>
          </w:p>
        </w:tc>
        <w:tc>
          <w:tcPr>
            <w:tcW w:w="2140" w:type="dxa"/>
            <w:vAlign w:val="bottom"/>
          </w:tcPr>
          <w:p>
            <w:pPr>
              <w:jc w:val="center"/>
              <w:ind w:right="70"/>
              <w:spacing w:after="0"/>
              <w:rPr>
                <w:sz w:val="20"/>
                <w:szCs w:val="20"/>
                <w:color w:val="auto"/>
              </w:rPr>
            </w:pPr>
            <w:r>
              <w:rPr>
                <w:rFonts w:ascii="Arial" w:cs="Arial" w:eastAsia="Arial" w:hAnsi="Arial"/>
                <w:sz w:val="14"/>
                <w:szCs w:val="14"/>
                <w:b w:val="1"/>
                <w:bCs w:val="1"/>
                <w:color w:val="auto"/>
                <w:w w:val="91"/>
              </w:rPr>
              <w:t>Trading Symbol(s)</w:t>
            </w:r>
          </w:p>
        </w:tc>
        <w:tc>
          <w:tcPr>
            <w:tcW w:w="3700" w:type="dxa"/>
            <w:vAlign w:val="bottom"/>
          </w:tcPr>
          <w:p>
            <w:pPr>
              <w:jc w:val="center"/>
              <w:ind w:left="1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2140" w:type="dxa"/>
            <w:vAlign w:val="bottom"/>
          </w:tcPr>
          <w:p>
            <w:pPr>
              <w:jc w:val="center"/>
              <w:ind w:right="70"/>
              <w:spacing w:after="0"/>
              <w:rPr>
                <w:sz w:val="20"/>
                <w:szCs w:val="20"/>
                <w:color w:val="auto"/>
              </w:rPr>
            </w:pPr>
            <w:r>
              <w:rPr>
                <w:rFonts w:ascii="Arial" w:cs="Arial" w:eastAsia="Arial" w:hAnsi="Arial"/>
                <w:sz w:val="14"/>
                <w:szCs w:val="14"/>
                <w:b w:val="1"/>
                <w:bCs w:val="1"/>
                <w:color w:val="auto"/>
                <w:w w:val="96"/>
              </w:rPr>
              <w:t>SSTK</w:t>
            </w:r>
          </w:p>
        </w:tc>
        <w:tc>
          <w:tcPr>
            <w:tcW w:w="3700" w:type="dxa"/>
            <w:vAlign w:val="bottom"/>
          </w:tcPr>
          <w:p>
            <w:pPr>
              <w:jc w:val="center"/>
              <w:ind w:left="10"/>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103" w:lineRule="exact"/>
        <w:rPr>
          <w:sz w:val="24"/>
          <w:szCs w:val="24"/>
          <w:color w:val="auto"/>
        </w:rPr>
      </w:pPr>
    </w:p>
    <w:p>
      <w:pPr>
        <w:ind w:right="440" w:firstLine="395"/>
        <w:spacing w:after="0" w:line="19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2" w:lineRule="exact"/>
        <w:rPr>
          <w:sz w:val="24"/>
          <w:szCs w:val="24"/>
          <w:color w:val="auto"/>
        </w:rPr>
      </w:pPr>
    </w:p>
    <w:p>
      <w:pPr>
        <w:ind w:right="180" w:firstLine="395"/>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1" w:lineRule="exact"/>
        <w:rPr>
          <w:sz w:val="24"/>
          <w:szCs w:val="24"/>
          <w:color w:val="auto"/>
        </w:rPr>
      </w:pPr>
    </w:p>
    <w:p>
      <w:pPr>
        <w:ind w:left="4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Arial" w:cs="Arial" w:eastAsia="Arial" w:hAnsi="Arial"/>
                <w:sz w:val="15"/>
                <w:szCs w:val="15"/>
                <w:color w:val="auto"/>
              </w:rPr>
              <w:t>Large accelerated filer</w:t>
            </w:r>
          </w:p>
        </w:tc>
        <w:tc>
          <w:tcPr>
            <w:tcW w:w="4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jc w:val="right"/>
              <w:ind w:right="25"/>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560" w:type="dxa"/>
            <w:vAlign w:val="bottom"/>
          </w:tcPr>
          <w:p>
            <w:pPr>
              <w:jc w:val="right"/>
              <w:ind w:right="43"/>
              <w:spacing w:after="0"/>
              <w:rPr>
                <w:sz w:val="20"/>
                <w:szCs w:val="20"/>
                <w:color w:val="auto"/>
              </w:rPr>
            </w:pPr>
            <w:r>
              <w:rPr>
                <w:rFonts w:ascii="Arial" w:cs="Arial" w:eastAsia="Arial" w:hAnsi="Arial"/>
                <w:sz w:val="15"/>
                <w:szCs w:val="15"/>
                <w:color w:val="auto"/>
              </w:rPr>
              <w:t>Non-accelerated filer</w:t>
            </w:r>
          </w:p>
        </w:tc>
        <w:tc>
          <w:tcPr>
            <w:tcW w:w="4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40" w:type="dxa"/>
            <w:vAlign w:val="bottom"/>
          </w:tcPr>
          <w:p>
            <w:pPr>
              <w:jc w:val="right"/>
              <w:ind w:right="25"/>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940" w:type="dxa"/>
            <w:vAlign w:val="bottom"/>
          </w:tcPr>
          <w:p>
            <w:pPr>
              <w:jc w:val="right"/>
              <w:ind w:right="25"/>
              <w:spacing w:after="0"/>
              <w:rPr>
                <w:sz w:val="20"/>
                <w:szCs w:val="20"/>
                <w:color w:val="auto"/>
              </w:rPr>
            </w:pPr>
            <w:r>
              <w:rPr>
                <w:rFonts w:ascii="Arial" w:cs="Arial" w:eastAsia="Arial" w:hAnsi="Arial"/>
                <w:sz w:val="15"/>
                <w:szCs w:val="15"/>
                <w:color w:val="auto"/>
              </w:rPr>
              <w:t>Emerging growth company</w:t>
            </w:r>
          </w:p>
        </w:tc>
        <w:tc>
          <w:tcPr>
            <w:tcW w:w="3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0620" w:type="dxa"/>
            <w:vAlign w:val="bottom"/>
            <w:gridSpan w:val="6"/>
          </w:tcPr>
          <w:p>
            <w:pPr>
              <w:spacing w:after="0"/>
              <w:rPr>
                <w:sz w:val="20"/>
                <w:szCs w:val="20"/>
                <w:color w:val="auto"/>
              </w:rPr>
            </w:pPr>
            <w:r>
              <w:rPr>
                <w:rFonts w:ascii="Arial" w:cs="Arial" w:eastAsia="Arial" w:hAnsi="Arial"/>
                <w:sz w:val="16"/>
                <w:szCs w:val="16"/>
                <w:color w:val="auto"/>
                <w:w w:val="91"/>
              </w:rPr>
              <w:t>If an emerging growth company, indicate by check mark if the registrant has elected not to use the extended transition period for complying with any new or revised</w:t>
            </w:r>
          </w:p>
        </w:tc>
        <w:tc>
          <w:tcPr>
            <w:tcW w:w="30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1"/>
        </w:trPr>
        <w:tc>
          <w:tcPr>
            <w:tcW w:w="7360" w:type="dxa"/>
            <w:vAlign w:val="bottom"/>
            <w:gridSpan w:val="2"/>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1940" w:type="dxa"/>
            <w:vAlign w:val="bottom"/>
          </w:tcPr>
          <w:p>
            <w:pPr>
              <w:spacing w:after="0"/>
              <w:rPr>
                <w:sz w:val="18"/>
                <w:szCs w:val="18"/>
                <w:color w:val="auto"/>
              </w:rPr>
            </w:pPr>
          </w:p>
        </w:tc>
        <w:tc>
          <w:tcPr>
            <w:tcW w:w="38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18"/>
                <w:szCs w:val="18"/>
                <w:color w:val="auto"/>
              </w:rPr>
            </w:pPr>
          </w:p>
        </w:tc>
        <w:tc>
          <w:tcPr>
            <w:tcW w:w="42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60" w:type="dxa"/>
            <w:vAlign w:val="bottom"/>
            <w:gridSpan w:val="2"/>
          </w:tcPr>
          <w:p>
            <w:pPr>
              <w:spacing w:after="0"/>
              <w:rPr>
                <w:sz w:val="20"/>
                <w:szCs w:val="20"/>
                <w:color w:val="auto"/>
              </w:rPr>
            </w:pPr>
            <w:r>
              <w:rPr>
                <w:rFonts w:ascii="Arial" w:cs="Arial" w:eastAsia="Arial" w:hAnsi="Arial"/>
                <w:sz w:val="16"/>
                <w:szCs w:val="16"/>
                <w:color w:val="auto"/>
                <w:w w:val="91"/>
              </w:rPr>
              <w:t>Indicate by check mark whether the registrant is a shell company (as defined in Rule 12b-2 of the Exchange Act).</w:t>
            </w:r>
          </w:p>
        </w:tc>
        <w:tc>
          <w:tcPr>
            <w:tcW w:w="19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20" w:type="dxa"/>
            <w:vAlign w:val="bottom"/>
          </w:tcPr>
          <w:p>
            <w:pPr>
              <w:ind w:left="160"/>
              <w:spacing w:after="0"/>
              <w:rPr>
                <w:sz w:val="20"/>
                <w:szCs w:val="20"/>
                <w:color w:val="auto"/>
              </w:rPr>
            </w:pPr>
            <w:r>
              <w:rPr>
                <w:rFonts w:ascii="Arial" w:cs="Arial" w:eastAsia="Arial" w:hAnsi="Arial"/>
                <w:sz w:val="16"/>
                <w:szCs w:val="16"/>
                <w:color w:val="auto"/>
              </w:rPr>
              <w:t>Yes</w:t>
            </w:r>
          </w:p>
        </w:tc>
        <w:tc>
          <w:tcPr>
            <w:tcW w:w="420" w:type="dxa"/>
            <w:vAlign w:val="bottom"/>
            <w:vMerge w:val="continue"/>
          </w:tcPr>
          <w:p>
            <w:pPr>
              <w:spacing w:after="0"/>
              <w:rPr>
                <w:sz w:val="19"/>
                <w:szCs w:val="19"/>
                <w:color w:val="auto"/>
              </w:rPr>
            </w:pPr>
          </w:p>
        </w:tc>
        <w:tc>
          <w:tcPr>
            <w:tcW w:w="300" w:type="dxa"/>
            <w:vAlign w:val="bottom"/>
          </w:tcPr>
          <w:p>
            <w:pPr>
              <w:ind w:left="140"/>
              <w:spacing w:after="0"/>
              <w:rPr>
                <w:sz w:val="20"/>
                <w:szCs w:val="20"/>
                <w:color w:val="auto"/>
              </w:rPr>
            </w:pPr>
            <w:r>
              <w:rPr>
                <w:rFonts w:ascii="Arial" w:cs="Arial" w:eastAsia="Arial" w:hAnsi="Arial"/>
                <w:sz w:val="15"/>
                <w:szCs w:val="15"/>
                <w:color w:val="auto"/>
                <w:w w:val="72"/>
              </w:rPr>
              <w:t>No</w:t>
            </w:r>
          </w:p>
        </w:tc>
        <w:tc>
          <w:tcPr>
            <w:tcW w:w="0" w:type="dxa"/>
            <w:vAlign w:val="bottom"/>
          </w:tcPr>
          <w:p>
            <w:pPr>
              <w:spacing w:after="0"/>
              <w:rPr>
                <w:sz w:val="1"/>
                <w:szCs w:val="1"/>
                <w:color w:val="auto"/>
              </w:rPr>
            </w:pPr>
          </w:p>
        </w:tc>
      </w:tr>
    </w:tbl>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July 28, 2023, 36,078,720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27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72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60325</wp:posOffset>
            </wp:positionV>
            <wp:extent cx="71272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724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32" w:right="239" w:bottom="1440" w:gutter="0" w:footer="0" w:header="0"/>
          <w:type w:val="continuous"/>
        </w:sectPr>
      </w:pPr>
    </w:p>
    <w:bookmarkStart w:id="1" w:name="page2"/>
    <w:bookmarkEnd w:id="1"/>
    <w:p>
      <w:pPr>
        <w:ind w:left="3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gridSpan w:val="4"/>
          </w:tcPr>
          <w:p>
            <w:pPr>
              <w:jc w:val="center"/>
              <w:ind w:right="3580"/>
              <w:spacing w:after="0"/>
              <w:rPr>
                <w:sz w:val="20"/>
                <w:szCs w:val="20"/>
                <w:color w:val="auto"/>
              </w:rPr>
            </w:pPr>
            <w:r>
              <w:rPr>
                <w:rFonts w:ascii="Arial" w:cs="Arial" w:eastAsia="Arial" w:hAnsi="Arial"/>
                <w:sz w:val="18"/>
                <w:szCs w:val="18"/>
                <w:b w:val="1"/>
                <w:bCs w:val="1"/>
                <w:color w:val="auto"/>
                <w:w w:val="87"/>
              </w:rPr>
              <w:t>Shutterstock, Inc.</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2"/>
          </w:tcPr>
          <w:p>
            <w:pPr>
              <w:jc w:val="center"/>
              <w:ind w:right="4020"/>
              <w:spacing w:after="0"/>
              <w:rPr>
                <w:sz w:val="20"/>
                <w:szCs w:val="20"/>
                <w:color w:val="auto"/>
              </w:rPr>
            </w:pPr>
            <w:r>
              <w:rPr>
                <w:rFonts w:ascii="Arial" w:cs="Arial" w:eastAsia="Arial" w:hAnsi="Arial"/>
                <w:sz w:val="18"/>
                <w:szCs w:val="18"/>
                <w:b w:val="1"/>
                <w:bCs w:val="1"/>
                <w:color w:val="auto"/>
                <w:w w:val="97"/>
              </w:rPr>
              <w:t>FORM 10-Q</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40" w:type="dxa"/>
            <w:vAlign w:val="bottom"/>
            <w:gridSpan w:val="4"/>
          </w:tcPr>
          <w:p>
            <w:pPr>
              <w:ind w:left="4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500" w:type="dxa"/>
            <w:vAlign w:val="bottom"/>
            <w:gridSpan w:val="7"/>
          </w:tcPr>
          <w:p>
            <w:pPr>
              <w:jc w:val="center"/>
              <w:ind w:right="2820"/>
              <w:spacing w:after="0"/>
              <w:rPr>
                <w:sz w:val="20"/>
                <w:szCs w:val="20"/>
                <w:color w:val="auto"/>
              </w:rPr>
            </w:pPr>
            <w:r>
              <w:rPr>
                <w:rFonts w:ascii="Arial" w:cs="Arial" w:eastAsia="Arial" w:hAnsi="Arial"/>
                <w:sz w:val="18"/>
                <w:szCs w:val="18"/>
                <w:b w:val="1"/>
                <w:bCs w:val="1"/>
                <w:color w:val="auto"/>
                <w:w w:val="89"/>
              </w:rPr>
              <w:t>For the Quarterly Period Ended June 30, 2023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680" w:type="dxa"/>
            <w:vAlign w:val="bottom"/>
            <w:gridSpan w:val="14"/>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7560" w:type="dxa"/>
            <w:vAlign w:val="bottom"/>
            <w:gridSpan w:val="11"/>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80" w:type="dxa"/>
            <w:vAlign w:val="bottom"/>
            <w:tcBorders>
              <w:bottom w:val="single" w:sz="8" w:color="0000FF"/>
            </w:tcBorders>
            <w:gridSpan w:val="14"/>
            <w:vMerge w:val="continue"/>
          </w:tcPr>
          <w:p>
            <w:pPr>
              <w:spacing w:after="0"/>
              <w:rPr>
                <w:sz w:val="17"/>
                <w:szCs w:val="17"/>
                <w:color w:val="auto"/>
              </w:rPr>
            </w:pPr>
          </w:p>
        </w:tc>
        <w:tc>
          <w:tcPr>
            <w:tcW w:w="7560" w:type="dxa"/>
            <w:vAlign w:val="bottom"/>
            <w:gridSpan w:val="11"/>
            <w:vMerge w:val="continue"/>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5"/>
              </w:rPr>
              <w:t>Item 1.</w:t>
            </w:r>
          </w:p>
        </w:tc>
        <w:tc>
          <w:tcPr>
            <w:tcW w:w="54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89"/>
              </w:rPr>
              <w:t>Financial Statements (Unaudited)</w:t>
            </w:r>
          </w:p>
        </w:tc>
        <w:tc>
          <w:tcPr>
            <w:tcW w:w="7000" w:type="dxa"/>
            <w:vAlign w:val="bottom"/>
            <w:gridSpan w:val="9"/>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20" w:type="dxa"/>
            <w:vAlign w:val="bottom"/>
            <w:gridSpan w:val="18"/>
          </w:tcPr>
          <w:p>
            <w:pPr>
              <w:spacing w:after="0"/>
              <w:rPr>
                <w:sz w:val="20"/>
                <w:szCs w:val="20"/>
                <w:color w:val="auto"/>
              </w:rPr>
            </w:pPr>
            <w:r>
              <w:rPr>
                <w:rFonts w:ascii="Arial" w:cs="Arial" w:eastAsia="Arial" w:hAnsi="Arial"/>
                <w:sz w:val="16"/>
                <w:szCs w:val="16"/>
                <w:color w:val="0000FF"/>
              </w:rPr>
              <w:t>Consolidated Balance Sheets</w:t>
            </w:r>
          </w:p>
        </w:tc>
        <w:tc>
          <w:tcPr>
            <w:tcW w:w="940" w:type="dxa"/>
            <w:vAlign w:val="bottom"/>
          </w:tcPr>
          <w:p>
            <w:pPr>
              <w:jc w:val="right"/>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88"/>
              </w:rPr>
              <w:t>Consolidated Statements of Operations</w:t>
            </w:r>
          </w:p>
        </w:tc>
        <w:tc>
          <w:tcPr>
            <w:tcW w:w="6540" w:type="dxa"/>
            <w:vAlign w:val="bottom"/>
            <w:gridSpan w:val="8"/>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20" w:type="dxa"/>
            <w:vAlign w:val="bottom"/>
            <w:gridSpan w:val="18"/>
          </w:tcPr>
          <w:p>
            <w:pPr>
              <w:spacing w:after="0"/>
              <w:rPr>
                <w:sz w:val="20"/>
                <w:szCs w:val="20"/>
                <w:color w:val="auto"/>
              </w:rPr>
            </w:pPr>
            <w:r>
              <w:rPr>
                <w:rFonts w:ascii="Arial" w:cs="Arial" w:eastAsia="Arial" w:hAnsi="Arial"/>
                <w:sz w:val="16"/>
                <w:szCs w:val="16"/>
                <w:color w:val="0000FF"/>
              </w:rPr>
              <w:t>Consolidated Statements of Comprehensive Income</w:t>
            </w:r>
          </w:p>
        </w:tc>
        <w:tc>
          <w:tcPr>
            <w:tcW w:w="940" w:type="dxa"/>
            <w:vAlign w:val="bottom"/>
          </w:tcPr>
          <w:p>
            <w:pPr>
              <w:jc w:val="right"/>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w w:val="94"/>
              </w:rPr>
              <w:t>Consolidated Statements of Stockholders’ Equity</w:t>
            </w:r>
          </w:p>
        </w:tc>
        <w:tc>
          <w:tcPr>
            <w:tcW w:w="5740" w:type="dxa"/>
            <w:vAlign w:val="bottom"/>
            <w:gridSpan w:val="4"/>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Consolidated Statements of Cash Flows</w:t>
            </w:r>
          </w:p>
        </w:tc>
        <w:tc>
          <w:tcPr>
            <w:tcW w:w="5920" w:type="dxa"/>
            <w:vAlign w:val="bottom"/>
            <w:gridSpan w:val="5"/>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88"/>
              </w:rPr>
              <w:t>Notes to Consolidated Financial Statements</w:t>
            </w:r>
          </w:p>
        </w:tc>
        <w:tc>
          <w:tcPr>
            <w:tcW w:w="6240" w:type="dxa"/>
            <w:vAlign w:val="bottom"/>
            <w:gridSpan w:val="6"/>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9</w:t>
            </w:r>
          </w:p>
        </w:tc>
        <w:tc>
          <w:tcPr>
            <w:tcW w:w="0" w:type="dxa"/>
            <w:vAlign w:val="bottom"/>
          </w:tcPr>
          <w:p>
            <w:pPr>
              <w:spacing w:after="0"/>
              <w:rPr>
                <w:sz w:val="1"/>
                <w:szCs w:val="1"/>
                <w:color w:val="auto"/>
              </w:rPr>
            </w:pPr>
          </w:p>
        </w:tc>
      </w:tr>
      <w:tr>
        <w:trPr>
          <w:trHeight w:val="191"/>
        </w:trPr>
        <w:tc>
          <w:tcPr>
            <w:tcW w:w="460" w:type="dxa"/>
            <w:vAlign w:val="bottom"/>
            <w:gridSpan w:val="3"/>
          </w:tcPr>
          <w:p>
            <w:pPr>
              <w:spacing w:after="0"/>
              <w:rPr>
                <w:sz w:val="20"/>
                <w:szCs w:val="20"/>
                <w:color w:val="auto"/>
              </w:rPr>
            </w:pPr>
            <w:r>
              <w:rPr>
                <w:rFonts w:ascii="Arial" w:cs="Arial" w:eastAsia="Arial" w:hAnsi="Arial"/>
                <w:sz w:val="16"/>
                <w:szCs w:val="16"/>
                <w:color w:val="0000FF"/>
                <w:w w:val="89"/>
              </w:rPr>
              <w:t>Item 2.</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40" w:type="dxa"/>
            <w:vAlign w:val="bottom"/>
            <w:gridSpan w:val="19"/>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89"/>
              </w:rPr>
              <w:t>Item 3.</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6"/>
                <w:szCs w:val="16"/>
                <w:color w:val="0000FF"/>
                <w:w w:val="91"/>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34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39</w:t>
            </w:r>
          </w:p>
        </w:tc>
        <w:tc>
          <w:tcPr>
            <w:tcW w:w="0" w:type="dxa"/>
            <w:vAlign w:val="bottom"/>
          </w:tcPr>
          <w:p>
            <w:pPr>
              <w:spacing w:after="0"/>
              <w:rPr>
                <w:sz w:val="1"/>
                <w:szCs w:val="1"/>
                <w:color w:val="auto"/>
              </w:rPr>
            </w:pPr>
          </w:p>
        </w:tc>
      </w:tr>
      <w:tr>
        <w:trPr>
          <w:trHeight w:val="191"/>
        </w:trPr>
        <w:tc>
          <w:tcPr>
            <w:tcW w:w="440" w:type="dxa"/>
            <w:vAlign w:val="bottom"/>
            <w:gridSpan w:val="2"/>
          </w:tcPr>
          <w:p>
            <w:pPr>
              <w:spacing w:after="0"/>
              <w:rPr>
                <w:sz w:val="20"/>
                <w:szCs w:val="20"/>
                <w:color w:val="auto"/>
              </w:rPr>
            </w:pPr>
            <w:r>
              <w:rPr>
                <w:rFonts w:ascii="Arial" w:cs="Arial" w:eastAsia="Arial" w:hAnsi="Arial"/>
                <w:sz w:val="16"/>
                <w:szCs w:val="16"/>
                <w:color w:val="0000FF"/>
                <w:w w:val="85"/>
              </w:rPr>
              <w:t>Item 4.</w:t>
            </w:r>
          </w:p>
        </w:tc>
        <w:tc>
          <w:tcPr>
            <w:tcW w:w="54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9140" w:type="dxa"/>
            <w:vAlign w:val="bottom"/>
            <w:gridSpan w:val="19"/>
          </w:tcPr>
          <w:p>
            <w:pPr>
              <w:spacing w:after="0"/>
              <w:rPr>
                <w:sz w:val="20"/>
                <w:szCs w:val="20"/>
                <w:color w:val="auto"/>
              </w:rPr>
            </w:pPr>
            <w:r>
              <w:rPr>
                <w:rFonts w:ascii="Arial" w:cs="Arial" w:eastAsia="Arial" w:hAnsi="Arial"/>
                <w:sz w:val="16"/>
                <w:szCs w:val="16"/>
                <w:color w:val="0000FF"/>
              </w:rPr>
              <w:t>Controls and Procedures</w:t>
            </w:r>
          </w:p>
        </w:tc>
        <w:tc>
          <w:tcPr>
            <w:tcW w:w="940" w:type="dxa"/>
            <w:vAlign w:val="bottom"/>
          </w:tcPr>
          <w:p>
            <w:pPr>
              <w:jc w:val="right"/>
              <w:spacing w:after="0"/>
              <w:rPr>
                <w:sz w:val="20"/>
                <w:szCs w:val="20"/>
                <w:color w:val="auto"/>
              </w:rPr>
            </w:pPr>
            <w:r>
              <w:rPr>
                <w:rFonts w:ascii="Arial" w:cs="Arial" w:eastAsia="Arial" w:hAnsi="Arial"/>
                <w:sz w:val="16"/>
                <w:szCs w:val="16"/>
                <w:color w:val="0000FF"/>
              </w:rPr>
              <w:t>41</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b w:val="1"/>
                <w:bCs w:val="1"/>
                <w:color w:val="0000FF"/>
              </w:rPr>
              <w:t>PART II. OTHER INFORMATION</w:t>
            </w:r>
          </w:p>
        </w:tc>
        <w:tc>
          <w:tcPr>
            <w:tcW w:w="7820" w:type="dxa"/>
            <w:vAlign w:val="bottom"/>
            <w:gridSpan w:val="13"/>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9"/>
              </w:rPr>
              <w:t>Item 1.</w:t>
            </w:r>
          </w:p>
        </w:tc>
        <w:tc>
          <w:tcPr>
            <w:tcW w:w="5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7"/>
              </w:rPr>
              <w:t>Legal Proceedings</w:t>
            </w:r>
          </w:p>
        </w:tc>
        <w:tc>
          <w:tcPr>
            <w:tcW w:w="7960" w:type="dxa"/>
            <w:vAlign w:val="bottom"/>
            <w:gridSpan w:val="14"/>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560" w:type="dxa"/>
            <w:vAlign w:val="bottom"/>
            <w:gridSpan w:val="4"/>
          </w:tcPr>
          <w:p>
            <w:pPr>
              <w:spacing w:after="0"/>
              <w:rPr>
                <w:sz w:val="20"/>
                <w:szCs w:val="20"/>
                <w:color w:val="auto"/>
              </w:rPr>
            </w:pPr>
            <w:r>
              <w:rPr>
                <w:rFonts w:ascii="Arial" w:cs="Arial" w:eastAsia="Arial" w:hAnsi="Arial"/>
                <w:sz w:val="16"/>
                <w:szCs w:val="16"/>
                <w:color w:val="0000FF"/>
                <w:w w:val="90"/>
              </w:rPr>
              <w:t>Item 1A.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140" w:type="dxa"/>
            <w:vAlign w:val="bottom"/>
            <w:gridSpan w:val="19"/>
          </w:tcPr>
          <w:p>
            <w:pPr>
              <w:spacing w:after="0"/>
              <w:rPr>
                <w:sz w:val="20"/>
                <w:szCs w:val="20"/>
                <w:color w:val="auto"/>
              </w:rPr>
            </w:pPr>
            <w:r>
              <w:rPr>
                <w:rFonts w:ascii="Arial" w:cs="Arial" w:eastAsia="Arial" w:hAnsi="Arial"/>
                <w:sz w:val="16"/>
                <w:szCs w:val="16"/>
                <w:color w:val="0000FF"/>
              </w:rPr>
              <w:t>Risk Factors</w:t>
            </w:r>
          </w:p>
        </w:tc>
        <w:tc>
          <w:tcPr>
            <w:tcW w:w="94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60" w:type="dxa"/>
            <w:vAlign w:val="bottom"/>
            <w:gridSpan w:val="1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gridSpan w:val="3"/>
          </w:tcPr>
          <w:p>
            <w:pPr>
              <w:spacing w:after="0"/>
              <w:rPr>
                <w:sz w:val="20"/>
                <w:szCs w:val="20"/>
                <w:color w:val="auto"/>
              </w:rPr>
            </w:pPr>
            <w:r>
              <w:rPr>
                <w:rFonts w:ascii="Arial" w:cs="Arial" w:eastAsia="Arial" w:hAnsi="Arial"/>
                <w:sz w:val="16"/>
                <w:szCs w:val="16"/>
                <w:color w:val="0000FF"/>
                <w:w w:val="89"/>
              </w:rPr>
              <w:t>Item 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140" w:type="dxa"/>
            <w:vAlign w:val="bottom"/>
            <w:gridSpan w:val="19"/>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94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w w:val="89"/>
              </w:rPr>
              <w:t>Item 5.</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top w:val="single" w:sz="8" w:color="0000FF"/>
            </w:tcBorders>
            <w:gridSpan w:val="16"/>
          </w:tcPr>
          <w:p>
            <w:pPr>
              <w:spacing w:after="0"/>
              <w:rPr>
                <w:sz w:val="20"/>
                <w:szCs w:val="20"/>
                <w:color w:val="auto"/>
              </w:rPr>
            </w:pPr>
            <w:r>
              <w:rPr>
                <w:rFonts w:ascii="Arial" w:cs="Arial" w:eastAsia="Arial" w:hAnsi="Arial"/>
                <w:sz w:val="16"/>
                <w:szCs w:val="16"/>
                <w:color w:val="0000FF"/>
              </w:rPr>
              <w:t>Other Information</w:t>
            </w:r>
          </w:p>
        </w:tc>
        <w:tc>
          <w:tcPr>
            <w:tcW w:w="5320" w:type="dxa"/>
            <w:vAlign w:val="bottom"/>
            <w:gridSpan w:val="3"/>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89"/>
              </w:rPr>
              <w:t>Item 6.</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2"/>
              </w:rPr>
              <w:t>Exhibits</w:t>
            </w:r>
          </w:p>
        </w:tc>
        <w:tc>
          <w:tcPr>
            <w:tcW w:w="620" w:type="dxa"/>
            <w:vAlign w:val="bottom"/>
            <w:tcBorders>
              <w:top w:val="single" w:sz="8" w:color="0000FF"/>
            </w:tcBorders>
            <w:gridSpan w:val="2"/>
          </w:tcPr>
          <w:p>
            <w:pPr>
              <w:spacing w:after="0"/>
              <w:rPr>
                <w:sz w:val="16"/>
                <w:szCs w:val="16"/>
                <w:color w:val="auto"/>
              </w:rPr>
            </w:pPr>
          </w:p>
        </w:tc>
        <w:tc>
          <w:tcPr>
            <w:tcW w:w="7980" w:type="dxa"/>
            <w:vAlign w:val="bottom"/>
            <w:gridSpan w:val="15"/>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6"/>
              </w:rPr>
              <w:t>Signatures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00FF"/>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130810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325" w:lineRule="exact"/>
        <w:rPr>
          <w:sz w:val="20"/>
          <w:szCs w:val="20"/>
          <w:color w:val="auto"/>
        </w:rPr>
      </w:pPr>
    </w:p>
    <w:p>
      <w:pPr>
        <w:ind w:right="40" w:firstLine="395"/>
        <w:spacing w:after="0" w:line="27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the Giphy, Inc. transaction, such as potential litigation; potential business disruption; the impact of transaction costs; our ability to achieve the benefits of the transaction, including monetization; our ability to effectively integrate the acquired operations into our operations; our ability to retain and hire key target personnel; and the effects of any unknown liabilities; as well as those risks discussed under the caption “Risk Factors” in our most recently filed Annual Report on Form 10-K, which was filed with the Securities and Exchange Commission (the “SEC”) on February 14, 2023 (our “2022 Form 10-K”) and in our consolidated financial statements, related notes, and the other information appearing elsewhere in the 2022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71"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3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2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86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40" w:type="dxa"/>
            <w:vAlign w:val="bottom"/>
          </w:tcPr>
          <w:p>
            <w:pPr>
              <w:jc w:val="center"/>
              <w:ind w:left="1832"/>
              <w:spacing w:after="0"/>
              <w:rPr>
                <w:sz w:val="20"/>
                <w:szCs w:val="20"/>
                <w:color w:val="auto"/>
              </w:rPr>
            </w:pPr>
            <w:r>
              <w:rPr>
                <w:rFonts w:ascii="Arial" w:cs="Arial" w:eastAsia="Arial" w:hAnsi="Arial"/>
                <w:sz w:val="18"/>
                <w:szCs w:val="18"/>
                <w:b w:val="1"/>
                <w:bCs w:val="1"/>
                <w:color w:val="auto"/>
                <w:w w:val="87"/>
              </w:rPr>
              <w:t>Shutterstock, Inc.</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jc w:val="center"/>
              <w:ind w:left="1852"/>
              <w:spacing w:after="0"/>
              <w:rPr>
                <w:sz w:val="20"/>
                <w:szCs w:val="20"/>
                <w:color w:val="auto"/>
              </w:rPr>
            </w:pPr>
            <w:r>
              <w:rPr>
                <w:rFonts w:ascii="Arial" w:cs="Arial" w:eastAsia="Arial" w:hAnsi="Arial"/>
                <w:sz w:val="18"/>
                <w:szCs w:val="18"/>
                <w:b w:val="1"/>
                <w:bCs w:val="1"/>
                <w:color w:val="auto"/>
                <w:w w:val="84"/>
              </w:rPr>
              <w:t>Consolidated Balance Sheets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jc w:val="center"/>
              <w:ind w:left="1852"/>
              <w:spacing w:after="0"/>
              <w:rPr>
                <w:sz w:val="20"/>
                <w:szCs w:val="20"/>
                <w:color w:val="auto"/>
              </w:rPr>
            </w:pPr>
            <w:r>
              <w:rPr>
                <w:rFonts w:ascii="Arial" w:cs="Arial" w:eastAsia="Arial" w:hAnsi="Arial"/>
                <w:sz w:val="18"/>
                <w:szCs w:val="18"/>
                <w:b w:val="1"/>
                <w:bCs w:val="1"/>
                <w:color w:val="auto"/>
                <w:w w:val="87"/>
              </w:rPr>
              <w:t>(In thousands, except par value amount)</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40" w:type="dxa"/>
            <w:vAlign w:val="bottom"/>
          </w:tcPr>
          <w:p>
            <w:pPr>
              <w:jc w:val="center"/>
              <w:ind w:left="1832"/>
              <w:spacing w:after="0"/>
              <w:rPr>
                <w:sz w:val="20"/>
                <w:szCs w:val="20"/>
                <w:color w:val="auto"/>
              </w:rPr>
            </w:pPr>
            <w:r>
              <w:rPr>
                <w:rFonts w:ascii="Arial" w:cs="Arial" w:eastAsia="Arial" w:hAnsi="Arial"/>
                <w:sz w:val="18"/>
                <w:szCs w:val="18"/>
                <w:b w:val="1"/>
                <w:bCs w:val="1"/>
                <w:color w:val="auto"/>
                <w:w w:val="89"/>
              </w:rPr>
              <w:t>(unaudited)</w:t>
            </w: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322"/>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18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Pr>
          <w:p>
            <w:pPr>
              <w:spacing w:after="0"/>
              <w:rPr>
                <w:sz w:val="3"/>
                <w:szCs w:val="3"/>
                <w:color w:val="auto"/>
              </w:rPr>
            </w:pPr>
          </w:p>
        </w:tc>
        <w:tc>
          <w:tcPr>
            <w:tcW w:w="60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87,146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115,154</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Accounts receivable, net of allowance of $5,641 and $5,830</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67,249</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124,554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33,268</w:t>
            </w:r>
          </w:p>
        </w:tc>
        <w:tc>
          <w:tcPr>
            <w:tcW w:w="0" w:type="dxa"/>
            <w:vAlign w:val="bottom"/>
          </w:tcPr>
          <w:p>
            <w:pPr>
              <w:spacing w:after="0"/>
              <w:rPr>
                <w:sz w:val="1"/>
                <w:szCs w:val="1"/>
                <w:color w:val="auto"/>
              </w:rPr>
            </w:pPr>
          </w:p>
        </w:tc>
      </w:tr>
      <w:tr>
        <w:trPr>
          <w:trHeight w:val="204"/>
        </w:trPr>
        <w:tc>
          <w:tcPr>
            <w:tcW w:w="400" w:type="dxa"/>
            <w:vAlign w:val="bottom"/>
            <w:shd w:val="clear" w:color="auto" w:fill="CCEEFF"/>
          </w:tcPr>
          <w:p>
            <w:pPr>
              <w:spacing w:after="0"/>
              <w:rPr>
                <w:sz w:val="17"/>
                <w:szCs w:val="17"/>
                <w:color w:val="auto"/>
              </w:rPr>
            </w:pPr>
          </w:p>
        </w:tc>
        <w:tc>
          <w:tcPr>
            <w:tcW w:w="728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215,671</w:t>
            </w:r>
          </w:p>
        </w:tc>
        <w:tc>
          <w:tcPr>
            <w:tcW w:w="0" w:type="dxa"/>
            <w:vAlign w:val="bottom"/>
          </w:tcPr>
          <w:p>
            <w:pPr>
              <w:spacing w:after="0"/>
              <w:rPr>
                <w:sz w:val="1"/>
                <w:szCs w:val="1"/>
                <w:color w:val="auto"/>
              </w:rPr>
            </w:pPr>
          </w:p>
        </w:tc>
      </w:tr>
      <w:tr>
        <w:trPr>
          <w:trHeight w:val="207"/>
        </w:trPr>
        <w:tc>
          <w:tcPr>
            <w:tcW w:w="7680" w:type="dxa"/>
            <w:vAlign w:val="bottom"/>
            <w:gridSpan w:val="4"/>
          </w:tcPr>
          <w:p>
            <w:pPr>
              <w:ind w:left="220"/>
              <w:spacing w:after="0"/>
              <w:rPr>
                <w:sz w:val="20"/>
                <w:szCs w:val="20"/>
                <w:color w:val="auto"/>
              </w:rPr>
            </w:pPr>
            <w:r>
              <w:rPr>
                <w:rFonts w:ascii="Arial" w:cs="Arial" w:eastAsia="Arial" w:hAnsi="Arial"/>
                <w:sz w:val="16"/>
                <w:szCs w:val="16"/>
                <w:color w:val="auto"/>
              </w:rPr>
              <w:t>Property and equipment, net</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59,434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54,548</w:t>
            </w:r>
          </w:p>
        </w:tc>
        <w:tc>
          <w:tcPr>
            <w:tcW w:w="0" w:type="dxa"/>
            <w:vAlign w:val="bottom"/>
          </w:tcPr>
          <w:p>
            <w:pPr>
              <w:spacing w:after="0"/>
              <w:rPr>
                <w:sz w:val="1"/>
                <w:szCs w:val="1"/>
                <w:color w:val="auto"/>
              </w:rPr>
            </w:pPr>
          </w:p>
        </w:tc>
      </w:tr>
      <w:tr>
        <w:trPr>
          <w:trHeight w:val="214"/>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Right-of-use assets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17,593</w:t>
            </w:r>
          </w:p>
        </w:tc>
        <w:tc>
          <w:tcPr>
            <w:tcW w:w="0" w:type="dxa"/>
            <w:vAlign w:val="bottom"/>
          </w:tcPr>
          <w:p>
            <w:pPr>
              <w:spacing w:after="0"/>
              <w:rPr>
                <w:sz w:val="1"/>
                <w:szCs w:val="1"/>
                <w:color w:val="auto"/>
              </w:rPr>
            </w:pPr>
          </w:p>
        </w:tc>
      </w:tr>
      <w:tr>
        <w:trPr>
          <w:trHeight w:val="207"/>
        </w:trPr>
        <w:tc>
          <w:tcPr>
            <w:tcW w:w="7680" w:type="dxa"/>
            <w:vAlign w:val="bottom"/>
            <w:gridSpan w:val="4"/>
          </w:tcPr>
          <w:p>
            <w:pPr>
              <w:ind w:left="220"/>
              <w:spacing w:after="0"/>
              <w:rPr>
                <w:sz w:val="20"/>
                <w:szCs w:val="20"/>
                <w:color w:val="auto"/>
              </w:rPr>
            </w:pPr>
            <w:r>
              <w:rPr>
                <w:rFonts w:ascii="Arial" w:cs="Arial" w:eastAsia="Arial" w:hAnsi="Arial"/>
                <w:sz w:val="16"/>
                <w:szCs w:val="16"/>
                <w:color w:val="auto"/>
              </w:rPr>
              <w:t>Intangible assets, net</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202,090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173,087</w:t>
            </w:r>
          </w:p>
        </w:tc>
        <w:tc>
          <w:tcPr>
            <w:tcW w:w="0" w:type="dxa"/>
            <w:vAlign w:val="bottom"/>
          </w:tcPr>
          <w:p>
            <w:pPr>
              <w:spacing w:after="0"/>
              <w:rPr>
                <w:sz w:val="1"/>
                <w:szCs w:val="1"/>
                <w:color w:val="auto"/>
              </w:rPr>
            </w:pPr>
          </w:p>
        </w:tc>
      </w:tr>
      <w:tr>
        <w:trPr>
          <w:trHeight w:val="214"/>
        </w:trPr>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4"/>
              </w:rPr>
              <w:t>Goodwill</w:t>
            </w:r>
          </w:p>
        </w:tc>
        <w:tc>
          <w:tcPr>
            <w:tcW w:w="8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381,920</w:t>
            </w:r>
          </w:p>
        </w:tc>
        <w:tc>
          <w:tcPr>
            <w:tcW w:w="0" w:type="dxa"/>
            <w:vAlign w:val="bottom"/>
          </w:tcPr>
          <w:p>
            <w:pPr>
              <w:spacing w:after="0"/>
              <w:rPr>
                <w:sz w:val="1"/>
                <w:szCs w:val="1"/>
                <w:color w:val="auto"/>
              </w:rPr>
            </w:pPr>
          </w:p>
        </w:tc>
      </w:tr>
      <w:tr>
        <w:trPr>
          <w:trHeight w:val="207"/>
        </w:trPr>
        <w:tc>
          <w:tcPr>
            <w:tcW w:w="7680" w:type="dxa"/>
            <w:vAlign w:val="bottom"/>
            <w:gridSpan w:val="4"/>
          </w:tcPr>
          <w:p>
            <w:pPr>
              <w:ind w:left="220"/>
              <w:spacing w:after="0"/>
              <w:rPr>
                <w:sz w:val="20"/>
                <w:szCs w:val="20"/>
                <w:color w:val="auto"/>
              </w:rPr>
            </w:pPr>
            <w:r>
              <w:rPr>
                <w:rFonts w:ascii="Arial" w:cs="Arial" w:eastAsia="Arial" w:hAnsi="Arial"/>
                <w:sz w:val="16"/>
                <w:szCs w:val="16"/>
                <w:color w:val="auto"/>
              </w:rPr>
              <w:t>Deferred tax assets, net</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16,533</w:t>
            </w:r>
          </w:p>
        </w:tc>
        <w:tc>
          <w:tcPr>
            <w:tcW w:w="0" w:type="dxa"/>
            <w:vAlign w:val="bottom"/>
          </w:tcPr>
          <w:p>
            <w:pPr>
              <w:spacing w:after="0"/>
              <w:rPr>
                <w:sz w:val="1"/>
                <w:szCs w:val="1"/>
                <w:color w:val="auto"/>
              </w:rPr>
            </w:pPr>
          </w:p>
        </w:tc>
      </w:tr>
      <w:tr>
        <w:trPr>
          <w:trHeight w:val="211"/>
        </w:trPr>
        <w:tc>
          <w:tcPr>
            <w:tcW w:w="76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67,435</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04"/>
        </w:trPr>
        <w:tc>
          <w:tcPr>
            <w:tcW w:w="820" w:type="dxa"/>
            <w:vAlign w:val="bottom"/>
            <w:gridSpan w:val="2"/>
          </w:tcPr>
          <w:p>
            <w:pPr>
              <w:ind w:left="20"/>
              <w:spacing w:after="0"/>
              <w:rPr>
                <w:sz w:val="20"/>
                <w:szCs w:val="20"/>
                <w:color w:val="auto"/>
              </w:rPr>
            </w:pPr>
            <w:r>
              <w:rPr>
                <w:rFonts w:ascii="Arial" w:cs="Arial" w:eastAsia="Arial" w:hAnsi="Arial"/>
                <w:sz w:val="16"/>
                <w:szCs w:val="16"/>
                <w:color w:val="auto"/>
                <w:w w:val="90"/>
              </w:rPr>
              <w:t>Total assets</w:t>
            </w:r>
          </w:p>
        </w:tc>
        <w:tc>
          <w:tcPr>
            <w:tcW w:w="8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1,004,261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80" w:type="dxa"/>
            <w:vAlign w:val="bottom"/>
            <w:gridSpan w:val="4"/>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4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680" w:type="dxa"/>
            <w:vAlign w:val="bottom"/>
            <w:gridSpan w:val="4"/>
          </w:tcPr>
          <w:p>
            <w:pPr>
              <w:ind w:left="220"/>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Accrued expenses</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112,231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89,387</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Contributor royalties payable</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38,649</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Deferred revenue</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207,483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187,070</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Debt</w:t>
            </w:r>
          </w:p>
        </w:tc>
        <w:tc>
          <w:tcPr>
            <w:tcW w:w="8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Other current liabilities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11,195</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r>
        <w:trPr>
          <w:trHeight w:val="207"/>
        </w:trPr>
        <w:tc>
          <w:tcPr>
            <w:tcW w:w="40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383,734</w:t>
            </w:r>
          </w:p>
        </w:tc>
        <w:tc>
          <w:tcPr>
            <w:tcW w:w="0" w:type="dxa"/>
            <w:vAlign w:val="bottom"/>
          </w:tcPr>
          <w:p>
            <w:pPr>
              <w:spacing w:after="0"/>
              <w:rPr>
                <w:sz w:val="1"/>
                <w:szCs w:val="1"/>
                <w:color w:val="auto"/>
              </w:rPr>
            </w:pPr>
          </w:p>
        </w:tc>
      </w:tr>
      <w:tr>
        <w:trPr>
          <w:trHeight w:val="207"/>
        </w:trPr>
        <w:tc>
          <w:tcPr>
            <w:tcW w:w="7680" w:type="dxa"/>
            <w:vAlign w:val="bottom"/>
            <w:gridSpan w:val="4"/>
          </w:tcPr>
          <w:p>
            <w:pPr>
              <w:ind w:left="220"/>
              <w:spacing w:after="0"/>
              <w:rPr>
                <w:sz w:val="20"/>
                <w:szCs w:val="20"/>
                <w:color w:val="auto"/>
              </w:rPr>
            </w:pPr>
            <w:r>
              <w:rPr>
                <w:rFonts w:ascii="Arial" w:cs="Arial" w:eastAsia="Arial" w:hAnsi="Arial"/>
                <w:sz w:val="16"/>
                <w:szCs w:val="16"/>
                <w:color w:val="auto"/>
              </w:rPr>
              <w:t>Deferred tax liability, net</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4"/>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35,611</w:t>
            </w:r>
          </w:p>
        </w:tc>
        <w:tc>
          <w:tcPr>
            <w:tcW w:w="0" w:type="dxa"/>
            <w:vAlign w:val="bottom"/>
          </w:tcPr>
          <w:p>
            <w:pPr>
              <w:spacing w:after="0"/>
              <w:rPr>
                <w:sz w:val="1"/>
                <w:szCs w:val="1"/>
                <w:color w:val="auto"/>
              </w:rPr>
            </w:pPr>
          </w:p>
        </w:tc>
      </w:tr>
      <w:tr>
        <w:trPr>
          <w:trHeight w:val="207"/>
        </w:trPr>
        <w:tc>
          <w:tcPr>
            <w:tcW w:w="7680" w:type="dxa"/>
            <w:vAlign w:val="bottom"/>
            <w:gridSpan w:val="4"/>
          </w:tcPr>
          <w:p>
            <w:pPr>
              <w:ind w:left="220"/>
              <w:spacing w:after="0"/>
              <w:rPr>
                <w:sz w:val="20"/>
                <w:szCs w:val="20"/>
                <w:color w:val="auto"/>
              </w:rPr>
            </w:pPr>
            <w:r>
              <w:rPr>
                <w:rFonts w:ascii="Arial" w:cs="Arial" w:eastAsia="Arial" w:hAnsi="Arial"/>
                <w:sz w:val="16"/>
                <w:szCs w:val="16"/>
                <w:color w:val="auto"/>
              </w:rPr>
              <w:t>Other non-current liabilities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0" w:type="dxa"/>
            <w:vAlign w:val="bottom"/>
          </w:tcPr>
          <w:p>
            <w:pPr>
              <w:spacing w:after="0"/>
              <w:rPr>
                <w:sz w:val="1"/>
                <w:szCs w:val="1"/>
                <w:color w:val="auto"/>
              </w:rPr>
            </w:pPr>
          </w:p>
        </w:tc>
      </w:tr>
      <w:tr>
        <w:trPr>
          <w:trHeight w:val="204"/>
        </w:trPr>
        <w:tc>
          <w:tcPr>
            <w:tcW w:w="76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4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484,754</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433,702</w:t>
            </w:r>
          </w:p>
        </w:tc>
        <w:tc>
          <w:tcPr>
            <w:tcW w:w="0" w:type="dxa"/>
            <w:vAlign w:val="bottom"/>
          </w:tcPr>
          <w:p>
            <w:pPr>
              <w:spacing w:after="0"/>
              <w:rPr>
                <w:sz w:val="1"/>
                <w:szCs w:val="1"/>
                <w:color w:val="auto"/>
              </w:rPr>
            </w:pPr>
          </w:p>
        </w:tc>
      </w:tr>
      <w:tr>
        <w:trPr>
          <w:trHeight w:val="214"/>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Commitments and contingencies (Note 14)</w:t>
            </w: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7680" w:type="dxa"/>
            <w:vAlign w:val="bottom"/>
            <w:gridSpan w:val="4"/>
          </w:tcPr>
          <w:p>
            <w:pPr>
              <w:spacing w:after="0"/>
              <w:rPr>
                <w:sz w:val="10"/>
                <w:szCs w:val="10"/>
                <w:color w:val="auto"/>
              </w:rPr>
            </w:pPr>
          </w:p>
        </w:tc>
        <w:tc>
          <w:tcPr>
            <w:tcW w:w="4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68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7280" w:type="dxa"/>
            <w:vAlign w:val="bottom"/>
            <w:gridSpan w:val="3"/>
          </w:tcPr>
          <w:p>
            <w:pPr>
              <w:ind w:left="60"/>
              <w:spacing w:after="0" w:line="161" w:lineRule="exact"/>
              <w:rPr>
                <w:sz w:val="20"/>
                <w:szCs w:val="20"/>
                <w:color w:val="auto"/>
              </w:rPr>
            </w:pPr>
            <w:r>
              <w:rPr>
                <w:rFonts w:ascii="Arial" w:cs="Arial" w:eastAsia="Arial" w:hAnsi="Arial"/>
                <w:sz w:val="16"/>
                <w:szCs w:val="16"/>
                <w:color w:val="auto"/>
                <w:w w:val="91"/>
              </w:rPr>
              <w:t>Common stock, $0.01 par value; 200,000 shares authorized; 39,884 and 39,605 shares issued and 36,028 and</w:t>
            </w:r>
          </w:p>
        </w:tc>
        <w:tc>
          <w:tcPr>
            <w:tcW w:w="4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35,829 shares outstanding as of June 30, 2023 and December 31, 2022, respectively</w:t>
            </w:r>
          </w:p>
        </w:tc>
        <w:tc>
          <w:tcPr>
            <w:tcW w:w="4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5"/>
              </w:rPr>
              <w:t>Treasury stock, at cost; 3,856 and 3,776 shares as of June 30, 2023 and December 31, 2022, respectively</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(200,008)</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402,728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391,482</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Accumulated comprehensive loss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(15,439)</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280" w:type="dxa"/>
            <w:vAlign w:val="bottom"/>
            <w:gridSpan w:val="3"/>
          </w:tcPr>
          <w:p>
            <w:pPr>
              <w:ind w:left="60"/>
              <w:spacing w:after="0"/>
              <w:rPr>
                <w:sz w:val="20"/>
                <w:szCs w:val="20"/>
                <w:color w:val="auto"/>
              </w:rPr>
            </w:pPr>
            <w:r>
              <w:rPr>
                <w:rFonts w:ascii="Arial" w:cs="Arial" w:eastAsia="Arial" w:hAnsi="Arial"/>
                <w:sz w:val="16"/>
                <w:szCs w:val="16"/>
                <w:color w:val="auto"/>
              </w:rPr>
              <w:t>Retained earnings</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334,520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271,051</w:t>
            </w:r>
          </w:p>
        </w:tc>
        <w:tc>
          <w:tcPr>
            <w:tcW w:w="0" w:type="dxa"/>
            <w:vAlign w:val="bottom"/>
          </w:tcPr>
          <w:p>
            <w:pPr>
              <w:spacing w:after="0"/>
              <w:rPr>
                <w:sz w:val="1"/>
                <w:szCs w:val="1"/>
                <w:color w:val="auto"/>
              </w:rPr>
            </w:pPr>
          </w:p>
        </w:tc>
      </w:tr>
      <w:tr>
        <w:trPr>
          <w:trHeight w:val="204"/>
        </w:trPr>
        <w:tc>
          <w:tcPr>
            <w:tcW w:w="76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4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519,507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447,482</w:t>
            </w:r>
          </w:p>
        </w:tc>
        <w:tc>
          <w:tcPr>
            <w:tcW w:w="0" w:type="dxa"/>
            <w:vAlign w:val="bottom"/>
          </w:tcPr>
          <w:p>
            <w:pPr>
              <w:spacing w:after="0"/>
              <w:rPr>
                <w:sz w:val="1"/>
                <w:szCs w:val="1"/>
                <w:color w:val="auto"/>
              </w:rPr>
            </w:pPr>
          </w:p>
        </w:tc>
      </w:tr>
      <w:tr>
        <w:trPr>
          <w:trHeight w:val="204"/>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1,004,261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1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208,840</w:t>
            </w:r>
          </w:p>
        </w:tc>
        <w:tc>
          <w:tcPr>
            <w:tcW w:w="540" w:type="dxa"/>
            <w:vAlign w:val="bottom"/>
            <w:gridSpan w:val="2"/>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206,872</w:t>
            </w:r>
          </w:p>
        </w:tc>
        <w:tc>
          <w:tcPr>
            <w:tcW w:w="50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424,120</w:t>
            </w:r>
          </w:p>
        </w:tc>
        <w:tc>
          <w:tcPr>
            <w:tcW w:w="640" w:type="dxa"/>
            <w:vAlign w:val="bottom"/>
            <w:gridSpan w:val="2"/>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406,004</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84,416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162,579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146,470</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95,919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107,558</w:t>
            </w:r>
          </w:p>
        </w:tc>
        <w:tc>
          <w:tcPr>
            <w:tcW w:w="0" w:type="dxa"/>
            <w:vAlign w:val="bottom"/>
          </w:tcPr>
          <w:p>
            <w:pPr>
              <w:spacing w:after="0"/>
              <w:rPr>
                <w:sz w:val="1"/>
                <w:szCs w:val="1"/>
                <w:color w:val="auto"/>
              </w:rPr>
            </w:pPr>
          </w:p>
        </w:tc>
      </w:tr>
      <w:tr>
        <w:trPr>
          <w:trHeight w:val="207"/>
        </w:trPr>
        <w:tc>
          <w:tcPr>
            <w:tcW w:w="536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29,218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44,624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30,788</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38,099</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71,914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63,896</w:t>
            </w:r>
          </w:p>
        </w:tc>
        <w:tc>
          <w:tcPr>
            <w:tcW w:w="0" w:type="dxa"/>
            <w:vAlign w:val="bottom"/>
          </w:tcPr>
          <w:p>
            <w:pPr>
              <w:spacing w:after="0"/>
              <w:rPr>
                <w:sz w:val="1"/>
                <w:szCs w:val="1"/>
                <w:color w:val="auto"/>
              </w:rPr>
            </w:pPr>
          </w:p>
        </w:tc>
      </w:tr>
      <w:tr>
        <w:trPr>
          <w:trHeight w:val="200"/>
        </w:trPr>
        <w:tc>
          <w:tcPr>
            <w:tcW w:w="53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375,036</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348,712</w:t>
            </w:r>
          </w:p>
        </w:tc>
        <w:tc>
          <w:tcPr>
            <w:tcW w:w="0" w:type="dxa"/>
            <w:vAlign w:val="bottom"/>
          </w:tcPr>
          <w:p>
            <w:pPr>
              <w:spacing w:after="0"/>
              <w:rPr>
                <w:sz w:val="1"/>
                <w:szCs w:val="1"/>
                <w:color w:val="auto"/>
              </w:rPr>
            </w:pPr>
          </w:p>
        </w:tc>
      </w:tr>
      <w:tr>
        <w:trPr>
          <w:trHeight w:val="207"/>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49,084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57,292</w:t>
            </w: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Bargain purchase gain</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41,940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 (expense), net</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00"/>
        </w:trPr>
        <w:tc>
          <w:tcPr>
            <w:tcW w:w="536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51,381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22,713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92,795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55,389</w:t>
            </w:r>
          </w:p>
        </w:tc>
        <w:tc>
          <w:tcPr>
            <w:tcW w:w="0" w:type="dxa"/>
            <w:vAlign w:val="bottom"/>
          </w:tcPr>
          <w:p>
            <w:pPr>
              <w:spacing w:after="0"/>
              <w:rPr>
                <w:sz w:val="1"/>
                <w:szCs w:val="1"/>
                <w:color w:val="auto"/>
              </w:rPr>
            </w:pPr>
          </w:p>
        </w:tc>
      </w:tr>
      <w:tr>
        <w:trPr>
          <w:trHeight w:val="214"/>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9,939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177"/>
        </w:trPr>
        <w:tc>
          <w:tcPr>
            <w:tcW w:w="5360" w:type="dxa"/>
            <w:vAlign w:val="bottom"/>
          </w:tcPr>
          <w:p>
            <w:pPr>
              <w:ind w:left="140"/>
              <w:spacing w:after="0" w:line="178" w:lineRule="exact"/>
              <w:rPr>
                <w:sz w:val="20"/>
                <w:szCs w:val="20"/>
                <w:color w:val="auto"/>
              </w:rPr>
            </w:pPr>
            <w:r>
              <w:rPr>
                <w:rFonts w:ascii="Arial" w:cs="Arial" w:eastAsia="Arial" w:hAnsi="Arial"/>
                <w:sz w:val="16"/>
                <w:szCs w:val="16"/>
                <w:color w:val="auto"/>
              </w:rPr>
              <w:t>Net income</w:t>
            </w:r>
          </w:p>
        </w:tc>
        <w:tc>
          <w:tcPr>
            <w:tcW w:w="380" w:type="dxa"/>
            <w:vAlign w:val="bottom"/>
          </w:tcPr>
          <w:p>
            <w:pPr>
              <w:jc w:val="right"/>
              <w:ind w:right="201"/>
              <w:spacing w:after="0" w:line="178"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50,013</w:t>
            </w:r>
          </w:p>
        </w:tc>
        <w:tc>
          <w:tcPr>
            <w:tcW w:w="540" w:type="dxa"/>
            <w:vAlign w:val="bottom"/>
            <w:gridSpan w:val="2"/>
          </w:tcPr>
          <w:p>
            <w:pPr>
              <w:jc w:val="right"/>
              <w:ind w:right="241"/>
              <w:spacing w:after="0" w:line="17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19,445</w:t>
            </w:r>
          </w:p>
        </w:tc>
        <w:tc>
          <w:tcPr>
            <w:tcW w:w="500" w:type="dxa"/>
            <w:vAlign w:val="bottom"/>
            <w:gridSpan w:val="2"/>
          </w:tcPr>
          <w:p>
            <w:pPr>
              <w:jc w:val="right"/>
              <w:ind w:right="201"/>
              <w:spacing w:after="0" w:line="178"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line="178" w:lineRule="exact"/>
              <w:rPr>
                <w:sz w:val="20"/>
                <w:szCs w:val="20"/>
                <w:color w:val="auto"/>
              </w:rPr>
            </w:pPr>
            <w:r>
              <w:rPr>
                <w:rFonts w:ascii="Arial" w:cs="Arial" w:eastAsia="Arial" w:hAnsi="Arial"/>
                <w:sz w:val="16"/>
                <w:szCs w:val="16"/>
                <w:color w:val="auto"/>
              </w:rPr>
              <w:t>82,856</w:t>
            </w:r>
          </w:p>
        </w:tc>
        <w:tc>
          <w:tcPr>
            <w:tcW w:w="640" w:type="dxa"/>
            <w:vAlign w:val="bottom"/>
            <w:gridSpan w:val="2"/>
          </w:tcPr>
          <w:p>
            <w:pPr>
              <w:jc w:val="right"/>
              <w:ind w:right="361"/>
              <w:spacing w:after="0" w:line="178"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78" w:lineRule="exact"/>
              <w:rPr>
                <w:sz w:val="20"/>
                <w:szCs w:val="20"/>
                <w:color w:val="auto"/>
              </w:rPr>
            </w:pPr>
            <w:r>
              <w:rPr>
                <w:rFonts w:ascii="Arial" w:cs="Arial" w:eastAsia="Arial" w:hAnsi="Arial"/>
                <w:sz w:val="16"/>
                <w:szCs w:val="16"/>
                <w:color w:val="auto"/>
              </w:rPr>
              <w:t>46,017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vMerge w:val="continue"/>
          </w:tcPr>
          <w:p>
            <w:pPr>
              <w:spacing w:after="0"/>
              <w:rPr>
                <w:sz w:val="15"/>
                <w:szCs w:val="15"/>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w:t>
            </w:r>
          </w:p>
        </w:tc>
        <w:tc>
          <w:tcPr>
            <w:tcW w:w="540" w:type="dxa"/>
            <w:vAlign w:val="bottom"/>
            <w:gridSpan w:val="2"/>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0.53</w:t>
            </w:r>
          </w:p>
        </w:tc>
        <w:tc>
          <w:tcPr>
            <w:tcW w:w="500" w:type="dxa"/>
            <w:vAlign w:val="bottom"/>
            <w:gridSpan w:val="2"/>
          </w:tcPr>
          <w:p>
            <w:pPr>
              <w:jc w:val="right"/>
              <w:ind w:right="201"/>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2.27</w:t>
            </w:r>
          </w:p>
        </w:tc>
        <w:tc>
          <w:tcPr>
            <w:tcW w:w="640" w:type="dxa"/>
            <w:vAlign w:val="bottom"/>
            <w:gridSpan w:val="2"/>
          </w:tcPr>
          <w:p>
            <w:pPr>
              <w:jc w:val="right"/>
              <w:ind w:right="361"/>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36,123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36,406</w:t>
            </w: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36,578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36,490</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36,890</w:t>
            </w:r>
          </w:p>
        </w:tc>
        <w:tc>
          <w:tcPr>
            <w:tcW w:w="0" w:type="dxa"/>
            <w:vAlign w:val="bottom"/>
          </w:tcPr>
          <w:p>
            <w:pPr>
              <w:spacing w:after="0"/>
              <w:rPr>
                <w:sz w:val="1"/>
                <w:szCs w:val="1"/>
                <w:color w:val="auto"/>
              </w:rPr>
            </w:pPr>
          </w:p>
        </w:tc>
      </w:tr>
      <w:tr>
        <w:trPr>
          <w:trHeight w:val="23"/>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130810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80"/>
          </w:cols>
          <w:pgMar w:left="600" w:top="127" w:right="619" w:bottom="1440" w:gutter="0" w:footer="0" w:header="0"/>
        </w:sectPr>
      </w:pPr>
    </w:p>
    <w:bookmarkStart w:id="5" w:name="page6"/>
    <w:bookmarkEnd w:id="5"/>
    <w:p>
      <w:pPr>
        <w:ind w:left="2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5"/>
          </w:tcPr>
          <w:p>
            <w:pPr>
              <w:jc w:val="right"/>
              <w:ind w:right="343"/>
              <w:spacing w:after="0"/>
              <w:rPr>
                <w:sz w:val="20"/>
                <w:szCs w:val="20"/>
                <w:color w:val="auto"/>
              </w:rPr>
            </w:pPr>
            <w:r>
              <w:rPr>
                <w:rFonts w:ascii="Arial" w:cs="Arial" w:eastAsia="Arial" w:hAnsi="Arial"/>
                <w:sz w:val="14"/>
                <w:szCs w:val="14"/>
                <w:b w:val="1"/>
                <w:bCs w:val="1"/>
                <w:color w:val="auto"/>
              </w:rPr>
              <w:t>Six Months Ended</w:t>
            </w:r>
          </w:p>
        </w:tc>
      </w:tr>
      <w:tr>
        <w:trPr>
          <w:trHeight w:val="183"/>
        </w:trPr>
        <w:tc>
          <w:tcPr>
            <w:tcW w:w="5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June 30,</w:t>
            </w:r>
          </w:p>
        </w:tc>
        <w:tc>
          <w:tcPr>
            <w:tcW w:w="620" w:type="dxa"/>
            <w:vAlign w:val="bottom"/>
          </w:tcPr>
          <w:p>
            <w:pPr>
              <w:spacing w:after="0"/>
              <w:rPr>
                <w:sz w:val="15"/>
                <w:szCs w:val="15"/>
                <w:color w:val="auto"/>
              </w:rPr>
            </w:pPr>
          </w:p>
        </w:tc>
      </w:tr>
      <w:tr>
        <w:trPr>
          <w:trHeight w:val="37"/>
        </w:trPr>
        <w:tc>
          <w:tcPr>
            <w:tcW w:w="5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0"/>
        </w:trPr>
        <w:tc>
          <w:tcPr>
            <w:tcW w:w="5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4"/>
                <w:szCs w:val="14"/>
                <w:b w:val="1"/>
                <w:bCs w:val="1"/>
                <w:color w:val="auto"/>
              </w:rPr>
              <w:t>2022</w:t>
            </w:r>
          </w:p>
        </w:tc>
      </w:tr>
      <w:tr>
        <w:trPr>
          <w:trHeight w:val="24"/>
        </w:trPr>
        <w:tc>
          <w:tcPr>
            <w:tcW w:w="5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4"/>
        </w:trPr>
        <w:tc>
          <w:tcPr>
            <w:tcW w:w="5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1"/>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50,013</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19,445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82,856</w:t>
            </w: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46,017</w:t>
            </w:r>
          </w:p>
        </w:tc>
      </w:tr>
      <w:tr>
        <w:trPr>
          <w:trHeight w:val="197"/>
        </w:trPr>
        <w:tc>
          <w:tcPr>
            <w:tcW w:w="5840" w:type="dxa"/>
            <w:vAlign w:val="bottom"/>
          </w:tcPr>
          <w:p>
            <w:pPr>
              <w:ind w:left="160"/>
              <w:spacing w:after="0"/>
              <w:rPr>
                <w:sz w:val="20"/>
                <w:szCs w:val="20"/>
                <w:color w:val="auto"/>
              </w:rPr>
            </w:pPr>
            <w:r>
              <w:rPr>
                <w:rFonts w:ascii="Arial" w:cs="Arial" w:eastAsia="Arial" w:hAnsi="Arial"/>
                <w:sz w:val="16"/>
                <w:szCs w:val="16"/>
                <w:color w:val="auto"/>
              </w:rPr>
              <w:t>Foreign currency translation gain / (loss)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w w:val="90"/>
              </w:rPr>
              <w:t>(4,945)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w w:val="94"/>
              </w:rPr>
              <w:t>(5,831)</w:t>
            </w:r>
          </w:p>
        </w:tc>
      </w:tr>
      <w:tr>
        <w:trPr>
          <w:trHeight w:val="20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 / (loss)</w:t>
            </w:r>
          </w:p>
        </w:tc>
        <w:tc>
          <w:tcPr>
            <w:tcW w:w="3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w w:val="90"/>
              </w:rPr>
              <w:t>(4,945)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94"/>
              </w:rPr>
              <w:t>(5,831)</w:t>
            </w:r>
          </w:p>
        </w:tc>
      </w:tr>
      <w:tr>
        <w:trPr>
          <w:trHeight w:val="204"/>
        </w:trPr>
        <w:tc>
          <w:tcPr>
            <w:tcW w:w="58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49,902</w:t>
            </w:r>
          </w:p>
        </w:tc>
        <w:tc>
          <w:tcPr>
            <w:tcW w:w="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700" w:type="dxa"/>
            <w:vAlign w:val="bottom"/>
          </w:tcPr>
          <w:p>
            <w:pPr>
              <w:ind w:left="200"/>
              <w:spacing w:after="0"/>
              <w:rPr>
                <w:sz w:val="20"/>
                <w:szCs w:val="20"/>
                <w:color w:val="auto"/>
              </w:rPr>
            </w:pPr>
            <w:r>
              <w:rPr>
                <w:rFonts w:ascii="Arial" w:cs="Arial" w:eastAsia="Arial" w:hAnsi="Arial"/>
                <w:sz w:val="16"/>
                <w:szCs w:val="16"/>
                <w:color w:val="auto"/>
                <w:w w:val="98"/>
              </w:rPr>
              <w:t>14,500</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84,164</w:t>
            </w:r>
          </w:p>
        </w:tc>
        <w:tc>
          <w:tcPr>
            <w:tcW w:w="62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40,186</w:t>
            </w:r>
          </w:p>
        </w:tc>
      </w:tr>
      <w:tr>
        <w:trPr>
          <w:trHeight w:val="23"/>
        </w:trPr>
        <w:tc>
          <w:tcPr>
            <w:tcW w:w="5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130810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80"/>
          </w:cols>
          <w:pgMar w:left="500" w:top="127" w:right="519" w:bottom="1440" w:gutter="0" w:footer="0" w:header="0"/>
        </w:sectPr>
      </w:pPr>
    </w:p>
    <w:bookmarkStart w:id="6" w:name="page7"/>
    <w:bookmarkEnd w:id="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1540" w:type="dxa"/>
            <w:vAlign w:val="bottom"/>
            <w:gridSpan w:val="4"/>
            <w:vMerge w:val="restart"/>
          </w:tcPr>
          <w:p>
            <w:pPr>
              <w:jc w:val="right"/>
              <w:ind w:right="35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1700" w:type="dxa"/>
            <w:vAlign w:val="bottom"/>
            <w:gridSpan w:val="4"/>
            <w:vMerge w:val="restart"/>
          </w:tcPr>
          <w:p>
            <w:pPr>
              <w:jc w:val="right"/>
              <w:ind w:right="45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11"/>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2"/>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2"/>
              <w:spacing w:after="0" w:line="105"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June 30, 2023</w:t>
            </w: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vMerge w:val="restart"/>
          </w:tcPr>
          <w:p>
            <w:pPr>
              <w:jc w:val="right"/>
              <w:ind w:right="191"/>
              <w:spacing w:after="0" w:line="105"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restart"/>
          </w:tcPr>
          <w:p>
            <w:pPr>
              <w:jc w:val="center"/>
              <w:ind w:right="52"/>
              <w:spacing w:after="0" w:line="105" w:lineRule="exact"/>
              <w:rPr>
                <w:sz w:val="20"/>
                <w:szCs w:val="20"/>
                <w:color w:val="auto"/>
              </w:rPr>
            </w:pPr>
            <w:r>
              <w:rPr>
                <w:rFonts w:ascii="Arial" w:cs="Arial" w:eastAsia="Arial" w:hAnsi="Arial"/>
                <w:sz w:val="11"/>
                <w:szCs w:val="11"/>
                <w:b w:val="1"/>
                <w:bCs w:val="1"/>
                <w:color w:val="auto"/>
                <w:w w:val="82"/>
              </w:rPr>
              <w:t>Comprehensive</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vMerge w:val="restart"/>
          </w:tcPr>
          <w:p>
            <w:pPr>
              <w:jc w:val="right"/>
              <w:ind w:right="171"/>
              <w:spacing w:after="0" w:line="105" w:lineRule="exact"/>
              <w:rPr>
                <w:sz w:val="20"/>
                <w:szCs w:val="20"/>
                <w:color w:val="auto"/>
              </w:rPr>
            </w:pPr>
            <w:r>
              <w:rPr>
                <w:rFonts w:ascii="Arial" w:cs="Arial" w:eastAsia="Arial" w:hAnsi="Arial"/>
                <w:sz w:val="11"/>
                <w:szCs w:val="11"/>
                <w:b w:val="1"/>
                <w:bCs w:val="1"/>
                <w:color w:val="auto"/>
                <w:w w:val="94"/>
              </w:rPr>
              <w:t>Retained</w:t>
            </w: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20" w:type="dxa"/>
            <w:vAlign w:val="bottom"/>
            <w:vMerge w:val="continue"/>
          </w:tcPr>
          <w:p>
            <w:pPr>
              <w:spacing w:after="0"/>
              <w:rPr>
                <w:sz w:val="2"/>
                <w:szCs w:val="2"/>
                <w:color w:val="auto"/>
              </w:rPr>
            </w:pPr>
          </w:p>
        </w:tc>
        <w:tc>
          <w:tcPr>
            <w:tcW w:w="720" w:type="dxa"/>
            <w:vAlign w:val="bottom"/>
            <w:vMerge w:val="restart"/>
          </w:tcPr>
          <w:p>
            <w:pPr>
              <w:jc w:val="right"/>
              <w:ind w:right="151"/>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2"/>
                <w:szCs w:val="2"/>
                <w:color w:val="auto"/>
              </w:rPr>
            </w:pPr>
          </w:p>
        </w:tc>
        <w:tc>
          <w:tcPr>
            <w:tcW w:w="700" w:type="dxa"/>
            <w:vAlign w:val="bottom"/>
            <w:vMerge w:val="restart"/>
          </w:tcPr>
          <w:p>
            <w:pPr>
              <w:jc w:val="right"/>
              <w:ind w:right="131"/>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jc w:val="right"/>
              <w:ind w:right="19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line="20" w:lineRule="exact"/>
              <w:rPr>
                <w:sz w:val="1"/>
                <w:szCs w:val="1"/>
                <w:color w:val="auto"/>
              </w:rPr>
            </w:pPr>
          </w:p>
        </w:tc>
      </w:tr>
      <w:tr>
        <w:trPr>
          <w:trHeight w:val="153"/>
        </w:trPr>
        <w:tc>
          <w:tcPr>
            <w:tcW w:w="382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52"/>
              <w:spacing w:after="0"/>
              <w:rPr>
                <w:sz w:val="20"/>
                <w:szCs w:val="20"/>
                <w:color w:val="auto"/>
              </w:rPr>
            </w:pPr>
            <w:r>
              <w:rPr>
                <w:rFonts w:ascii="Arial" w:cs="Arial" w:eastAsia="Arial" w:hAnsi="Arial"/>
                <w:sz w:val="11"/>
                <w:szCs w:val="11"/>
                <w:b w:val="1"/>
                <w:bCs w:val="1"/>
                <w:color w:val="auto"/>
                <w:w w:val="84"/>
              </w:rPr>
              <w:t>Income / (Loss)</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1"/>
              <w:spacing w:after="0"/>
              <w:rPr>
                <w:sz w:val="20"/>
                <w:szCs w:val="20"/>
                <w:color w:val="auto"/>
              </w:rPr>
            </w:pPr>
            <w:r>
              <w:rPr>
                <w:rFonts w:ascii="Arial" w:cs="Arial" w:eastAsia="Arial" w:hAnsi="Arial"/>
                <w:sz w:val="11"/>
                <w:szCs w:val="11"/>
                <w:b w:val="1"/>
                <w:bCs w:val="1"/>
                <w:color w:val="auto"/>
                <w:w w:val="97"/>
              </w:rPr>
              <w:t>Earnings</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2023</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294,232</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476,534</w:t>
            </w:r>
          </w:p>
        </w:tc>
        <w:tc>
          <w:tcPr>
            <w:tcW w:w="0" w:type="dxa"/>
            <w:vAlign w:val="bottom"/>
          </w:tcPr>
          <w:p>
            <w:pPr>
              <w:spacing w:after="0"/>
              <w:rPr>
                <w:sz w:val="1"/>
                <w:szCs w:val="1"/>
                <w:color w:val="auto"/>
              </w:rPr>
            </w:pPr>
          </w:p>
        </w:tc>
      </w:tr>
      <w:tr>
        <w:trPr>
          <w:trHeight w:val="182"/>
        </w:trPr>
        <w:tc>
          <w:tcPr>
            <w:tcW w:w="382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14,943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14,943</w:t>
            </w:r>
          </w:p>
        </w:tc>
        <w:tc>
          <w:tcPr>
            <w:tcW w:w="0" w:type="dxa"/>
            <w:vAlign w:val="bottom"/>
          </w:tcPr>
          <w:p>
            <w:pPr>
              <w:spacing w:after="0"/>
              <w:rPr>
                <w:sz w:val="1"/>
                <w:szCs w:val="1"/>
                <w:color w:val="auto"/>
              </w:rPr>
            </w:pPr>
          </w:p>
        </w:tc>
      </w:tr>
      <w:tr>
        <w:trPr>
          <w:trHeight w:val="142"/>
        </w:trPr>
        <w:tc>
          <w:tcPr>
            <w:tcW w:w="382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option exercises and RSU vesting</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3820" w:type="dxa"/>
            <w:vAlign w:val="bottom"/>
          </w:tcPr>
          <w:p>
            <w:pPr>
              <w:ind w:left="140"/>
              <w:spacing w:after="0" w:line="132" w:lineRule="exact"/>
              <w:rPr>
                <w:sz w:val="20"/>
                <w:szCs w:val="20"/>
                <w:color w:val="auto"/>
              </w:rPr>
            </w:pPr>
            <w:r>
              <w:rPr>
                <w:rFonts w:ascii="Arial" w:cs="Arial" w:eastAsia="Arial" w:hAnsi="Arial"/>
                <w:sz w:val="14"/>
                <w:szCs w:val="14"/>
                <w:color w:val="auto"/>
                <w:w w:val="94"/>
              </w:rPr>
              <w:t>Common shares withheld for settlement of taxes in connection</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(8,146)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(8,147)</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rPr>
                <w:sz w:val="20"/>
                <w:szCs w:val="20"/>
                <w:color w:val="auto"/>
              </w:rPr>
            </w:pPr>
            <w:r>
              <w:rPr>
                <w:rFonts w:ascii="Arial" w:cs="Arial" w:eastAsia="Arial" w:hAnsi="Arial"/>
                <w:sz w:val="14"/>
                <w:szCs w:val="14"/>
                <w:color w:val="auto"/>
              </w:rPr>
              <w:t>with equity-based compensation</w:t>
            </w: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treasury shares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2"/>
        </w:trPr>
        <w:tc>
          <w:tcPr>
            <w:tcW w:w="3820" w:type="dxa"/>
            <w:vAlign w:val="bottom"/>
          </w:tcPr>
          <w:p>
            <w:pPr>
              <w:ind w:left="140"/>
              <w:spacing w:after="0"/>
              <w:rPr>
                <w:sz w:val="20"/>
                <w:szCs w:val="20"/>
                <w:color w:val="auto"/>
              </w:rPr>
            </w:pPr>
            <w:r>
              <w:rPr>
                <w:rFonts w:ascii="Arial" w:cs="Arial" w:eastAsia="Arial" w:hAnsi="Arial"/>
                <w:sz w:val="14"/>
                <w:szCs w:val="14"/>
                <w:color w:val="auto"/>
              </w:rPr>
              <w:t>Cash dividends paid</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(9,725)</w:t>
            </w: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income</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50,013</w:t>
            </w:r>
          </w:p>
        </w:tc>
        <w:tc>
          <w:tcPr>
            <w:tcW w:w="0" w:type="dxa"/>
            <w:vAlign w:val="bottom"/>
          </w:tcPr>
          <w:p>
            <w:pPr>
              <w:spacing w:after="0"/>
              <w:rPr>
                <w:sz w:val="1"/>
                <w:szCs w:val="1"/>
                <w:color w:val="auto"/>
              </w:rPr>
            </w:pPr>
          </w:p>
        </w:tc>
      </w:tr>
      <w:tr>
        <w:trPr>
          <w:trHeight w:val="209"/>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39,884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(204,008)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402,728</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334,520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519,507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June 30, 2022</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39,352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3,214</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(165,465)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373,765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(11,674)</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247,403</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444,423</w:t>
            </w:r>
          </w:p>
        </w:tc>
        <w:tc>
          <w:tcPr>
            <w:tcW w:w="0" w:type="dxa"/>
            <w:vAlign w:val="bottom"/>
          </w:tcPr>
          <w:p>
            <w:pPr>
              <w:spacing w:after="0"/>
              <w:rPr>
                <w:sz w:val="1"/>
                <w:szCs w:val="1"/>
                <w:color w:val="auto"/>
              </w:rPr>
            </w:pPr>
          </w:p>
        </w:tc>
      </w:tr>
      <w:tr>
        <w:trPr>
          <w:trHeight w:val="193"/>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0" w:type="dxa"/>
            <w:vAlign w:val="bottom"/>
          </w:tcPr>
          <w:p>
            <w:pPr>
              <w:spacing w:after="0"/>
              <w:rPr>
                <w:sz w:val="1"/>
                <w:szCs w:val="1"/>
                <w:color w:val="auto"/>
              </w:rPr>
            </w:pPr>
          </w:p>
        </w:tc>
      </w:tr>
      <w:tr>
        <w:trPr>
          <w:trHeight w:val="139"/>
        </w:trPr>
        <w:tc>
          <w:tcPr>
            <w:tcW w:w="3820" w:type="dxa"/>
            <w:vAlign w:val="bottom"/>
          </w:tcPr>
          <w:p>
            <w:pPr>
              <w:ind w:left="140"/>
              <w:spacing w:after="0" w:line="139"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820" w:type="dxa"/>
            <w:vAlign w:val="bottom"/>
          </w:tcPr>
          <w:p>
            <w:pPr>
              <w:ind w:left="140"/>
              <w:spacing w:after="0"/>
              <w:rPr>
                <w:sz w:val="20"/>
                <w:szCs w:val="20"/>
                <w:color w:val="auto"/>
              </w:rPr>
            </w:pPr>
            <w:r>
              <w:rPr>
                <w:rFonts w:ascii="Arial" w:cs="Arial" w:eastAsia="Arial" w:hAnsi="Arial"/>
                <w:sz w:val="14"/>
                <w:szCs w:val="14"/>
                <w:color w:val="auto"/>
              </w:rPr>
              <w:t>option exercises and RSU vesting</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4"/>
        </w:trPr>
        <w:tc>
          <w:tcPr>
            <w:tcW w:w="3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3820" w:type="dxa"/>
            <w:vAlign w:val="bottom"/>
            <w:shd w:val="clear" w:color="auto" w:fill="CCEEFF"/>
          </w:tcPr>
          <w:p>
            <w:pPr>
              <w:ind w:left="140"/>
              <w:spacing w:after="0" w:line="132" w:lineRule="exact"/>
              <w:rPr>
                <w:sz w:val="20"/>
                <w:szCs w:val="20"/>
                <w:color w:val="auto"/>
              </w:rPr>
            </w:pPr>
            <w:r>
              <w:rPr>
                <w:rFonts w:ascii="Arial" w:cs="Arial" w:eastAsia="Arial" w:hAnsi="Arial"/>
                <w:sz w:val="14"/>
                <w:szCs w:val="14"/>
                <w:color w:val="auto"/>
                <w:w w:val="94"/>
              </w:rPr>
              <w:t>Common shares withheld for settlement of taxes in connection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(10,441)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(10,442)</w:t>
            </w:r>
          </w:p>
        </w:tc>
        <w:tc>
          <w:tcPr>
            <w:tcW w:w="0" w:type="dxa"/>
            <w:vAlign w:val="bottom"/>
          </w:tcPr>
          <w:p>
            <w:pPr>
              <w:spacing w:after="0"/>
              <w:rPr>
                <w:sz w:val="1"/>
                <w:szCs w:val="1"/>
                <w:color w:val="auto"/>
              </w:rPr>
            </w:pPr>
          </w:p>
        </w:tc>
      </w:tr>
      <w:tr>
        <w:trPr>
          <w:trHeight w:val="197"/>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 equity-based compensation</w:t>
            </w: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140"/>
              <w:spacing w:after="0"/>
              <w:rPr>
                <w:sz w:val="20"/>
                <w:szCs w:val="20"/>
                <w:color w:val="auto"/>
              </w:rPr>
            </w:pPr>
            <w:r>
              <w:rPr>
                <w:rFonts w:ascii="Arial" w:cs="Arial" w:eastAsia="Arial" w:hAnsi="Arial"/>
                <w:sz w:val="14"/>
                <w:szCs w:val="14"/>
                <w:color w:val="auto"/>
              </w:rPr>
              <w:t>Repurchase of treasury shares</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(18,335)</w:t>
            </w: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paid</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(4,945)</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19,445</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39,482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3,501</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(183,800)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370,934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(16,619)</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258,183</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429,093</w:t>
            </w:r>
          </w:p>
        </w:tc>
        <w:tc>
          <w:tcPr>
            <w:tcW w:w="0" w:type="dxa"/>
            <w:vAlign w:val="bottom"/>
          </w:tcPr>
          <w:p>
            <w:pPr>
              <w:spacing w:after="0"/>
              <w:rPr>
                <w:sz w:val="1"/>
                <w:szCs w:val="1"/>
                <w:color w:val="auto"/>
              </w:rPr>
            </w:pPr>
          </w:p>
        </w:tc>
      </w:tr>
      <w:tr>
        <w:trPr>
          <w:trHeight w:val="39"/>
        </w:trPr>
        <w:tc>
          <w:tcPr>
            <w:tcW w:w="3820" w:type="dxa"/>
            <w:vAlign w:val="bottom"/>
            <w:tcBorders>
              <w:bottom w:val="single" w:sz="8" w:color="CCEEFF"/>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2023</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2023</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39,605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271,051</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447,482</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23,586</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 and RSU vesting</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9"/>
        </w:trPr>
        <w:tc>
          <w:tcPr>
            <w:tcW w:w="3820" w:type="dxa"/>
            <w:vAlign w:val="bottom"/>
          </w:tcPr>
          <w:p>
            <w:pPr>
              <w:ind w:left="140"/>
              <w:spacing w:after="0" w:line="139" w:lineRule="exact"/>
              <w:rPr>
                <w:sz w:val="20"/>
                <w:szCs w:val="20"/>
                <w:color w:val="auto"/>
              </w:rPr>
            </w:pPr>
            <w:r>
              <w:rPr>
                <w:rFonts w:ascii="Arial" w:cs="Arial" w:eastAsia="Arial" w:hAnsi="Arial"/>
                <w:sz w:val="14"/>
                <w:szCs w:val="14"/>
                <w:color w:val="auto"/>
                <w:w w:val="94"/>
              </w:rPr>
              <w:t>Common shares withheld for settlement of taxes in connection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820" w:type="dxa"/>
            <w:vAlign w:val="bottom"/>
          </w:tcPr>
          <w:p>
            <w:pPr>
              <w:ind w:left="140"/>
              <w:spacing w:after="0"/>
              <w:rPr>
                <w:sz w:val="20"/>
                <w:szCs w:val="20"/>
                <w:color w:val="auto"/>
              </w:rPr>
            </w:pPr>
            <w:r>
              <w:rPr>
                <w:rFonts w:ascii="Arial" w:cs="Arial" w:eastAsia="Arial" w:hAnsi="Arial"/>
                <w:sz w:val="14"/>
                <w:szCs w:val="14"/>
                <w:color w:val="auto"/>
              </w:rPr>
              <w:t>with equity-based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24"/>
        </w:trPr>
        <w:tc>
          <w:tcPr>
            <w:tcW w:w="3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treasury shares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rPr>
                <w:sz w:val="20"/>
                <w:szCs w:val="20"/>
                <w:color w:val="auto"/>
              </w:rPr>
            </w:pPr>
            <w:r>
              <w:rPr>
                <w:rFonts w:ascii="Arial" w:cs="Arial" w:eastAsia="Arial" w:hAnsi="Arial"/>
                <w:sz w:val="14"/>
                <w:szCs w:val="14"/>
                <w:color w:val="auto"/>
              </w:rPr>
              <w:t>Cash dividends paid</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(19,387)</w:t>
            </w:r>
          </w:p>
        </w:tc>
        <w:tc>
          <w:tcPr>
            <w:tcW w:w="0" w:type="dxa"/>
            <w:vAlign w:val="bottom"/>
          </w:tcPr>
          <w:p>
            <w:pPr>
              <w:spacing w:after="0"/>
              <w:rPr>
                <w:sz w:val="1"/>
                <w:szCs w:val="1"/>
                <w:color w:val="auto"/>
              </w:rPr>
            </w:pPr>
          </w:p>
        </w:tc>
      </w:tr>
      <w:tr>
        <w:trPr>
          <w:trHeight w:val="207"/>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2"/>
        </w:trPr>
        <w:tc>
          <w:tcPr>
            <w:tcW w:w="382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82,856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82,856</w:t>
            </w:r>
          </w:p>
        </w:tc>
        <w:tc>
          <w:tcPr>
            <w:tcW w:w="0" w:type="dxa"/>
            <w:vAlign w:val="bottom"/>
          </w:tcPr>
          <w:p>
            <w:pPr>
              <w:spacing w:after="0"/>
              <w:rPr>
                <w:sz w:val="1"/>
                <w:szCs w:val="1"/>
                <w:color w:val="auto"/>
              </w:rPr>
            </w:pPr>
          </w:p>
        </w:tc>
      </w:tr>
      <w:tr>
        <w:trPr>
          <w:trHeight w:val="213"/>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39,884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(14,131)</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334,520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519,507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June 30, 2022</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rPr>
                <w:sz w:val="20"/>
                <w:szCs w:val="20"/>
                <w:color w:val="auto"/>
              </w:rPr>
            </w:pPr>
            <w:r>
              <w:rPr>
                <w:rFonts w:ascii="Arial" w:cs="Arial" w:eastAsia="Arial" w:hAnsi="Arial"/>
                <w:sz w:val="14"/>
                <w:szCs w:val="14"/>
                <w:color w:val="auto"/>
              </w:rPr>
              <w:t>Balance at January 1, 2022</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39,209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2,792</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(127,196)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376,537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(10,788)</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229,537</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468,482</w:t>
            </w: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14,870</w:t>
            </w:r>
          </w:p>
        </w:tc>
        <w:tc>
          <w:tcPr>
            <w:tcW w:w="0" w:type="dxa"/>
            <w:vAlign w:val="bottom"/>
          </w:tcPr>
          <w:p>
            <w:pPr>
              <w:spacing w:after="0"/>
              <w:rPr>
                <w:sz w:val="1"/>
                <w:szCs w:val="1"/>
                <w:color w:val="auto"/>
              </w:rPr>
            </w:pPr>
          </w:p>
        </w:tc>
      </w:tr>
      <w:tr>
        <w:trPr>
          <w:trHeight w:val="139"/>
        </w:trPr>
        <w:tc>
          <w:tcPr>
            <w:tcW w:w="3820" w:type="dxa"/>
            <w:vAlign w:val="bottom"/>
          </w:tcPr>
          <w:p>
            <w:pPr>
              <w:ind w:left="140"/>
              <w:spacing w:after="0" w:line="139" w:lineRule="exact"/>
              <w:rPr>
                <w:sz w:val="20"/>
                <w:szCs w:val="20"/>
                <w:color w:val="auto"/>
              </w:rPr>
            </w:pPr>
            <w:r>
              <w:rPr>
                <w:rFonts w:ascii="Arial" w:cs="Arial" w:eastAsia="Arial" w:hAnsi="Arial"/>
                <w:sz w:val="14"/>
                <w:szCs w:val="14"/>
                <w:color w:val="auto"/>
                <w:w w:val="95"/>
              </w:rPr>
              <w:t>Issuance of common stock in connection with employee stock</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140"/>
              <w:spacing w:after="0"/>
              <w:rPr>
                <w:sz w:val="20"/>
                <w:szCs w:val="20"/>
                <w:color w:val="auto"/>
              </w:rPr>
            </w:pPr>
            <w:r>
              <w:rPr>
                <w:rFonts w:ascii="Arial" w:cs="Arial" w:eastAsia="Arial" w:hAnsi="Arial"/>
                <w:sz w:val="14"/>
                <w:szCs w:val="14"/>
                <w:color w:val="auto"/>
              </w:rPr>
              <w:t>option exercises and RSU vesting</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45"/>
        </w:trPr>
        <w:tc>
          <w:tcPr>
            <w:tcW w:w="382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w w:val="94"/>
              </w:rPr>
              <w:t>Common shares withheld for settlement of taxes in connection</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with equity-based compensation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(21,036)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(21,038)</w:t>
            </w:r>
          </w:p>
        </w:tc>
        <w:tc>
          <w:tcPr>
            <w:tcW w:w="0" w:type="dxa"/>
            <w:vAlign w:val="bottom"/>
          </w:tcPr>
          <w:p>
            <w:pPr>
              <w:spacing w:after="0"/>
              <w:rPr>
                <w:sz w:val="1"/>
                <w:szCs w:val="1"/>
                <w:color w:val="auto"/>
              </w:rPr>
            </w:pPr>
          </w:p>
        </w:tc>
      </w:tr>
      <w:tr>
        <w:trPr>
          <w:trHeight w:val="182"/>
        </w:trPr>
        <w:tc>
          <w:tcPr>
            <w:tcW w:w="3820" w:type="dxa"/>
            <w:vAlign w:val="bottom"/>
          </w:tcPr>
          <w:p>
            <w:pPr>
              <w:ind w:left="140"/>
              <w:spacing w:after="0"/>
              <w:rPr>
                <w:sz w:val="20"/>
                <w:szCs w:val="20"/>
                <w:color w:val="auto"/>
              </w:rPr>
            </w:pPr>
            <w:r>
              <w:rPr>
                <w:rFonts w:ascii="Arial" w:cs="Arial" w:eastAsia="Arial" w:hAnsi="Arial"/>
                <w:sz w:val="14"/>
                <w:szCs w:val="14"/>
                <w:color w:val="auto"/>
              </w:rPr>
              <w:t>Repurchase of treasury shares</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(56,604)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(56,604)</w:t>
            </w: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paid</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(17,371)</w:t>
            </w:r>
          </w:p>
        </w:tc>
        <w:tc>
          <w:tcPr>
            <w:tcW w:w="0" w:type="dxa"/>
            <w:vAlign w:val="bottom"/>
          </w:tcPr>
          <w:p>
            <w:pPr>
              <w:spacing w:after="0"/>
              <w:rPr>
                <w:sz w:val="1"/>
                <w:szCs w:val="1"/>
                <w:color w:val="auto"/>
              </w:rPr>
            </w:pPr>
          </w:p>
        </w:tc>
      </w:tr>
      <w:tr>
        <w:trPr>
          <w:trHeight w:val="188"/>
        </w:trPr>
        <w:tc>
          <w:tcPr>
            <w:tcW w:w="382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(5,831)</w:t>
            </w:r>
          </w:p>
        </w:tc>
        <w:tc>
          <w:tcPr>
            <w:tcW w:w="0" w:type="dxa"/>
            <w:vAlign w:val="bottom"/>
          </w:tcPr>
          <w:p>
            <w:pPr>
              <w:spacing w:after="0"/>
              <w:rPr>
                <w:sz w:val="1"/>
                <w:szCs w:val="1"/>
                <w:color w:val="auto"/>
              </w:rPr>
            </w:pPr>
          </w:p>
        </w:tc>
      </w:tr>
      <w:tr>
        <w:trPr>
          <w:trHeight w:val="191"/>
        </w:trPr>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46,017</w:t>
            </w:r>
          </w:p>
        </w:tc>
        <w:tc>
          <w:tcPr>
            <w:tcW w:w="0" w:type="dxa"/>
            <w:vAlign w:val="bottom"/>
          </w:tcPr>
          <w:p>
            <w:pPr>
              <w:spacing w:after="0"/>
              <w:rPr>
                <w:sz w:val="1"/>
                <w:szCs w:val="1"/>
                <w:color w:val="auto"/>
              </w:rPr>
            </w:pP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39,482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3,501</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(183,800)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370,934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(16,619)</w:t>
            </w:r>
          </w:p>
        </w:tc>
        <w:tc>
          <w:tcPr>
            <w:tcW w:w="28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258,183</w:t>
            </w:r>
          </w:p>
        </w:tc>
        <w:tc>
          <w:tcPr>
            <w:tcW w:w="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429,093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Six Months Ended</w:t>
      </w:r>
    </w:p>
    <w:p>
      <w:pPr>
        <w:spacing w:after="0" w:line="22"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r>
      <w:tr>
        <w:trPr>
          <w:trHeight w:val="24"/>
        </w:trPr>
        <w:tc>
          <w:tcPr>
            <w:tcW w:w="84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85"/>
        </w:trPr>
        <w:tc>
          <w:tcPr>
            <w:tcW w:w="8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82,856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46,017</w:t>
            </w:r>
          </w:p>
        </w:tc>
      </w:tr>
      <w:tr>
        <w:trPr>
          <w:trHeight w:val="21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38,102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31,575</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23,586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14,869</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7"/>
        </w:trPr>
        <w:tc>
          <w:tcPr>
            <w:tcW w:w="848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w:t>
            </w:r>
          </w:p>
        </w:tc>
      </w:tr>
      <w:tr>
        <w:trPr>
          <w:trHeight w:val="214"/>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and non-current 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07"/>
        </w:trPr>
        <w:tc>
          <w:tcPr>
            <w:tcW w:w="8480" w:type="dxa"/>
            <w:vAlign w:val="bottom"/>
          </w:tcPr>
          <w:p>
            <w:pPr>
              <w:ind w:left="460"/>
              <w:spacing w:after="0"/>
              <w:rPr>
                <w:sz w:val="20"/>
                <w:szCs w:val="20"/>
                <w:color w:val="auto"/>
              </w:rPr>
            </w:pPr>
            <w:r>
              <w:rPr>
                <w:rFonts w:ascii="Arial" w:cs="Arial" w:eastAsia="Arial" w:hAnsi="Arial"/>
                <w:sz w:val="16"/>
                <w:szCs w:val="16"/>
                <w:color w:val="auto"/>
              </w:rPr>
              <w:t>Accounts payable and other current and non-current liabilities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(28,980)</w:t>
            </w:r>
          </w:p>
        </w:tc>
      </w:tr>
      <w:tr>
        <w:trPr>
          <w:trHeight w:val="214"/>
        </w:trPr>
        <w:tc>
          <w:tcPr>
            <w:tcW w:w="84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3,713</w:t>
            </w:r>
          </w:p>
        </w:tc>
      </w:tr>
      <w:tr>
        <w:trPr>
          <w:trHeight w:val="207"/>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r>
      <w:tr>
        <w:trPr>
          <w:trHeight w:val="204"/>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96,589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59,574</w:t>
            </w:r>
          </w:p>
        </w:tc>
      </w:tr>
      <w:tr>
        <w:trPr>
          <w:trHeight w:val="75"/>
        </w:trPr>
        <w:tc>
          <w:tcPr>
            <w:tcW w:w="84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(22,870)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(20,797)</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combination, net of cash acquired</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(212,096)</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Cash received related to Giphy Retention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acquisitions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Acquisition of content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(6,999)</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Security deposit payment</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00"/>
        </w:trPr>
        <w:tc>
          <w:tcPr>
            <w:tcW w:w="84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(66,128)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(240,323)</w:t>
            </w:r>
          </w:p>
        </w:tc>
      </w:tr>
      <w:tr>
        <w:trPr>
          <w:trHeight w:val="75"/>
        </w:trPr>
        <w:tc>
          <w:tcPr>
            <w:tcW w:w="84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940" w:type="dxa"/>
            <w:vAlign w:val="bottom"/>
            <w:tcBorders>
              <w:top w:val="single" w:sz="8" w:color="auto"/>
            </w:tcBorders>
            <w:shd w:val="clear" w:color="auto" w:fill="CCEEFF"/>
          </w:tcPr>
          <w:p>
            <w:pPr>
              <w:spacing w:after="0"/>
              <w:rPr>
                <w:sz w:val="6"/>
                <w:szCs w:val="6"/>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treasury shares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(56,937)</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related to settlement of employee taxes related to RSU vesting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(21,038)</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Payment of cash dividend</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(19,387)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(17,371)</w:t>
            </w:r>
          </w:p>
        </w:tc>
      </w:tr>
      <w:tr>
        <w:trPr>
          <w:trHeight w:val="214"/>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credit facility</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07"/>
        </w:trPr>
        <w:tc>
          <w:tcPr>
            <w:tcW w:w="8480" w:type="dxa"/>
            <w:vAlign w:val="bottom"/>
          </w:tcPr>
          <w:p>
            <w:pPr>
              <w:ind w:left="220"/>
              <w:spacing w:after="0"/>
              <w:rPr>
                <w:sz w:val="20"/>
                <w:szCs w:val="20"/>
                <w:color w:val="auto"/>
              </w:rPr>
            </w:pPr>
            <w:r>
              <w:rPr>
                <w:rFonts w:ascii="Arial" w:cs="Arial" w:eastAsia="Arial" w:hAnsi="Arial"/>
                <w:sz w:val="16"/>
                <w:szCs w:val="16"/>
                <w:color w:val="auto"/>
              </w:rPr>
              <w:t>Repayment of credit facility</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 of debt issuance costs</w:t>
            </w:r>
          </w:p>
        </w:tc>
        <w:tc>
          <w:tcPr>
            <w:tcW w:w="4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00"/>
        </w:trPr>
        <w:tc>
          <w:tcPr>
            <w:tcW w:w="848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(57,929)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(45,397)</w:t>
            </w:r>
          </w:p>
        </w:tc>
      </w:tr>
      <w:tr>
        <w:trPr>
          <w:trHeight w:val="89"/>
        </w:trPr>
        <w:tc>
          <w:tcPr>
            <w:tcW w:w="8480" w:type="dxa"/>
            <w:vAlign w:val="bottom"/>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r>
      <w:tr>
        <w:trPr>
          <w:trHeight w:val="207"/>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w:t>
            </w:r>
          </w:p>
        </w:tc>
      </w:tr>
      <w:tr>
        <w:trPr>
          <w:trHeight w:val="20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(229,971)</w:t>
            </w:r>
          </w:p>
        </w:tc>
      </w:tr>
      <w:tr>
        <w:trPr>
          <w:trHeight w:val="79"/>
        </w:trPr>
        <w:tc>
          <w:tcPr>
            <w:tcW w:w="8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r>
      <w:tr>
        <w:trPr>
          <w:trHeight w:val="20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115,154</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314,017</w:t>
            </w:r>
          </w:p>
        </w:tc>
      </w:tr>
      <w:tr>
        <w:trPr>
          <w:trHeight w:val="204"/>
        </w:trPr>
        <w:tc>
          <w:tcPr>
            <w:tcW w:w="84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87,146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84,046</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84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08"/>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3"/>
        </w:trPr>
        <w:tc>
          <w:tcPr>
            <w:tcW w:w="8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income taxes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12,700</w:t>
            </w:r>
          </w:p>
        </w:tc>
      </w:tr>
      <w:tr>
        <w:trPr>
          <w:trHeight w:val="204"/>
        </w:trPr>
        <w:tc>
          <w:tcPr>
            <w:tcW w:w="848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r>
    </w:tbl>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148"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Shutterstock, Inc. (the “Company” or “Shutterstock”) is a premier partner for transformative brands, digital media and marketing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key content offerings include:</w:t>
      </w:r>
    </w:p>
    <w:p>
      <w:pPr>
        <w:spacing w:after="0" w:line="148" w:lineRule="exact"/>
        <w:rPr>
          <w:sz w:val="20"/>
          <w:szCs w:val="20"/>
          <w:color w:val="auto"/>
        </w:rPr>
      </w:pPr>
    </w:p>
    <w:p>
      <w:pPr>
        <w:ind w:left="960" w:right="220" w:hanging="323"/>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76" w:lineRule="exact"/>
        <w:rPr>
          <w:rFonts w:ascii="Arial" w:cs="Arial" w:eastAsia="Arial" w:hAnsi="Arial"/>
          <w:sz w:val="18"/>
          <w:szCs w:val="18"/>
          <w:color w:val="auto"/>
        </w:rPr>
      </w:pPr>
    </w:p>
    <w:p>
      <w:pPr>
        <w:ind w:left="960" w:right="40" w:hanging="323"/>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6"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08" w:lineRule="exact"/>
        <w:rPr>
          <w:rFonts w:ascii="Arial" w:cs="Arial" w:eastAsia="Arial" w:hAnsi="Arial"/>
          <w:sz w:val="18"/>
          <w:szCs w:val="18"/>
          <w:color w:val="auto"/>
        </w:rPr>
      </w:pPr>
    </w:p>
    <w:p>
      <w:pPr>
        <w:ind w:left="960" w:right="20" w:hanging="323"/>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 Dimensional (“3D”) Models - consisting of 3D models, used in a variety of industries such as advertising, media and video production, gaming, retail, education, design and architecture.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8" w:lineRule="exact"/>
        <w:rPr>
          <w:sz w:val="20"/>
          <w:szCs w:val="20"/>
          <w:color w:val="auto"/>
        </w:rPr>
      </w:pPr>
    </w:p>
    <w:p>
      <w:pPr>
        <w:ind w:right="360" w:firstLine="395"/>
        <w:spacing w:after="0" w:line="327" w:lineRule="auto"/>
        <w:rPr>
          <w:sz w:val="20"/>
          <w:szCs w:val="20"/>
          <w:color w:val="auto"/>
        </w:rPr>
      </w:pPr>
      <w:r>
        <w:rPr>
          <w:rFonts w:ascii="Arial" w:cs="Arial" w:eastAsia="Arial" w:hAnsi="Arial"/>
          <w:sz w:val="15"/>
          <w:szCs w:val="15"/>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32"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The interim Consolidated Balance Sheet as of June 30, 2023, and the Consolidated Statements of Operations, Comprehensive Income and Stockholders’ Equity for the three and six months ended June 30, 2023 and 2022, and the Consolidated Statements of Cash Flows for the six months ended June 30, 2023 and 2022 are unaudited. The Consolidated Balance Sheet as of December 31, 2022,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2023, and its consolidated results of operations, comprehensive income, stockholders’ equity and cash flows for the three and six months ended June 30, 2023 and 2022. The financial data and the other financial information disclosed in the notes to the financial statements related to these periods are also unaudited. The results of operations for the six months ended June 30, 2023 are not necessarily indicative of the results to be expected for the fiscal year ending December 31, 2023 or for any other future annual or interim period.</w:t>
      </w:r>
    </w:p>
    <w:p>
      <w:pPr>
        <w:spacing w:after="0" w:line="68"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These financial statements should be read in conjunction with the Company’s audited consolidated financial statements and notes thereto as of and for the year ended December 31, 2022 included in the Company’s Annual Report on Form 10-K, which was filed with the SEC on February 14, 2023.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36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 w:name="page10"/>
    <w:bookmarkEnd w:id="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9" w:lineRule="exact"/>
        <w:rPr>
          <w:sz w:val="20"/>
          <w:szCs w:val="20"/>
          <w:color w:val="auto"/>
        </w:rPr>
      </w:pPr>
    </w:p>
    <w:p>
      <w:pPr>
        <w:ind w:right="140" w:firstLine="395"/>
        <w:spacing w:after="0" w:line="284"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cash and cash equivalents consist primarily of bank deposits.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09"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85"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During the six months ended June 30, 2023, the Company recorded bad debt expense of $1.0 million. As of June 30, 2023 and December 31, 2022, the Company’s allowance for doubtful accounts was approximately $5.6 million and $5.8 million, respectively. The allowance for doubtful accounts is included as a reduction of accounts receivable on the Consolidated Balance Sheets.</w:t>
      </w:r>
    </w:p>
    <w:p>
      <w:pPr>
        <w:spacing w:after="0" w:line="85"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June 30, 2023, approximately $14.6 million of financing receivables were included in Accounts receivable on the Consolidated Balance Sheets.</w:t>
      </w:r>
    </w:p>
    <w:p>
      <w:pPr>
        <w:spacing w:after="0" w:line="49"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In addition, as of June 30, 2023 and December 31, 2022, one customer accounted for approximately 15% and 22% of the accounts receivable balance, respectively. No other customers accounted for or exceeded 10% of the accounts receivable balance at these dates.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Chargeback and Sales Refund Allowance</w:t>
      </w:r>
    </w:p>
    <w:p>
      <w:pPr>
        <w:spacing w:after="0" w:line="109" w:lineRule="exact"/>
        <w:rPr>
          <w:sz w:val="20"/>
          <w:szCs w:val="20"/>
          <w:color w:val="auto"/>
        </w:rPr>
      </w:pPr>
    </w:p>
    <w:p>
      <w:pPr>
        <w:ind w:right="100" w:firstLine="395"/>
        <w:spacing w:after="0" w:line="299" w:lineRule="auto"/>
        <w:rPr>
          <w:sz w:val="20"/>
          <w:szCs w:val="20"/>
          <w:color w:val="auto"/>
        </w:rPr>
      </w:pPr>
      <w:r>
        <w:rPr>
          <w:rFonts w:ascii="Arial" w:cs="Arial" w:eastAsia="Arial" w:hAnsi="Arial"/>
          <w:sz w:val="16"/>
          <w:szCs w:val="16"/>
          <w:color w:val="auto"/>
        </w:rPr>
        <w:t>The Company establishes a chargeback allowance and sales refund reserve allowance based on factors surrounding historical credit card chargeback trends, historical sales refund trends and other information. As of June 30, 2023 and December 31, 2022, the Company’s combined allowance for chargebacks and sales refunds was $0.4 million, which was included as a component of other current liabilities on the Consolidated Balance Sheets.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9"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made available through the Company’s platform.</w:t>
      </w:r>
    </w:p>
    <w:p>
      <w:pPr>
        <w:spacing w:after="0" w:line="124" w:lineRule="exact"/>
        <w:rPr>
          <w:sz w:val="20"/>
          <w:szCs w:val="20"/>
          <w:color w:val="auto"/>
        </w:rPr>
      </w:pPr>
    </w:p>
    <w:p>
      <w:pPr>
        <w:ind w:right="120" w:firstLine="395"/>
        <w:spacing w:after="0" w:line="250" w:lineRule="auto"/>
        <w:rPr>
          <w:sz w:val="20"/>
          <w:szCs w:val="20"/>
          <w:color w:val="auto"/>
        </w:rPr>
      </w:pPr>
      <w:r>
        <w:rPr>
          <w:rFonts w:ascii="Arial" w:cs="Arial" w:eastAsia="Arial" w:hAnsi="Arial"/>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111"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w:t>
      </w:r>
    </w:p>
    <w:p>
      <w:pPr>
        <w:spacing w:after="0" w:line="200" w:lineRule="exact"/>
        <w:rPr>
          <w:sz w:val="20"/>
          <w:szCs w:val="20"/>
          <w:color w:val="auto"/>
        </w:rPr>
      </w:pPr>
    </w:p>
    <w:p>
      <w:pPr>
        <w:spacing w:after="0" w:line="37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 w:name="page11"/>
    <w:bookmarkEnd w:id="1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subscription period. The Company expenses contract acquisition costs as incurred, to the extent that the amortization period would otherwise be one year or less.</w:t>
      </w:r>
    </w:p>
    <w:p>
      <w:pPr>
        <w:spacing w:after="0" w:line="116"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Collectability is probable at the time the electronic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84"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and Long-term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9" w:lineRule="exact"/>
        <w:rPr>
          <w:sz w:val="20"/>
          <w:szCs w:val="20"/>
          <w:color w:val="auto"/>
        </w:rPr>
      </w:pPr>
    </w:p>
    <w:p>
      <w:pPr>
        <w:ind w:right="360" w:firstLine="395"/>
        <w:spacing w:after="0" w:line="366" w:lineRule="auto"/>
        <w:rPr>
          <w:sz w:val="20"/>
          <w:szCs w:val="20"/>
          <w:color w:val="auto"/>
        </w:rPr>
      </w:pPr>
      <w:r>
        <w:rPr>
          <w:rFonts w:ascii="Arial" w:cs="Arial" w:eastAsia="Arial" w:hAnsi="Arial"/>
          <w:sz w:val="18"/>
          <w:szCs w:val="18"/>
          <w:color w:val="auto"/>
        </w:rPr>
        <w:t xml:space="preserve">The Company had no assets or liabilities requiring fair value hierarchy disclosures as of June 30, 2023 or December 31, 2022, except as noted below. </w:t>
      </w:r>
      <w:r>
        <w:rPr>
          <w:rFonts w:ascii="Arial" w:cs="Arial" w:eastAsia="Arial" w:hAnsi="Arial"/>
          <w:sz w:val="18"/>
          <w:szCs w:val="18"/>
          <w:i w:val="1"/>
          <w:iCs w:val="1"/>
          <w:color w:val="auto"/>
        </w:rPr>
        <w:t>Other Fair Value Measurements</w:t>
      </w:r>
    </w:p>
    <w:p>
      <w:pPr>
        <w:ind w:firstLine="395"/>
        <w:spacing w:after="0" w:line="284" w:lineRule="auto"/>
        <w:rPr>
          <w:sz w:val="20"/>
          <w:szCs w:val="20"/>
          <w:color w:val="auto"/>
        </w:rPr>
      </w:pPr>
      <w:r>
        <w:rPr>
          <w:rFonts w:ascii="Arial" w:cs="Arial" w:eastAsia="Arial" w:hAnsi="Arial"/>
          <w:sz w:val="16"/>
          <w:szCs w:val="16"/>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41"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As of June 30, 2023 and December 31, 2022,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24" w:lineRule="exact"/>
        <w:rPr>
          <w:sz w:val="20"/>
          <w:szCs w:val="20"/>
          <w:color w:val="auto"/>
        </w:rPr>
      </w:pPr>
    </w:p>
    <w:p>
      <w:pPr>
        <w:jc w:val="both"/>
        <w:ind w:right="280" w:firstLine="395"/>
        <w:spacing w:after="0" w:line="291" w:lineRule="auto"/>
        <w:rPr>
          <w:sz w:val="20"/>
          <w:szCs w:val="20"/>
          <w:color w:val="auto"/>
        </w:rPr>
      </w:pPr>
      <w:r>
        <w:rPr>
          <w:rFonts w:ascii="Arial" w:cs="Arial" w:eastAsia="Arial" w:hAnsi="Arial"/>
          <w:sz w:val="16"/>
          <w:szCs w:val="16"/>
          <w:color w:val="auto"/>
        </w:rPr>
        <w:t>On a quarterly basis, the Company evaluates the carrying value of its long-term investments for impairment, which includes an assessment of revenue growth, earnings performance, working capital and general market conditions. As of June 30, 2023,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57" w:lineRule="exact"/>
        <w:rPr>
          <w:sz w:val="20"/>
          <w:szCs w:val="20"/>
          <w:color w:val="auto"/>
        </w:rPr>
      </w:pPr>
    </w:p>
    <w:p>
      <w:pPr>
        <w:jc w:val="right"/>
        <w:ind w:left="400" w:right="10040" w:hanging="395"/>
        <w:spacing w:after="0" w:line="443" w:lineRule="auto"/>
        <w:tabs>
          <w:tab w:leader="none" w:pos="25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i w:val="1"/>
          <w:iCs w:val="1"/>
          <w:color w:val="auto"/>
        </w:rPr>
        <w:t>Giphy, Inc.</w:t>
      </w:r>
    </w:p>
    <w:p>
      <w:pPr>
        <w:spacing w:after="0" w:line="1"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payable by the Company pursuant to the Purchase Agreement is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200" w:lineRule="exact"/>
        <w:rPr>
          <w:sz w:val="20"/>
          <w:szCs w:val="20"/>
          <w:color w:val="auto"/>
        </w:rPr>
      </w:pPr>
    </w:p>
    <w:p>
      <w:pPr>
        <w:spacing w:after="0" w:line="33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60" w:firstLine="395"/>
        <w:spacing w:after="0" w:line="278" w:lineRule="auto"/>
        <w:rPr>
          <w:sz w:val="20"/>
          <w:szCs w:val="20"/>
          <w:color w:val="auto"/>
        </w:rPr>
      </w:pPr>
      <w:r>
        <w:rPr>
          <w:rFonts w:ascii="Arial" w:cs="Arial" w:eastAsia="Arial" w:hAnsi="Arial"/>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spacing w:after="0" w:line="1" w:lineRule="exact"/>
        <w:rPr>
          <w:sz w:val="20"/>
          <w:szCs w:val="20"/>
          <w:color w:val="auto"/>
        </w:rPr>
      </w:pPr>
    </w:p>
    <w:p>
      <w:pPr>
        <w:ind w:right="40" w:firstLine="5"/>
        <w:spacing w:after="0" w:line="248"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nonrecurring items, totaling $87.9 million, comprised of one-time employment inducement bonuses and the cash value of unvested Meta equity awards (the “Giphy Retention Compensation”).</w:t>
      </w:r>
    </w:p>
    <w:p>
      <w:pPr>
        <w:spacing w:after="0" w:line="87"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Giphy purchase price will result in net cash to be received by the Company,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3"/>
              </w:rPr>
              <w:t>Purchase Price</w:t>
            </w:r>
          </w:p>
        </w:tc>
      </w:tr>
      <w:tr>
        <w:trPr>
          <w:trHeight w:val="207"/>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53,000</w:t>
            </w:r>
          </w:p>
        </w:tc>
      </w:tr>
      <w:tr>
        <w:trPr>
          <w:trHeight w:val="211"/>
        </w:trPr>
        <w:tc>
          <w:tcPr>
            <w:tcW w:w="9700" w:type="dxa"/>
            <w:vAlign w:val="bottom"/>
          </w:tcPr>
          <w:p>
            <w:pPr>
              <w:ind w:left="20"/>
              <w:spacing w:after="0"/>
              <w:rPr>
                <w:sz w:val="20"/>
                <w:szCs w:val="20"/>
                <w:color w:val="auto"/>
              </w:rPr>
            </w:pPr>
            <w:r>
              <w:rPr>
                <w:rFonts w:ascii="Arial" w:cs="Arial" w:eastAsia="Arial" w:hAnsi="Arial"/>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w:t>
            </w: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on closing</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57,750</w:t>
            </w:r>
          </w:p>
        </w:tc>
      </w:tr>
      <w:tr>
        <w:trPr>
          <w:trHeight w:val="92"/>
        </w:trPr>
        <w:tc>
          <w:tcPr>
            <w:tcW w:w="9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11"/>
        </w:trPr>
        <w:tc>
          <w:tcPr>
            <w:tcW w:w="97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Fair value of Giphy Retention Compensation contingent consideration</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(98,723)</w:t>
            </w:r>
          </w:p>
        </w:tc>
      </w:tr>
      <w:tr>
        <w:trPr>
          <w:trHeight w:val="211"/>
        </w:trPr>
        <w:tc>
          <w:tcPr>
            <w:tcW w:w="9700" w:type="dxa"/>
            <w:vAlign w:val="bottom"/>
          </w:tcPr>
          <w:p>
            <w:pPr>
              <w:ind w:left="20"/>
              <w:spacing w:after="0" w:line="210" w:lineRule="exact"/>
              <w:rPr>
                <w:sz w:val="20"/>
                <w:szCs w:val="20"/>
                <w:color w:val="auto"/>
              </w:rPr>
            </w:pPr>
            <w:r>
              <w:rPr>
                <w:rFonts w:ascii="Arial" w:cs="Arial" w:eastAsia="Arial" w:hAnsi="Arial"/>
                <w:sz w:val="16"/>
                <w:szCs w:val="16"/>
                <w:color w:val="auto"/>
              </w:rPr>
              <w:t>Fair value of consideration attributable to pre-combination service</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34,972</w:t>
            </w:r>
          </w:p>
        </w:tc>
      </w:tr>
      <w:tr>
        <w:trPr>
          <w:trHeight w:val="79"/>
        </w:trPr>
        <w:tc>
          <w:tcPr>
            <w:tcW w:w="97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shd w:val="clear" w:color="auto" w:fill="CCEEFF"/>
          </w:tcPr>
          <w:p>
            <w:pPr>
              <w:spacing w:after="0"/>
              <w:rPr>
                <w:sz w:val="6"/>
                <w:szCs w:val="6"/>
                <w:color w:val="auto"/>
              </w:rPr>
            </w:pPr>
          </w:p>
        </w:tc>
      </w:tr>
      <w:tr>
        <w:trPr>
          <w:trHeight w:val="204"/>
        </w:trPr>
        <w:tc>
          <w:tcPr>
            <w:tcW w:w="9700" w:type="dxa"/>
            <w:vAlign w:val="bottom"/>
          </w:tcPr>
          <w:p>
            <w:pPr>
              <w:ind w:left="20"/>
              <w:spacing w:after="0"/>
              <w:rPr>
                <w:sz w:val="20"/>
                <w:szCs w:val="20"/>
                <w:color w:val="auto"/>
              </w:rPr>
            </w:pPr>
            <w:r>
              <w:rPr>
                <w:rFonts w:ascii="Arial" w:cs="Arial" w:eastAsia="Arial" w:hAnsi="Arial"/>
                <w:sz w:val="16"/>
                <w:szCs w:val="16"/>
                <w:color w:val="auto"/>
              </w:rPr>
              <w:t>Net purchase price</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r>
      <w:tr>
        <w:trPr>
          <w:trHeight w:val="20"/>
        </w:trPr>
        <w:tc>
          <w:tcPr>
            <w:tcW w:w="9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2 - Relates to the cash value of replaced unvested Meta equity awards attributable to pre-combination services.</w:t>
      </w:r>
    </w:p>
    <w:p>
      <w:pPr>
        <w:spacing w:after="0" w:line="122"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Upon closing of the acquisition, the Company also entered into an agreement with Meta whereby the Company will provide Meta with Giphy content through API services for a period of two years. The Company allocated and deferred $30 million of the business combination proceeds to this agreement, which will be recognized as revenue as services are provided.</w:t>
      </w:r>
    </w:p>
    <w:p>
      <w:pPr>
        <w:spacing w:after="0" w:line="85" w:lineRule="exact"/>
        <w:rPr>
          <w:sz w:val="20"/>
          <w:szCs w:val="20"/>
          <w:color w:val="auto"/>
        </w:rPr>
      </w:pPr>
    </w:p>
    <w:p>
      <w:pPr>
        <w:jc w:val="both"/>
        <w:ind w:right="60" w:firstLine="395"/>
        <w:spacing w:after="0" w:line="252" w:lineRule="auto"/>
        <w:rPr>
          <w:sz w:val="20"/>
          <w:szCs w:val="20"/>
          <w:color w:val="auto"/>
        </w:rPr>
      </w:pPr>
      <w:r>
        <w:rPr>
          <w:rFonts w:ascii="Arial" w:cs="Arial" w:eastAsia="Arial" w:hAnsi="Arial"/>
          <w:sz w:val="18"/>
          <w:szCs w:val="18"/>
          <w:color w:val="auto"/>
        </w:rPr>
        <w:t>The identifiable intangible assets, which include developed technology and the trade name have weighted average useful lives of approximately 4.0 years and 15.0 years, respectively. The fair value of the developed technology was determined using the cost to recreate method, and the fair value of the trade name was determined using the relief-from-royalty method.</w:t>
      </w:r>
    </w:p>
    <w:p>
      <w:pPr>
        <w:spacing w:after="0" w:line="85" w:lineRule="exact"/>
        <w:rPr>
          <w:sz w:val="20"/>
          <w:szCs w:val="20"/>
          <w:color w:val="auto"/>
        </w:rPr>
      </w:pPr>
    </w:p>
    <w:p>
      <w:pPr>
        <w:ind w:right="120" w:firstLine="395"/>
        <w:spacing w:after="0" w:line="316" w:lineRule="auto"/>
        <w:rPr>
          <w:sz w:val="20"/>
          <w:szCs w:val="20"/>
          <w:color w:val="auto"/>
        </w:rPr>
      </w:pPr>
      <w:r>
        <w:rPr>
          <w:rFonts w:ascii="Arial" w:cs="Arial" w:eastAsia="Arial" w:hAnsi="Arial"/>
          <w:sz w:val="15"/>
          <w:szCs w:val="15"/>
          <w:color w:val="auto"/>
        </w:rPr>
        <w:t>The Giphy transaction was accounted for using the acquisition method and, accordingly, the results of the acquired business has been included in the Company’s results of operations from the acquisition date.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1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purchase price for this acquisition has been allocated to the assets acquired and liabilities assumed as follows (in thousands):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4"/>
                <w:szCs w:val="14"/>
                <w:b w:val="1"/>
                <w:bCs w:val="1"/>
                <w:color w:val="auto"/>
              </w:rPr>
              <w:t>Giphy</w:t>
            </w:r>
            <w:r>
              <w:rPr>
                <w:rFonts w:ascii="Arial" w:cs="Arial" w:eastAsia="Arial" w:hAnsi="Arial"/>
                <w:sz w:val="18"/>
                <w:szCs w:val="18"/>
                <w:b w:val="1"/>
                <w:bCs w:val="1"/>
                <w:color w:val="auto"/>
                <w:vertAlign w:val="superscript"/>
              </w:rPr>
              <w:t>1</w:t>
            </w:r>
          </w:p>
        </w:tc>
      </w:tr>
      <w:tr>
        <w:trPr>
          <w:trHeight w:val="200"/>
        </w:trPr>
        <w:tc>
          <w:tcPr>
            <w:tcW w:w="96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4,030</w:t>
            </w:r>
          </w:p>
        </w:tc>
      </w:tr>
      <w:tr>
        <w:trPr>
          <w:trHeight w:val="214"/>
        </w:trPr>
        <w:tc>
          <w:tcPr>
            <w:tcW w:w="9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Right of use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214"/>
        </w:trPr>
        <w:tc>
          <w:tcPr>
            <w:tcW w:w="9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9680" w:type="dxa"/>
            <w:vAlign w:val="bottom"/>
          </w:tcPr>
          <w:p>
            <w:pPr>
              <w:ind w:left="320"/>
              <w:spacing w:after="0"/>
              <w:rPr>
                <w:sz w:val="20"/>
                <w:szCs w:val="20"/>
                <w:color w:val="auto"/>
              </w:rPr>
            </w:pPr>
            <w:r>
              <w:rPr>
                <w:rFonts w:ascii="Arial" w:cs="Arial" w:eastAsia="Arial" w:hAnsi="Arial"/>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21,000</w:t>
            </w:r>
          </w:p>
        </w:tc>
      </w:tr>
      <w:tr>
        <w:trPr>
          <w:trHeight w:val="201"/>
        </w:trPr>
        <w:tc>
          <w:tcPr>
            <w:tcW w:w="9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Developed technology</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21,500</w:t>
            </w:r>
          </w:p>
        </w:tc>
      </w:tr>
      <w:tr>
        <w:trPr>
          <w:trHeight w:val="200"/>
        </w:trPr>
        <w:tc>
          <w:tcPr>
            <w:tcW w:w="9680" w:type="dxa"/>
            <w:vAlign w:val="bottom"/>
          </w:tcPr>
          <w:p>
            <w:pPr>
              <w:ind w:left="2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42,500</w:t>
            </w:r>
          </w:p>
        </w:tc>
      </w:tr>
      <w:tr>
        <w:trPr>
          <w:trHeight w:val="214"/>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r>
      <w:tr>
        <w:trPr>
          <w:trHeight w:val="197"/>
        </w:trPr>
        <w:tc>
          <w:tcPr>
            <w:tcW w:w="9680" w:type="dxa"/>
            <w:vAlign w:val="bottom"/>
          </w:tcPr>
          <w:p>
            <w:pPr>
              <w:ind w:left="20"/>
              <w:spacing w:after="0"/>
              <w:rPr>
                <w:sz w:val="20"/>
                <w:szCs w:val="20"/>
                <w:color w:val="auto"/>
              </w:rPr>
            </w:pPr>
            <w:r>
              <w:rPr>
                <w:rFonts w:ascii="Arial" w:cs="Arial" w:eastAsia="Arial" w:hAnsi="Arial"/>
                <w:sz w:val="16"/>
                <w:szCs w:val="16"/>
                <w:color w:val="auto"/>
              </w:rPr>
              <w:t>Total assets acquired</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50,836</w:t>
            </w:r>
          </w:p>
        </w:tc>
      </w:tr>
      <w:tr>
        <w:trPr>
          <w:trHeight w:val="59"/>
        </w:trPr>
        <w:tc>
          <w:tcPr>
            <w:tcW w:w="9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11"/>
        </w:trPr>
        <w:tc>
          <w:tcPr>
            <w:tcW w:w="9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(8,858)</w:t>
            </w:r>
          </w:p>
        </w:tc>
      </w:tr>
      <w:tr>
        <w:trPr>
          <w:trHeight w:val="214"/>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r>
      <w:tr>
        <w:trPr>
          <w:trHeight w:val="204"/>
        </w:trPr>
        <w:tc>
          <w:tcPr>
            <w:tcW w:w="9680" w:type="dxa"/>
            <w:vAlign w:val="bottom"/>
          </w:tcPr>
          <w:p>
            <w:pPr>
              <w:ind w:left="20"/>
              <w:spacing w:after="0"/>
              <w:rPr>
                <w:sz w:val="20"/>
                <w:szCs w:val="20"/>
                <w:color w:val="auto"/>
              </w:rPr>
            </w:pPr>
            <w:r>
              <w:rPr>
                <w:rFonts w:ascii="Arial" w:cs="Arial" w:eastAsia="Arial" w:hAnsi="Arial"/>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(14,897)</w:t>
            </w:r>
          </w:p>
        </w:tc>
      </w:tr>
      <w:tr>
        <w:trPr>
          <w:trHeight w:val="20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35,939</w:t>
            </w:r>
          </w:p>
        </w:tc>
      </w:tr>
      <w:tr>
        <w:trPr>
          <w:trHeight w:val="204"/>
        </w:trPr>
        <w:tc>
          <w:tcPr>
            <w:tcW w:w="9680" w:type="dxa"/>
            <w:vAlign w:val="bottom"/>
          </w:tcPr>
          <w:p>
            <w:pPr>
              <w:ind w:left="20"/>
              <w:spacing w:after="0"/>
              <w:rPr>
                <w:sz w:val="20"/>
                <w:szCs w:val="20"/>
                <w:color w:val="auto"/>
              </w:rPr>
            </w:pPr>
            <w:r>
              <w:rPr>
                <w:rFonts w:ascii="Arial" w:cs="Arial" w:eastAsia="Arial" w:hAnsi="Arial"/>
                <w:sz w:val="16"/>
                <w:szCs w:val="16"/>
                <w:color w:val="auto"/>
              </w:rPr>
              <w:t>Net purchase price</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r>
      <w:tr>
        <w:trPr>
          <w:trHeight w:val="22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Bargain purchase gain</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right="260"/>
        <w:spacing w:after="0" w:line="282" w:lineRule="auto"/>
        <w:rPr>
          <w:sz w:val="20"/>
          <w:szCs w:val="20"/>
          <w:color w:val="auto"/>
        </w:rPr>
      </w:pPr>
      <w:r>
        <w:rPr>
          <w:rFonts w:ascii="Arial" w:cs="Arial" w:eastAsia="Arial" w:hAnsi="Arial"/>
          <w:sz w:val="12"/>
          <w:szCs w:val="12"/>
          <w:color w:val="auto"/>
        </w:rPr>
        <w:t>1 -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200" w:lineRule="exact"/>
        <w:rPr>
          <w:sz w:val="20"/>
          <w:szCs w:val="20"/>
          <w:color w:val="auto"/>
        </w:rPr>
      </w:pPr>
    </w:p>
    <w:p>
      <w:pPr>
        <w:spacing w:after="0" w:line="214"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Company recognized a non-taxable bargain purchase gain of $41.9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is included in general and administrative expenses on the Consolidated Statements of Operations.</w:t>
      </w:r>
    </w:p>
    <w:p>
      <w:pPr>
        <w:spacing w:after="0" w:line="55" w:lineRule="exact"/>
        <w:rPr>
          <w:sz w:val="20"/>
          <w:szCs w:val="20"/>
          <w:color w:val="auto"/>
        </w:rPr>
      </w:pPr>
    </w:p>
    <w:p>
      <w:pPr>
        <w:ind w:right="60" w:firstLine="395"/>
        <w:spacing w:after="0" w:line="261" w:lineRule="auto"/>
        <w:rPr>
          <w:sz w:val="20"/>
          <w:szCs w:val="20"/>
          <w:color w:val="auto"/>
        </w:rPr>
      </w:pPr>
      <w:r>
        <w:rPr>
          <w:rFonts w:ascii="Arial" w:cs="Arial" w:eastAsia="Arial" w:hAnsi="Arial"/>
          <w:sz w:val="18"/>
          <w:szCs w:val="18"/>
          <w:color w:val="auto"/>
        </w:rPr>
        <w:t>As of June 30, 2023, Shutterstock’s receivable of $101.9 million, is against an escrow fully funded by Meta. $71.7 million and $30.2 million are included within Prepaid expenses and other current assets and Other assets, respectively, on the Consolidated Balance Sheet.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Acquisitions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Pond5, Inc.</w:t>
      </w:r>
    </w:p>
    <w:p>
      <w:pPr>
        <w:spacing w:after="0" w:line="109" w:lineRule="exact"/>
        <w:rPr>
          <w:sz w:val="20"/>
          <w:szCs w:val="20"/>
          <w:color w:val="auto"/>
        </w:rPr>
      </w:pPr>
    </w:p>
    <w:p>
      <w:pPr>
        <w:jc w:val="both"/>
        <w:ind w:right="20" w:firstLine="395"/>
        <w:spacing w:after="0" w:line="250" w:lineRule="auto"/>
        <w:rPr>
          <w:sz w:val="20"/>
          <w:szCs w:val="20"/>
          <w:color w:val="auto"/>
        </w:rPr>
      </w:pPr>
      <w:r>
        <w:rPr>
          <w:rFonts w:ascii="Arial" w:cs="Arial" w:eastAsia="Arial" w:hAnsi="Arial"/>
          <w:sz w:val="18"/>
          <w:szCs w:val="18"/>
          <w:color w:val="auto"/>
        </w:rPr>
        <w:t>On May 11, 2022, the Company completed its acquisition of all of the outstanding shares of Pond5, for approximately $218.0 million. The total purchase price was paid with existing cash on hand as well as a $50 million drawdown on the Company’s revolving credit facility. In connection with the acquisition, the Company incurred approximately $4.0 million of transaction costs, which is included in general and administrative expenses on the Consolidated Statements of Operations.</w:t>
      </w:r>
    </w:p>
    <w:p>
      <w:pPr>
        <w:spacing w:after="0" w:line="85"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76"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Splash News</w:t>
      </w:r>
    </w:p>
    <w:p>
      <w:pPr>
        <w:spacing w:after="0" w:line="109" w:lineRule="exact"/>
        <w:rPr>
          <w:sz w:val="20"/>
          <w:szCs w:val="20"/>
          <w:color w:val="auto"/>
        </w:rPr>
      </w:pPr>
    </w:p>
    <w:p>
      <w:pPr>
        <w:ind w:right="120" w:firstLine="395"/>
        <w:spacing w:after="0" w:line="299" w:lineRule="auto"/>
        <w:rPr>
          <w:sz w:val="20"/>
          <w:szCs w:val="20"/>
          <w:color w:val="auto"/>
        </w:rPr>
      </w:pPr>
      <w:r>
        <w:rPr>
          <w:rFonts w:ascii="Arial" w:cs="Arial" w:eastAsia="Arial" w:hAnsi="Arial"/>
          <w:sz w:val="16"/>
          <w:szCs w:val="16"/>
          <w:color w:val="auto"/>
        </w:rPr>
        <w:t>On May 28, 2022, the Company completed its acquisition of all of the outstanding shares of Splash News, for approximately $6.3 million. The total purchase price was paid with existing cash on hand. In connection with the acquisition, the Company incurred approximately $0.3 million of transaction costs, which is included in general and administrative expenses on the Consolidated Statements of Operations.</w:t>
      </w:r>
    </w:p>
    <w:p>
      <w:pPr>
        <w:spacing w:after="0" w:line="49" w:lineRule="exact"/>
        <w:rPr>
          <w:sz w:val="20"/>
          <w:szCs w:val="20"/>
          <w:color w:val="auto"/>
        </w:rPr>
      </w:pPr>
    </w:p>
    <w:p>
      <w:pPr>
        <w:ind w:right="340" w:firstLine="395"/>
        <w:spacing w:after="0" w:line="324" w:lineRule="auto"/>
        <w:rPr>
          <w:sz w:val="20"/>
          <w:szCs w:val="20"/>
          <w:color w:val="auto"/>
        </w:rPr>
      </w:pPr>
      <w:r>
        <w:rPr>
          <w:rFonts w:ascii="Arial" w:cs="Arial" w:eastAsia="Arial" w:hAnsi="Arial"/>
          <w:sz w:val="16"/>
          <w:szCs w:val="16"/>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30"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76"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The Pond5 and Splash News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purchase price for these acquisitions has been allocated to the assets acquired and liabilities assumed as follows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4"/>
                <w:szCs w:val="14"/>
                <w:b w:val="1"/>
                <w:bCs w:val="1"/>
                <w:color w:val="auto"/>
              </w:rPr>
              <w:t>Pond5</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4"/>
                <w:szCs w:val="14"/>
                <w:b w:val="1"/>
                <w:bCs w:val="1"/>
                <w:color w:val="auto"/>
              </w:rPr>
              <w:t>Splash News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42"/>
              <w:spacing w:after="0"/>
              <w:rPr>
                <w:sz w:val="20"/>
                <w:szCs w:val="20"/>
                <w:color w:val="auto"/>
              </w:rPr>
            </w:pPr>
            <w:r>
              <w:rPr>
                <w:rFonts w:ascii="Arial" w:cs="Arial" w:eastAsia="Arial" w:hAnsi="Arial"/>
                <w:sz w:val="14"/>
                <w:szCs w:val="14"/>
                <w:b w:val="1"/>
                <w:bCs w:val="1"/>
                <w:color w:val="auto"/>
              </w:rPr>
              <w:t>Total</w:t>
            </w:r>
          </w:p>
        </w:tc>
      </w:tr>
      <w:tr>
        <w:trPr>
          <w:trHeight w:val="200"/>
        </w:trPr>
        <w:tc>
          <w:tcPr>
            <w:tcW w:w="664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11,675</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11,855</w:t>
            </w:r>
          </w:p>
        </w:tc>
      </w:tr>
      <w:tr>
        <w:trPr>
          <w:trHeight w:val="214"/>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r>
      <w:tr>
        <w:trPr>
          <w:trHeight w:val="207"/>
        </w:trPr>
        <w:tc>
          <w:tcPr>
            <w:tcW w:w="66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525</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1,627</w:t>
            </w:r>
          </w:p>
        </w:tc>
      </w:tr>
      <w:tr>
        <w:trPr>
          <w:trHeight w:val="214"/>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r>
      <w:tr>
        <w:trPr>
          <w:trHeight w:val="207"/>
        </w:trPr>
        <w:tc>
          <w:tcPr>
            <w:tcW w:w="664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r>
      <w:tr>
        <w:trPr>
          <w:trHeight w:val="207"/>
        </w:trPr>
        <w:tc>
          <w:tcPr>
            <w:tcW w:w="6640" w:type="dxa"/>
            <w:vAlign w:val="bottom"/>
          </w:tcPr>
          <w:p>
            <w:pPr>
              <w:ind w:left="340"/>
              <w:spacing w:after="0"/>
              <w:rPr>
                <w:sz w:val="20"/>
                <w:szCs w:val="20"/>
                <w:color w:val="auto"/>
              </w:rPr>
            </w:pPr>
            <w:r>
              <w:rPr>
                <w:rFonts w:ascii="Arial" w:cs="Arial" w:eastAsia="Arial" w:hAnsi="Arial"/>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5,300</w:t>
            </w:r>
          </w:p>
        </w:tc>
      </w:tr>
      <w:tr>
        <w:trPr>
          <w:trHeight w:val="214"/>
        </w:trPr>
        <w:tc>
          <w:tcPr>
            <w:tcW w:w="6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28,863</w:t>
            </w:r>
          </w:p>
        </w:tc>
      </w:tr>
      <w:tr>
        <w:trPr>
          <w:trHeight w:val="200"/>
        </w:trPr>
        <w:tc>
          <w:tcPr>
            <w:tcW w:w="664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67,800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1,263</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69,063</w:t>
            </w:r>
          </w:p>
        </w:tc>
      </w:tr>
      <w:tr>
        <w:trPr>
          <w:trHeight w:val="201"/>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158,957</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164,522</w:t>
            </w:r>
          </w:p>
        </w:tc>
      </w:tr>
      <w:tr>
        <w:trPr>
          <w:trHeight w:val="204"/>
        </w:trPr>
        <w:tc>
          <w:tcPr>
            <w:tcW w:w="6640" w:type="dxa"/>
            <w:vAlign w:val="bottom"/>
          </w:tcPr>
          <w:p>
            <w:pPr>
              <w:ind w:left="20"/>
              <w:spacing w:after="0"/>
              <w:rPr>
                <w:sz w:val="20"/>
                <w:szCs w:val="20"/>
                <w:color w:val="auto"/>
              </w:rPr>
            </w:pPr>
            <w:r>
              <w:rPr>
                <w:rFonts w:ascii="Arial" w:cs="Arial" w:eastAsia="Arial" w:hAnsi="Arial"/>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242,481</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8,033</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250,514</w:t>
            </w:r>
          </w:p>
        </w:tc>
      </w:tr>
      <w:tr>
        <w:trPr>
          <w:trHeight w:val="200"/>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(10,832)</w:t>
            </w:r>
          </w:p>
        </w:tc>
      </w:tr>
      <w:tr>
        <w:trPr>
          <w:trHeight w:val="207"/>
        </w:trPr>
        <w:tc>
          <w:tcPr>
            <w:tcW w:w="6640" w:type="dxa"/>
            <w:vAlign w:val="bottom"/>
          </w:tcPr>
          <w:p>
            <w:pPr>
              <w:ind w:left="240"/>
              <w:spacing w:after="0"/>
              <w:rPr>
                <w:sz w:val="20"/>
                <w:szCs w:val="20"/>
                <w:color w:val="auto"/>
              </w:rPr>
            </w:pPr>
            <w:r>
              <w:rPr>
                <w:rFonts w:ascii="Arial" w:cs="Arial" w:eastAsia="Arial" w:hAnsi="Arial"/>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(3,039)</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214"/>
        </w:trPr>
        <w:tc>
          <w:tcPr>
            <w:tcW w:w="66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r>
      <w:tr>
        <w:trPr>
          <w:trHeight w:val="207"/>
        </w:trPr>
        <w:tc>
          <w:tcPr>
            <w:tcW w:w="6640" w:type="dxa"/>
            <w:vAlign w:val="bottom"/>
          </w:tcPr>
          <w:p>
            <w:pPr>
              <w:ind w:left="24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214"/>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r>
      <w:tr>
        <w:trPr>
          <w:trHeight w:val="204"/>
        </w:trPr>
        <w:tc>
          <w:tcPr>
            <w:tcW w:w="6640" w:type="dxa"/>
            <w:vAlign w:val="bottom"/>
          </w:tcPr>
          <w:p>
            <w:pPr>
              <w:ind w:left="20"/>
              <w:spacing w:after="0"/>
              <w:rPr>
                <w:sz w:val="20"/>
                <w:szCs w:val="20"/>
                <w:color w:val="auto"/>
              </w:rPr>
            </w:pPr>
            <w:r>
              <w:rPr>
                <w:rFonts w:ascii="Arial" w:cs="Arial" w:eastAsia="Arial" w:hAnsi="Arial"/>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(24,467)</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(26,184)</w:t>
            </w:r>
          </w:p>
        </w:tc>
      </w:tr>
      <w:tr>
        <w:trPr>
          <w:trHeight w:val="229"/>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218,014</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6,316</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224,330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w:t>
      </w:r>
    </w:p>
    <w:p>
      <w:pPr>
        <w:spacing w:after="0" w:line="108" w:lineRule="exact"/>
        <w:rPr>
          <w:sz w:val="20"/>
          <w:szCs w:val="20"/>
          <w:color w:val="auto"/>
        </w:rPr>
      </w:pPr>
    </w:p>
    <w:p>
      <w:pPr>
        <w:ind w:right="100" w:firstLine="5"/>
        <w:spacing w:after="0" w:line="231" w:lineRule="auto"/>
        <w:tabs>
          <w:tab w:leader="none" w:pos="86" w:val="left"/>
        </w:tabs>
        <w:numPr>
          <w:ilvl w:val="0"/>
          <w:numId w:val="6"/>
        </w:numPr>
        <w:rPr>
          <w:rFonts w:ascii="Arial" w:cs="Arial" w:eastAsia="Arial" w:hAnsi="Arial"/>
          <w:sz w:val="21"/>
          <w:szCs w:val="21"/>
          <w:color w:val="auto"/>
          <w:vertAlign w:val="superscript"/>
        </w:rPr>
      </w:pPr>
      <w:r>
        <w:rPr>
          <w:rFonts w:ascii="Arial" w:cs="Arial" w:eastAsia="Arial" w:hAnsi="Arial"/>
          <w:sz w:val="13"/>
          <w:szCs w:val="13"/>
          <w:color w:val="auto"/>
        </w:rPr>
        <w:t>During the three months ended September 30, 2022, the Company updated its preliminary allocation of the Pond5 purchase price to the assets acquired and liabilities assumed. This resulted in a (i) $4.0 million increase to goodwill, (ii) a $4.1 million decrease to intangible assets, including a $7.0 million decrease to the value of customer relationships, partially offset by a $2.3 million increase to the value of the developed technology, and (iii) other immaterial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 (unaudited)</w:t>
      </w:r>
    </w:p>
    <w:p>
      <w:pPr>
        <w:spacing w:after="0" w:line="115"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The following unaudited pro forma consolidated financial information (in thousands) reflects the results of operations of the Company for the three and six months ended June 30, 2023 and 2022, respectively, as if the Giphy acquisition had been completed on January 1, 2022 and as if the Pond5 and Splash News acquisitions had been completed on January 1, 2021, after giving effect to certain purchase accounting adjustments, primarily related to bargain purchase gain,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8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53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4"/>
                <w:szCs w:val="14"/>
                <w:b w:val="1"/>
                <w:bCs w:val="1"/>
                <w:color w:val="auto"/>
              </w:rPr>
              <w:t>2022</w:t>
            </w:r>
          </w:p>
        </w:tc>
      </w:tr>
      <w:tr>
        <w:trPr>
          <w:trHeight w:val="201"/>
        </w:trPr>
        <w:tc>
          <w:tcPr>
            <w:tcW w:w="5300" w:type="dxa"/>
            <w:vAlign w:val="bottom"/>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4"/>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 Reported</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208,840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206,872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424,120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406,004</w:t>
            </w:r>
          </w:p>
        </w:tc>
      </w:tr>
      <w:tr>
        <w:trPr>
          <w:trHeight w:val="207"/>
        </w:trPr>
        <w:tc>
          <w:tcPr>
            <w:tcW w:w="5300" w:type="dxa"/>
            <w:vAlign w:val="bottom"/>
          </w:tcPr>
          <w:p>
            <w:pPr>
              <w:ind w:left="120"/>
              <w:spacing w:after="0"/>
              <w:rPr>
                <w:sz w:val="20"/>
                <w:szCs w:val="20"/>
                <w:color w:val="auto"/>
              </w:rPr>
            </w:pPr>
            <w:r>
              <w:rPr>
                <w:rFonts w:ascii="Arial" w:cs="Arial" w:eastAsia="Arial" w:hAnsi="Arial"/>
                <w:sz w:val="16"/>
                <w:szCs w:val="16"/>
                <w:color w:val="auto"/>
              </w:rPr>
              <w:t>Pro Forma</w:t>
            </w:r>
          </w:p>
        </w:tc>
        <w:tc>
          <w:tcPr>
            <w:tcW w:w="3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213,840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218,452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436,287</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5300" w:type="dxa"/>
            <w:vAlign w:val="bottom"/>
          </w:tcPr>
          <w:p>
            <w:pPr>
              <w:ind w:left="120"/>
              <w:spacing w:after="0"/>
              <w:rPr>
                <w:sz w:val="20"/>
                <w:szCs w:val="20"/>
                <w:color w:val="auto"/>
              </w:rPr>
            </w:pPr>
            <w:r>
              <w:rPr>
                <w:rFonts w:ascii="Arial" w:cs="Arial" w:eastAsia="Arial" w:hAnsi="Arial"/>
                <w:sz w:val="16"/>
                <w:szCs w:val="16"/>
                <w:color w:val="auto"/>
              </w:rPr>
              <w:t>As Reported</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51,381</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22,713</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92,795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55,389</w:t>
            </w:r>
          </w:p>
        </w:tc>
      </w:tr>
      <w:tr>
        <w:trPr>
          <w:trHeight w:val="214"/>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15,511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9,318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Arial" w:cs="Arial" w:eastAsia="Arial" w:hAnsi="Arial"/>
                <w:sz w:val="14"/>
                <w:szCs w:val="14"/>
                <w:b w:val="1"/>
                <w:bCs w:val="1"/>
                <w:color w:val="auto"/>
                <w:w w:val="92"/>
              </w:rPr>
              <w:t>As of June 30, 2023</w:t>
            </w:r>
          </w:p>
        </w:tc>
        <w:tc>
          <w:tcPr>
            <w:tcW w:w="1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As of December 31, 2022</w:t>
            </w:r>
          </w:p>
        </w:tc>
      </w:tr>
      <w:tr>
        <w:trPr>
          <w:trHeight w:val="24"/>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4"/>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284,099</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261,067</w:t>
            </w:r>
          </w:p>
        </w:tc>
      </w:tr>
      <w:tr>
        <w:trPr>
          <w:trHeight w:val="207"/>
        </w:trPr>
        <w:tc>
          <w:tcPr>
            <w:tcW w:w="79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60" w:type="dxa"/>
            <w:vAlign w:val="bottom"/>
          </w:tcPr>
          <w:p>
            <w:pPr>
              <w:spacing w:after="0"/>
              <w:rPr>
                <w:sz w:val="18"/>
                <w:szCs w:val="18"/>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10,637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10,328</w:t>
            </w:r>
          </w:p>
        </w:tc>
      </w:tr>
      <w:tr>
        <w:trPr>
          <w:trHeight w:val="211"/>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18,921</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18,635</w:t>
            </w:r>
          </w:p>
        </w:tc>
      </w:tr>
      <w:tr>
        <w:trPr>
          <w:trHeight w:val="204"/>
        </w:trPr>
        <w:tc>
          <w:tcPr>
            <w:tcW w:w="792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160" w:type="dxa"/>
            <w:vAlign w:val="bottom"/>
          </w:tcPr>
          <w:p>
            <w:pPr>
              <w:spacing w:after="0"/>
              <w:rPr>
                <w:sz w:val="17"/>
                <w:szCs w:val="17"/>
                <w:color w:val="auto"/>
              </w:rPr>
            </w:pP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313,657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290,030</w:t>
            </w:r>
          </w:p>
        </w:tc>
      </w:tr>
      <w:tr>
        <w:trPr>
          <w:trHeight w:val="211"/>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(254,223)</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(235,482)</w:t>
            </w:r>
          </w:p>
        </w:tc>
      </w:tr>
      <w:tr>
        <w:trPr>
          <w:trHeight w:val="204"/>
        </w:trPr>
        <w:tc>
          <w:tcPr>
            <w:tcW w:w="792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
              <w:spacing w:after="0"/>
              <w:rPr>
                <w:sz w:val="20"/>
                <w:szCs w:val="20"/>
                <w:color w:val="auto"/>
              </w:rPr>
            </w:pPr>
            <w:r>
              <w:rPr>
                <w:rFonts w:ascii="Arial" w:cs="Arial" w:eastAsia="Arial" w:hAnsi="Arial"/>
                <w:sz w:val="16"/>
                <w:szCs w:val="16"/>
                <w:color w:val="auto"/>
              </w:rPr>
              <w:t>59,434</w:t>
            </w:r>
          </w:p>
        </w:tc>
        <w:tc>
          <w:tcPr>
            <w:tcW w:w="620" w:type="dxa"/>
            <w:vAlign w:val="bottom"/>
            <w:gridSpan w:val="2"/>
          </w:tcPr>
          <w:p>
            <w:pPr>
              <w:jc w:val="right"/>
              <w:ind w:right="35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54,548</w:t>
            </w:r>
          </w:p>
        </w:tc>
      </w:tr>
      <w:tr>
        <w:trPr>
          <w:trHeight w:val="23"/>
        </w:trPr>
        <w:tc>
          <w:tcPr>
            <w:tcW w:w="7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right="60" w:firstLine="395"/>
        <w:spacing w:after="0" w:line="310" w:lineRule="auto"/>
        <w:rPr>
          <w:sz w:val="20"/>
          <w:szCs w:val="20"/>
          <w:color w:val="auto"/>
        </w:rPr>
      </w:pPr>
      <w:r>
        <w:rPr>
          <w:rFonts w:ascii="Arial" w:cs="Arial" w:eastAsia="Arial" w:hAnsi="Arial"/>
          <w:sz w:val="15"/>
          <w:szCs w:val="15"/>
          <w:color w:val="auto"/>
        </w:rPr>
        <w:t>Depreciation expense related to property and equipment was $9.1 million and $8.3 million for the three months ended June 30, 2023 and 2022, respectively, and $18.2 million and $16.3 million for the six months ended June 30, 2023 and 2022, respectively. Cost of revenues included depreciation expense of $8.7 million and $7.5 million for the three months ended June 30, 2023 and 2022, respectively, and $17.3 million and $14.7 million for the six months ended June 30, 2023 and 2022, respectively. General and administrative expense included depreciation expense of $0.4 million and $0.8 million for the three months ended June 30, 2023 and 2022, respectively, and $0.9 million and $1.6 million for the six months ended June 30, 2023 and 2022,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capitalized costs related to the development of internal-use software of $11.3 million and $10.6 million for the three months ended June 30,</w:t>
      </w:r>
    </w:p>
    <w:p>
      <w:pPr>
        <w:spacing w:after="0" w:line="50" w:lineRule="exact"/>
        <w:rPr>
          <w:sz w:val="20"/>
          <w:szCs w:val="20"/>
          <w:color w:val="auto"/>
        </w:rPr>
      </w:pPr>
    </w:p>
    <w:p>
      <w:pPr>
        <w:ind w:right="460"/>
        <w:spacing w:after="0" w:line="309" w:lineRule="auto"/>
        <w:rPr>
          <w:sz w:val="20"/>
          <w:szCs w:val="20"/>
          <w:color w:val="auto"/>
        </w:rPr>
      </w:pPr>
      <w:r>
        <w:rPr>
          <w:rFonts w:ascii="Arial" w:cs="Arial" w:eastAsia="Arial" w:hAnsi="Arial"/>
          <w:sz w:val="16"/>
          <w:szCs w:val="16"/>
          <w:color w:val="auto"/>
        </w:rPr>
        <w:t>2023 and 2022, respectively, and $21.6 million and $20.1 million for the six months ended June 30, 2023 and 2022, respectively. Capitalized amounts are included as a component of property and equipment under computer equipment and software on the Consolidated Balance Sheets.</w:t>
      </w:r>
    </w:p>
    <w:p>
      <w:pPr>
        <w:spacing w:after="0" w:line="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portion of total depreciation expense related to capitalized internal-use software was $8.4 million and $7.2 million for the three months ended</w:t>
      </w:r>
    </w:p>
    <w:p>
      <w:pPr>
        <w:spacing w:after="0" w:line="38"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June 30, 2023 and 2022, respectively, and $16.8 million and $14.0 million for the six months ended June 30, 2023 and 2022, respectively. Depreciation expense related to capitalized internal-use software is included in cost of revenue in the Consolidated Statements of Operations.</w:t>
      </w:r>
    </w:p>
    <w:p>
      <w:pPr>
        <w:spacing w:after="0" w:line="200" w:lineRule="exact"/>
        <w:rPr>
          <w:sz w:val="20"/>
          <w:szCs w:val="20"/>
          <w:color w:val="auto"/>
        </w:rPr>
      </w:pPr>
    </w:p>
    <w:p>
      <w:pPr>
        <w:spacing w:after="0" w:line="31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As of June 30, 2023 and December 31, 2022, the Company had capitalized internal-use software of $54.9 million and $50.1 million, respectively, net of accumulated depreciation, which was included in property and equipment, net.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9"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color w:val="auto"/>
        </w:rPr>
        <w:t>The Company’s goodwill balance is attributable to its Content reporting unit and is tested for impairment annually on October 1 or upon a triggering event. No triggering events were identified during the six months ended June 30, 2023.</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the Company’s goodwill balance during the six months ended June 30, 2023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ind w:right="523"/>
              <w:spacing w:after="0"/>
              <w:rPr>
                <w:sz w:val="20"/>
                <w:szCs w:val="20"/>
                <w:color w:val="auto"/>
              </w:rPr>
            </w:pPr>
            <w:r>
              <w:rPr>
                <w:rFonts w:ascii="Arial" w:cs="Arial" w:eastAsia="Arial" w:hAnsi="Arial"/>
                <w:sz w:val="14"/>
                <w:szCs w:val="14"/>
                <w:b w:val="1"/>
                <w:bCs w:val="1"/>
                <w:color w:val="auto"/>
              </w:rPr>
              <w:t>Goodwill</w:t>
            </w:r>
          </w:p>
        </w:tc>
      </w:tr>
      <w:tr>
        <w:trPr>
          <w:trHeight w:val="24"/>
        </w:trPr>
        <w:tc>
          <w:tcPr>
            <w:tcW w:w="9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4"/>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381,920</w:t>
            </w:r>
          </w:p>
        </w:tc>
      </w:tr>
      <w:tr>
        <w:trPr>
          <w:trHeight w:val="197"/>
        </w:trPr>
        <w:tc>
          <w:tcPr>
            <w:tcW w:w="9480" w:type="dxa"/>
            <w:vAlign w:val="bottom"/>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w:t>
            </w:r>
          </w:p>
        </w:tc>
      </w:tr>
      <w:tr>
        <w:trPr>
          <w:trHeight w:val="229"/>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383,045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consisted of the following as of June 30, 2023 and December 31, 2022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As of June 30, 2023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89"/>
              </w:rPr>
              <w:t>As of December 31, 2022</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1"/>
                <w:szCs w:val="11"/>
                <w:color w:val="auto"/>
              </w:rPr>
            </w:pPr>
          </w:p>
        </w:tc>
        <w:tc>
          <w:tcPr>
            <w:tcW w:w="8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3"/>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89,952</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(23,262)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66,690</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88,996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(19,168)</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69,828</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9,379</w:t>
            </w:r>
          </w:p>
        </w:tc>
        <w:tc>
          <w:tcPr>
            <w:tcW w:w="0" w:type="dxa"/>
            <w:vAlign w:val="bottom"/>
          </w:tcPr>
          <w:p>
            <w:pPr>
              <w:spacing w:after="0"/>
              <w:rPr>
                <w:sz w:val="1"/>
                <w:szCs w:val="1"/>
                <w:color w:val="auto"/>
              </w:rPr>
            </w:pP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117,561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69,616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59,584</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Contributor content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34,186</w:t>
            </w:r>
          </w:p>
        </w:tc>
        <w:tc>
          <w:tcPr>
            <w:tcW w:w="0" w:type="dxa"/>
            <w:vAlign w:val="bottom"/>
          </w:tcPr>
          <w:p>
            <w:pPr>
              <w:spacing w:after="0"/>
              <w:rPr>
                <w:sz w:val="1"/>
                <w:szCs w:val="1"/>
                <w:color w:val="auto"/>
              </w:rPr>
            </w:pPr>
          </w:p>
        </w:tc>
      </w:tr>
      <w:tr>
        <w:trPr>
          <w:trHeight w:val="197"/>
        </w:trPr>
        <w:tc>
          <w:tcPr>
            <w:tcW w:w="2780" w:type="dxa"/>
            <w:vAlign w:val="bottom"/>
          </w:tcPr>
          <w:p>
            <w:pPr>
              <w:ind w:left="140"/>
              <w:spacing w:after="0"/>
              <w:rPr>
                <w:sz w:val="20"/>
                <w:szCs w:val="20"/>
                <w:color w:val="auto"/>
              </w:rPr>
            </w:pPr>
            <w:r>
              <w:rPr>
                <w:rFonts w:ascii="Arial" w:cs="Arial" w:eastAsia="Arial" w:hAnsi="Arial"/>
                <w:sz w:val="16"/>
                <w:szCs w:val="16"/>
                <w:color w:val="auto"/>
              </w:rPr>
              <w:t>Patents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2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305,383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(103,293)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254,999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Amortization expense was $10.1 million and $8.2 million for the three months ended June 30, 2023 and 2022, respectively, and $19.9 million and</w:t>
      </w:r>
    </w:p>
    <w:p>
      <w:pPr>
        <w:spacing w:after="0" w:line="3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$15.3 million for the six months ended June 30, 2023 and 2022, respectively. Cost of revenue included amortization expense of $9.4 million and $7.6 million for the three months ended June 30, 2023 and 2022, respectively, and $18.6 million and $14.2 million for the six months ended June 30, 2023 and 2022, respectively. General and administrative expense included amortization expense of $0.7 million and $0.6 million for the three months ended June 30, 2023 and 2022, respectively, and $1.3 million and $1.1 million for the six months ended June 30, 2023 and 2022, respectively.</w:t>
      </w:r>
    </w:p>
    <w:p>
      <w:pPr>
        <w:spacing w:after="0" w:line="59"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The Company determined that there was no indication of impairment of the intangible assets for any period presented. Estimated amortization expense is: $23.2 million for the remaining six months of 2023, $39.6 million in 2024, $29.1 million in 2025, $26.8 million in 2026, $17.9 million in 2027, $12.6 million in 2028 and $53.0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123"/>
              <w:spacing w:after="0"/>
              <w:rPr>
                <w:sz w:val="20"/>
                <w:szCs w:val="20"/>
                <w:color w:val="auto"/>
              </w:rPr>
            </w:pPr>
            <w:r>
              <w:rPr>
                <w:rFonts w:ascii="Arial" w:cs="Arial" w:eastAsia="Arial" w:hAnsi="Arial"/>
                <w:sz w:val="14"/>
                <w:szCs w:val="14"/>
                <w:b w:val="1"/>
                <w:bCs w:val="1"/>
                <w:color w:val="auto"/>
                <w:w w:val="90"/>
              </w:rPr>
              <w:t>As of June 30, 2023</w:t>
            </w:r>
          </w:p>
        </w:tc>
        <w:tc>
          <w:tcPr>
            <w:tcW w:w="10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As of December 31, 2022</w:t>
            </w:r>
          </w:p>
        </w:tc>
      </w:tr>
      <w:tr>
        <w:trPr>
          <w:trHeight w:val="24"/>
        </w:trPr>
        <w:tc>
          <w:tcPr>
            <w:tcW w:w="8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58,246</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40,314</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Non-income taxes</w:t>
            </w:r>
          </w:p>
        </w:tc>
        <w:tc>
          <w:tcPr>
            <w:tcW w:w="140" w:type="dxa"/>
            <w:vAlign w:val="bottom"/>
          </w:tcPr>
          <w:p>
            <w:pPr>
              <w:spacing w:after="0"/>
              <w:rPr>
                <w:sz w:val="18"/>
                <w:szCs w:val="18"/>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22,411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24,390</w:t>
            </w:r>
          </w:p>
        </w:tc>
      </w:tr>
      <w:tr>
        <w:trPr>
          <w:trHeight w:val="214"/>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Website hosting and marketing fees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w:t>
            </w:r>
          </w:p>
        </w:tc>
      </w:tr>
      <w:tr>
        <w:trPr>
          <w:trHeight w:val="20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23,067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18,075</w:t>
            </w:r>
          </w:p>
        </w:tc>
      </w:tr>
      <w:tr>
        <w:trPr>
          <w:trHeight w:val="224"/>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112,231</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89,387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15"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the Company’s option, revolving loans accrue interest at a per annum rate based on either (i) the base rate plus a margin ranging from 0.125%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 pay an unused commitment fee ranging from 0.150% to 0.225%, determined based on the Company’s consolidated leverage ratio. In connection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the Company paid debt issuance costs of approximately $0.6 million.</w:t>
      </w:r>
    </w:p>
    <w:p>
      <w:pPr>
        <w:spacing w:after="0" w:line="97" w:lineRule="exact"/>
        <w:rPr>
          <w:sz w:val="20"/>
          <w:szCs w:val="20"/>
          <w:color w:val="auto"/>
        </w:rPr>
      </w:pPr>
    </w:p>
    <w:p>
      <w:pPr>
        <w:jc w:val="both"/>
        <w:ind w:right="300" w:firstLine="395"/>
        <w:spacing w:after="0" w:line="299" w:lineRule="auto"/>
        <w:rPr>
          <w:sz w:val="20"/>
          <w:szCs w:val="20"/>
          <w:color w:val="auto"/>
        </w:rPr>
      </w:pPr>
      <w:r>
        <w:rPr>
          <w:rFonts w:ascii="Arial" w:cs="Arial" w:eastAsia="Arial" w:hAnsi="Arial"/>
          <w:sz w:val="16"/>
          <w:szCs w:val="16"/>
          <w:color w:val="auto"/>
        </w:rPr>
        <w:t>As of June 30, 2023 and December 31, 2022, the Company had $30 million and $50 million, respectively, of outstanding borrowings under the Credit Facility. As of June 30, 2023, the Company had a remaining borrowing capacity of $68 million, net of standby letters of credit. For the three and six months ended June 30, 2023, the Company recognized interest expense of $0.5 million and $0.7 million, respectively.</w:t>
      </w:r>
    </w:p>
    <w:p>
      <w:pPr>
        <w:spacing w:after="0" w:line="49" w:lineRule="exact"/>
        <w:rPr>
          <w:sz w:val="20"/>
          <w:szCs w:val="20"/>
          <w:color w:val="auto"/>
        </w:rPr>
      </w:pPr>
    </w:p>
    <w:p>
      <w:pPr>
        <w:ind w:right="160" w:firstLine="395"/>
        <w:spacing w:after="0" w:line="299" w:lineRule="auto"/>
        <w:rPr>
          <w:sz w:val="20"/>
          <w:szCs w:val="20"/>
          <w:color w:val="auto"/>
        </w:rPr>
      </w:pPr>
      <w:r>
        <w:rPr>
          <w:rFonts w:ascii="Arial" w:cs="Arial" w:eastAsia="Arial" w:hAnsi="Arial"/>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June 30, 2023, the Company was in compliance with these covenants.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Equity-Based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56"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The Company issued approximately 194,000 and 130,000 shares of common stock during the three months ended June 30, 2023 and 2022, respectively, related to the exercise of stock options and the vesting of Restricted Stock Units.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56"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In October 2015, the Company’s Board of Directors approved a share repurchase program (the “2015 Share Repurchase Program”), authorizing the Company to repurchase up to $100 million of its common stock. In February 2017, the Company’s Board of Directors approved an increase to the share repurchase program, authorizing the Company to repurchase up to an additional $100 million of its outstanding common stock. As of December 31, 2022, the Company had fully utilized its authorization for repurchases under the 2015 Share Repurchase Program.</w:t>
      </w:r>
    </w:p>
    <w:p>
      <w:pPr>
        <w:spacing w:after="0" w:line="55"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 June 2023, the Company’s Board of Directors approved a share repurchase program (the “2023 Share Repurchase Program”), authorizing the Company to purchase up to $100 million of its common stock.</w:t>
      </w: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20" w:firstLine="395"/>
        <w:spacing w:after="0" w:line="248" w:lineRule="auto"/>
        <w:rPr>
          <w:sz w:val="20"/>
          <w:szCs w:val="20"/>
          <w:color w:val="auto"/>
        </w:rPr>
      </w:pPr>
      <w:r>
        <w:rPr>
          <w:rFonts w:ascii="Arial" w:cs="Arial" w:eastAsia="Arial" w:hAnsi="Arial"/>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9" w:lineRule="exact"/>
        <w:rPr>
          <w:sz w:val="20"/>
          <w:szCs w:val="20"/>
          <w:color w:val="auto"/>
        </w:rPr>
      </w:pPr>
    </w:p>
    <w:p>
      <w:pPr>
        <w:ind w:right="160" w:firstLine="395"/>
        <w:spacing w:after="0" w:line="327" w:lineRule="auto"/>
        <w:rPr>
          <w:sz w:val="20"/>
          <w:szCs w:val="20"/>
          <w:color w:val="auto"/>
        </w:rPr>
      </w:pPr>
      <w:r>
        <w:rPr>
          <w:rFonts w:ascii="Arial" w:cs="Arial" w:eastAsia="Arial" w:hAnsi="Arial"/>
          <w:sz w:val="15"/>
          <w:szCs w:val="15"/>
          <w:color w:val="auto"/>
        </w:rPr>
        <w:t>During the three and six months ended June 30, 2023, the Company repurchased approximately 80,400 shares of its common stock at an average cost of $49.78 under the 2023 Share Repurchase Program. During the three and six months ended June 30, 2022, the Company repurchased approximately 286,700 and 708,700 shares of its common stock at an average cost of $63.95 and $79.87, respectively, under the 2015 Share Repurchase Program.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9" w:lineRule="exact"/>
        <w:rPr>
          <w:sz w:val="20"/>
          <w:szCs w:val="20"/>
          <w:color w:val="auto"/>
        </w:rPr>
      </w:pPr>
    </w:p>
    <w:p>
      <w:pPr>
        <w:jc w:val="both"/>
        <w:ind w:right="60" w:firstLine="395"/>
        <w:spacing w:after="0" w:line="252" w:lineRule="auto"/>
        <w:rPr>
          <w:sz w:val="20"/>
          <w:szCs w:val="20"/>
          <w:color w:val="auto"/>
        </w:rPr>
      </w:pPr>
      <w:r>
        <w:rPr>
          <w:rFonts w:ascii="Arial" w:cs="Arial" w:eastAsia="Arial" w:hAnsi="Arial"/>
          <w:sz w:val="18"/>
          <w:szCs w:val="18"/>
          <w:color w:val="auto"/>
        </w:rPr>
        <w:t>The Company declared and paid cash dividends of $0.27 and $0.54 per share of common stock, or $9.7 million and $19.4 million during the three and six months ended June 30, 2023, respectively, and $0.24 and $0.48 per share of common stock, or $8.7 million and $17.4 million, during the three and six months ended June 30, 2022, respectively.</w:t>
      </w:r>
    </w:p>
    <w:p>
      <w:pPr>
        <w:spacing w:after="0" w:line="190" w:lineRule="exact"/>
        <w:rPr>
          <w:sz w:val="20"/>
          <w:szCs w:val="20"/>
          <w:color w:val="auto"/>
        </w:rPr>
      </w:pPr>
    </w:p>
    <w:p>
      <w:pPr>
        <w:ind w:right="420" w:firstLine="395"/>
        <w:spacing w:after="0" w:line="248" w:lineRule="auto"/>
        <w:rPr>
          <w:sz w:val="20"/>
          <w:szCs w:val="20"/>
          <w:color w:val="auto"/>
        </w:rPr>
      </w:pPr>
      <w:r>
        <w:rPr>
          <w:rFonts w:ascii="Arial" w:cs="Arial" w:eastAsia="Arial" w:hAnsi="Arial"/>
          <w:sz w:val="18"/>
          <w:szCs w:val="18"/>
          <w:color w:val="auto"/>
        </w:rPr>
        <w:t>On July 17, 2023, the Company’s Board of Directors declared a quarterly cash dividend of $0.27 per share of outstanding common stock payable on September 14, 2023 to stockholders of record at the close of business on August 31, 2023.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9"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58" w:lineRule="exact"/>
        <w:rPr>
          <w:sz w:val="20"/>
          <w:szCs w:val="20"/>
          <w:color w:val="auto"/>
        </w:rPr>
      </w:pPr>
    </w:p>
    <w:p>
      <w:pPr>
        <w:ind w:right="680" w:firstLine="395"/>
        <w:spacing w:after="0" w:line="324" w:lineRule="auto"/>
        <w:rPr>
          <w:sz w:val="20"/>
          <w:szCs w:val="20"/>
          <w:color w:val="auto"/>
        </w:rPr>
      </w:pPr>
      <w:r>
        <w:rPr>
          <w:rFonts w:ascii="Arial" w:cs="Arial" w:eastAsia="Arial" w:hAnsi="Arial"/>
          <w:sz w:val="16"/>
          <w:szCs w:val="16"/>
          <w:color w:val="auto"/>
        </w:rPr>
        <w:t>The following table summarizes non-cash equity-based compensation expense, net of forfeitures, by financial statement line item included in the accompanying Consolidated Statements of Operations for the three and six months ended June 30, 2023 and 2022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7"/>
        </w:trPr>
        <w:tc>
          <w:tcPr>
            <w:tcW w:w="54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r>
      <w:tr>
        <w:trPr>
          <w:trHeight w:val="204"/>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2,487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3,091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2,557</w:t>
            </w:r>
          </w:p>
        </w:tc>
      </w:tr>
      <w:tr>
        <w:trPr>
          <w:trHeight w:val="214"/>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6,669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7,929</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2,701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13,336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7,740</w:t>
            </w:r>
          </w:p>
        </w:tc>
      </w:tr>
      <w:tr>
        <w:trPr>
          <w:trHeight w:val="224"/>
        </w:trPr>
        <w:tc>
          <w:tcPr>
            <w:tcW w:w="5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14,943</w:t>
            </w:r>
          </w:p>
        </w:tc>
        <w:tc>
          <w:tcPr>
            <w:tcW w:w="1020" w:type="dxa"/>
            <w:vAlign w:val="bottom"/>
            <w:gridSpan w:val="2"/>
            <w:shd w:val="clear" w:color="auto" w:fill="CCEEFF"/>
          </w:tcPr>
          <w:p>
            <w:pPr>
              <w:jc w:val="right"/>
              <w:ind w:right="73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7,043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23,586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For the three and six months ended June 30, 2023 and 2022, substantially all of the Company’s non-cash equity-based compensation expense related to RSUs.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14" w:lineRule="exact"/>
        <w:rPr>
          <w:sz w:val="20"/>
          <w:szCs w:val="20"/>
          <w:color w:val="auto"/>
        </w:rPr>
      </w:pPr>
    </w:p>
    <w:p>
      <w:pPr>
        <w:ind w:right="900" w:firstLine="395"/>
        <w:spacing w:after="0" w:line="261" w:lineRule="auto"/>
        <w:rPr>
          <w:sz w:val="20"/>
          <w:szCs w:val="20"/>
          <w:color w:val="auto"/>
        </w:rPr>
      </w:pPr>
      <w:r>
        <w:rPr>
          <w:rFonts w:ascii="Arial" w:cs="Arial" w:eastAsia="Arial" w:hAnsi="Arial"/>
          <w:sz w:val="18"/>
          <w:szCs w:val="18"/>
          <w:color w:val="auto"/>
        </w:rPr>
        <w:t>During the six months ended June 30, 2023, no options to purchase shares of its common stock were granted. As of June 30, 2023, there were approximately 303,000 options vested and exercisable with a weighted average exercise price of $34.54.</w:t>
      </w: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56" w:lineRule="exact"/>
        <w:rPr>
          <w:sz w:val="20"/>
          <w:szCs w:val="20"/>
          <w:color w:val="auto"/>
        </w:rPr>
      </w:pPr>
    </w:p>
    <w:p>
      <w:pPr>
        <w:jc w:val="both"/>
        <w:ind w:right="220" w:firstLine="395"/>
        <w:spacing w:after="0" w:line="250" w:lineRule="auto"/>
        <w:rPr>
          <w:sz w:val="20"/>
          <w:szCs w:val="20"/>
          <w:color w:val="auto"/>
        </w:rPr>
      </w:pPr>
      <w:r>
        <w:rPr>
          <w:rFonts w:ascii="Arial" w:cs="Arial" w:eastAsia="Arial" w:hAnsi="Arial"/>
          <w:sz w:val="18"/>
          <w:szCs w:val="18"/>
          <w:color w:val="auto"/>
        </w:rPr>
        <w:t>During the six months ended June 30, 2023, the Company had RSU grants, net of forfeitures, of approximately 965,000. As of June 30, 2023, there are approximately 2,225,000 non-vested RSUs outstanding with a weighted average grant-date fair value of $69.87. As of June 30, 2023, the total unrecognized non-cash equity-based compensation expense related to the non-vested RSUs was approximately $116.5 million, which is expected to be recognized through 2027.</w:t>
      </w:r>
    </w:p>
    <w:p>
      <w:pPr>
        <w:spacing w:after="0" w:line="85"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During the six months ended June 30, 2023 and 2022, shares of common stock with an aggregate value of $12.3 million and $21.0 million were withheld upon vesting of RSUs and paid in connection with related remittance of employee withholding taxes to taxing authorities.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distributes its products through two primary channels:</w:t>
      </w:r>
    </w:p>
    <w:p>
      <w:pPr>
        <w:spacing w:after="0" w:line="109"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The majority of the Company’s customers license content directly through the Company’s self-service web properties.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have the flexibility to purchase subscription-based plans that are paid on a monthly or annual basis. Customer are also able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8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The Company also has a base of customers with unique content, licensing and workflow needs. These customers benefit from 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revenues by distribution channel for the three and six months ended June 30, 2023 and 2022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185"/>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2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jc w:val="right"/>
              <w:ind w:right="303"/>
              <w:spacing w:after="0"/>
              <w:rPr>
                <w:sz w:val="20"/>
                <w:szCs w:val="20"/>
                <w:color w:val="auto"/>
              </w:rPr>
            </w:pPr>
            <w:r>
              <w:rPr>
                <w:rFonts w:ascii="Arial" w:cs="Arial" w:eastAsia="Arial" w:hAnsi="Arial"/>
                <w:sz w:val="14"/>
                <w:szCs w:val="14"/>
                <w:b w:val="1"/>
                <w:bCs w:val="1"/>
                <w:color w:val="auto"/>
                <w:w w:val="83"/>
              </w:rPr>
              <w:t>2022</w:t>
            </w:r>
          </w:p>
        </w:tc>
      </w:tr>
      <w:tr>
        <w:trPr>
          <w:trHeight w:val="37"/>
        </w:trPr>
        <w:tc>
          <w:tcPr>
            <w:tcW w:w="53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111,903</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127,388</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231,657</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254,458</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Enterprise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96,937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79,484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192,463</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151,546</w:t>
            </w:r>
          </w:p>
        </w:tc>
      </w:tr>
      <w:tr>
        <w:trPr>
          <w:trHeight w:val="227"/>
        </w:trPr>
        <w:tc>
          <w:tcPr>
            <w:tcW w:w="5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208,840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424,120</w:t>
            </w:r>
          </w:p>
        </w:tc>
        <w:tc>
          <w:tcPr>
            <w:tcW w:w="88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Deferred revenue reported on the balance sheet represents unfulfilled performance obligations for which the Company has either received payment or has outstanding receivables. The June 30, 2023 deferred revenue balance will be earned as content is downloaded or upon the expiration of subscription-based products, and nearly all is expected to be earned within the next twelve months. $126.5 million of total revenue recognized for the six months ended June 30, 2023 was reflected in deferred revenue as of December 31, 2022. In addition, as of June 30, 2023, the Company has approximately $74.5 million of contracted but unsatisfied performance obligations relating primarily to our computer vision offering, which are not included as a component of deferred revenue and that the Company expects to recognize over a five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Income / (Expense), net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summary of the Company’s other income and expense activity included in the accompanying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six months ended June 30, 2023 and 2022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7"/>
        </w:trPr>
        <w:tc>
          <w:tcPr>
            <w:tcW w:w="5300" w:type="dxa"/>
            <w:vAlign w:val="bottom"/>
          </w:tcPr>
          <w:p>
            <w:pPr>
              <w:spacing w:after="0"/>
              <w:rPr>
                <w:sz w:val="15"/>
                <w:szCs w:val="15"/>
                <w:color w:val="auto"/>
              </w:rPr>
            </w:pP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20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gain</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551</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(2,495)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0"/>
              </w:rPr>
              <w:t>(493)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1"/>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and other</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ind w:left="21"/>
              <w:spacing w:after="0"/>
              <w:rPr>
                <w:sz w:val="20"/>
                <w:szCs w:val="20"/>
                <w:color w:val="auto"/>
              </w:rPr>
            </w:pPr>
            <w:r>
              <w:rPr>
                <w:rFonts w:ascii="Arial" w:cs="Arial" w:eastAsia="Arial" w:hAnsi="Arial"/>
                <w:sz w:val="16"/>
                <w:szCs w:val="16"/>
                <w:color w:val="auto"/>
                <w:w w:val="89"/>
              </w:rPr>
              <w:t>668</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4"/>
        </w:trPr>
        <w:tc>
          <w:tcPr>
            <w:tcW w:w="5300" w:type="dxa"/>
            <w:vAlign w:val="bottom"/>
          </w:tcPr>
          <w:p>
            <w:pPr>
              <w:ind w:left="140"/>
              <w:spacing w:after="0"/>
              <w:rPr>
                <w:sz w:val="20"/>
                <w:szCs w:val="20"/>
                <w:color w:val="auto"/>
              </w:rPr>
            </w:pPr>
            <w:r>
              <w:rPr>
                <w:rFonts w:ascii="Arial" w:cs="Arial" w:eastAsia="Arial" w:hAnsi="Arial"/>
                <w:sz w:val="16"/>
                <w:szCs w:val="16"/>
                <w:color w:val="auto"/>
              </w:rPr>
              <w:t>Total other income / (expense)</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60" w:type="dxa"/>
            <w:vAlign w:val="bottom"/>
          </w:tcPr>
          <w:p>
            <w:pPr>
              <w:jc w:val="center"/>
              <w:ind w:left="21"/>
              <w:spacing w:after="0"/>
              <w:rPr>
                <w:sz w:val="20"/>
                <w:szCs w:val="20"/>
                <w:color w:val="auto"/>
              </w:rPr>
            </w:pPr>
            <w:r>
              <w:rPr>
                <w:rFonts w:ascii="Arial" w:cs="Arial" w:eastAsia="Arial" w:hAnsi="Arial"/>
                <w:sz w:val="16"/>
                <w:szCs w:val="16"/>
                <w:color w:val="auto"/>
                <w:w w:val="89"/>
              </w:rPr>
              <w:t>726</w:t>
            </w:r>
          </w:p>
        </w:tc>
        <w:tc>
          <w:tcPr>
            <w:tcW w:w="980" w:type="dxa"/>
            <w:vAlign w:val="bottom"/>
            <w:gridSpan w:val="2"/>
          </w:tcPr>
          <w:p>
            <w:pPr>
              <w:jc w:val="right"/>
              <w:ind w:right="71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(2,661)</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1,771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(1,903)</w:t>
            </w:r>
          </w:p>
        </w:tc>
      </w:tr>
      <w:tr>
        <w:trPr>
          <w:trHeight w:val="23"/>
        </w:trPr>
        <w:tc>
          <w:tcPr>
            <w:tcW w:w="5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5"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The Company’s effective tax rates yielded a net expense of 2.7% and 14.4% for the three months ended June 30, 2023 and 2022, respectively, and a net expense of 10.7% and 16.9% for the six months ended June 30, 2023 and 2022, respectively.</w:t>
      </w:r>
    </w:p>
    <w:p>
      <w:pPr>
        <w:spacing w:after="0" w:line="76"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During the three months ended June 30, 2023, the net effect of discrete items decreased the effective tax rate by 13.6%. For the six months ended June 30, 2023, the net effect of discrete items decreased the effective tax rate by 7.1%. The discrete items for the three and six months ended June 30, 2023, primarily relate to the non-taxable bargain purchase gain associated with the acquisition of Giphy. Excluding discrete items, the Company’s effective tax rate would have been 16.3% and 17.8% for the three and six months ended June 30, 2023, respectively.</w:t>
      </w:r>
    </w:p>
    <w:p>
      <w:pPr>
        <w:spacing w:after="0" w:line="55"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During the three months ended June 30, 2022, the net effect of discrete items decreased the effective tax rate by 4.9%. For the six months ended June 30, 2022, the net effect of discrete items decreased the effective tax rate by 2.2%. The discrete items for the three and six ended June 30, 2022, primarily relate to windfall tax benefits associated with equity-based compensation. Excluding discrete items, the Company’s effective tax rate would have been 19.3% and 19.1% for the three and six months ended June 30, 2022, respectively.</w:t>
      </w:r>
    </w:p>
    <w:p>
      <w:pPr>
        <w:spacing w:after="0" w:line="85"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76" w:lineRule="exact"/>
        <w:rPr>
          <w:sz w:val="20"/>
          <w:szCs w:val="20"/>
          <w:color w:val="auto"/>
        </w:rPr>
      </w:pPr>
    </w:p>
    <w:p>
      <w:pPr>
        <w:ind w:right="180" w:firstLine="395"/>
        <w:spacing w:after="0" w:line="324" w:lineRule="auto"/>
        <w:rPr>
          <w:sz w:val="20"/>
          <w:szCs w:val="20"/>
          <w:color w:val="auto"/>
        </w:rPr>
      </w:pPr>
      <w:r>
        <w:rPr>
          <w:rFonts w:ascii="Arial" w:cs="Arial" w:eastAsia="Arial" w:hAnsi="Arial"/>
          <w:sz w:val="16"/>
          <w:szCs w:val="16"/>
          <w:color w:val="auto"/>
        </w:rPr>
        <w:t>During the three and six months ended June 30, 2023 and 2022, uncertain tax positions recorded by the Company were not significant. To the extent the remaining uncertain tax positions are ultimately recognized, the Company’s effective tax rate may be impacted in future periods.</w:t>
      </w:r>
    </w:p>
    <w:p>
      <w:pPr>
        <w:spacing w:after="0" w:line="30"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six months ended June 30, 2023 and 2022.</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During the six months ended June 30, 2023 and 2022, the Company paid net cash taxes of $6.8 million and $12.7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54" w:lineRule="exact"/>
        <w:rPr>
          <w:sz w:val="20"/>
          <w:szCs w:val="20"/>
          <w:color w:val="auto"/>
        </w:rPr>
      </w:pPr>
    </w:p>
    <w:p>
      <w:pPr>
        <w:ind w:right="280" w:firstLine="395"/>
        <w:spacing w:after="0" w:line="299"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76"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and six months ended June 30, 2023 and 2022 (in thousands):</w:t>
      </w: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23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4"/>
          </w:tcPr>
          <w:p>
            <w:pPr>
              <w:jc w:val="right"/>
              <w:ind w:right="54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50,013</w:t>
            </w:r>
          </w:p>
        </w:tc>
        <w:tc>
          <w:tcPr>
            <w:tcW w:w="980" w:type="dxa"/>
            <w:vAlign w:val="bottom"/>
            <w:gridSpan w:val="2"/>
            <w:shd w:val="clear" w:color="auto" w:fill="CCEEFF"/>
          </w:tcPr>
          <w:p>
            <w:pPr>
              <w:jc w:val="right"/>
              <w:ind w:right="685"/>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19,445</w:t>
            </w:r>
          </w:p>
        </w:tc>
        <w:tc>
          <w:tcPr>
            <w:tcW w:w="440" w:type="dxa"/>
            <w:vAlign w:val="bottom"/>
            <w:gridSpan w:val="2"/>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82,856</w:t>
            </w:r>
          </w:p>
        </w:tc>
        <w:tc>
          <w:tcPr>
            <w:tcW w:w="460" w:type="dxa"/>
            <w:vAlign w:val="bottom"/>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to compute basic net income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w w:val="89"/>
              </w:rPr>
              <w:t>36,047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w w:val="89"/>
              </w:rPr>
              <w:t>36,123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35,952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36,213</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potential common shares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1"/>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Unvested restricted stock awards</w:t>
            </w: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04"/>
        </w:trPr>
        <w:tc>
          <w:tcPr>
            <w:tcW w:w="5340" w:type="dxa"/>
            <w:vAlign w:val="bottom"/>
          </w:tcPr>
          <w:p>
            <w:pPr>
              <w:ind w:left="140"/>
              <w:spacing w:after="0"/>
              <w:rPr>
                <w:sz w:val="20"/>
                <w:szCs w:val="20"/>
                <w:color w:val="auto"/>
              </w:rPr>
            </w:pPr>
            <w:r>
              <w:rPr>
                <w:rFonts w:ascii="Arial" w:cs="Arial" w:eastAsia="Arial" w:hAnsi="Arial"/>
                <w:sz w:val="16"/>
                <w:szCs w:val="16"/>
                <w:color w:val="auto"/>
              </w:rPr>
              <w:t>Shares used to compute diluted net income per share</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36,406</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36,578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36,890</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net income per share</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Arial" w:cs="Arial" w:eastAsia="Arial" w:hAnsi="Arial"/>
                <w:sz w:val="16"/>
                <w:szCs w:val="16"/>
                <w:color w:val="auto"/>
              </w:rPr>
              <w:t>Diluted net income per share</w:t>
            </w:r>
          </w:p>
        </w:tc>
        <w:tc>
          <w:tcPr>
            <w:tcW w:w="860" w:type="dxa"/>
            <w:vAlign w:val="bottom"/>
          </w:tcPr>
          <w:p>
            <w:pPr>
              <w:jc w:val="right"/>
              <w:ind w:right="70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1.37</w:t>
            </w:r>
          </w:p>
        </w:tc>
        <w:tc>
          <w:tcPr>
            <w:tcW w:w="980" w:type="dxa"/>
            <w:vAlign w:val="bottom"/>
            <w:gridSpan w:val="2"/>
          </w:tcPr>
          <w:p>
            <w:pPr>
              <w:jc w:val="right"/>
              <w:ind w:right="685"/>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0.53</w:t>
            </w:r>
          </w:p>
        </w:tc>
        <w:tc>
          <w:tcPr>
            <w:tcW w:w="44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2.27</w:t>
            </w:r>
          </w:p>
        </w:tc>
        <w:tc>
          <w:tcPr>
            <w:tcW w:w="46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0"/>
              <w:spacing w:after="0"/>
              <w:rPr>
                <w:sz w:val="20"/>
                <w:szCs w:val="20"/>
                <w:color w:val="auto"/>
              </w:rPr>
            </w:pPr>
            <w:r>
              <w:rPr>
                <w:rFonts w:ascii="Arial" w:cs="Arial" w:eastAsia="Arial" w:hAnsi="Arial"/>
                <w:sz w:val="16"/>
                <w:szCs w:val="16"/>
                <w:color w:val="auto"/>
              </w:rPr>
              <w:t>Dilutive shares included in the calculation</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shares excluded from the calculation</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 based on customer location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84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2840" w:type="dxa"/>
            <w:vAlign w:val="bottom"/>
            <w:gridSpan w:val="4"/>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740" w:type="dxa"/>
            <w:vAlign w:val="bottom"/>
          </w:tcPr>
          <w:p>
            <w:pPr>
              <w:spacing w:after="0"/>
              <w:rPr>
                <w:sz w:val="15"/>
                <w:szCs w:val="15"/>
                <w:color w:val="auto"/>
              </w:rPr>
            </w:pPr>
          </w:p>
        </w:tc>
        <w:tc>
          <w:tcPr>
            <w:tcW w:w="10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060" w:type="dxa"/>
            <w:vAlign w:val="bottom"/>
            <w:shd w:val="clear" w:color="auto" w:fill="CCEEFF"/>
          </w:tcPr>
          <w:p>
            <w:pPr>
              <w:jc w:val="right"/>
              <w:ind w:right="885"/>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96,202</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85,896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195,342</w:t>
            </w: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165,839</w:t>
            </w: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color w:val="auto"/>
              </w:rPr>
              <w:t>Europe</w:t>
            </w: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58,413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62,931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117,447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125,484</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54,225</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58,045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111,331</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114,681</w:t>
            </w:r>
          </w:p>
        </w:tc>
        <w:tc>
          <w:tcPr>
            <w:tcW w:w="0" w:type="dxa"/>
            <w:vAlign w:val="bottom"/>
          </w:tcPr>
          <w:p>
            <w:pPr>
              <w:spacing w:after="0"/>
              <w:rPr>
                <w:sz w:val="1"/>
                <w:szCs w:val="1"/>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1060" w:type="dxa"/>
            <w:vAlign w:val="bottom"/>
          </w:tcPr>
          <w:p>
            <w:pPr>
              <w:jc w:val="right"/>
              <w:ind w:right="885"/>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208,840</w:t>
            </w:r>
          </w:p>
        </w:tc>
        <w:tc>
          <w:tcPr>
            <w:tcW w:w="1160" w:type="dxa"/>
            <w:vAlign w:val="bottom"/>
            <w:gridSpan w:val="2"/>
          </w:tcPr>
          <w:p>
            <w:pPr>
              <w:jc w:val="right"/>
              <w:ind w:right="87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w w:val="96"/>
              </w:rPr>
              <w:t>206,872</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424,120</w:t>
            </w:r>
          </w:p>
        </w:tc>
        <w:tc>
          <w:tcPr>
            <w:tcW w:w="6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406,004</w:t>
            </w:r>
          </w:p>
        </w:tc>
        <w:tc>
          <w:tcPr>
            <w:tcW w:w="0" w:type="dxa"/>
            <w:vAlign w:val="bottom"/>
          </w:tcPr>
          <w:p>
            <w:pPr>
              <w:spacing w:after="0"/>
              <w:rPr>
                <w:sz w:val="1"/>
                <w:szCs w:val="1"/>
                <w:color w:val="auto"/>
              </w:rPr>
            </w:pPr>
          </w:p>
        </w:tc>
      </w:tr>
      <w:tr>
        <w:trPr>
          <w:trHeight w:val="23"/>
        </w:trPr>
        <w:tc>
          <w:tcPr>
            <w:tcW w:w="4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140" w:firstLine="395"/>
        <w:spacing w:after="0" w:line="324" w:lineRule="auto"/>
        <w:rPr>
          <w:sz w:val="20"/>
          <w:szCs w:val="20"/>
          <w:color w:val="auto"/>
        </w:rPr>
      </w:pPr>
      <w:r>
        <w:rPr>
          <w:rFonts w:ascii="Arial" w:cs="Arial" w:eastAsia="Arial" w:hAnsi="Arial"/>
          <w:sz w:val="16"/>
          <w:szCs w:val="16"/>
          <w:color w:val="auto"/>
        </w:rPr>
        <w:t>The United States, included in North America in the above table, accounted for 43% and 38% of consolidated revenue for the six months ended June 30, 2023 and 2022, respectively. No other country accounts for more than 10% of the Company’s revenue in any period presented.</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184"/>
              <w:spacing w:after="0"/>
              <w:rPr>
                <w:sz w:val="20"/>
                <w:szCs w:val="20"/>
                <w:color w:val="auto"/>
              </w:rPr>
            </w:pPr>
            <w:r>
              <w:rPr>
                <w:rFonts w:ascii="Arial" w:cs="Arial" w:eastAsia="Arial" w:hAnsi="Arial"/>
                <w:sz w:val="14"/>
                <w:szCs w:val="14"/>
                <w:b w:val="1"/>
                <w:bCs w:val="1"/>
                <w:color w:val="auto"/>
                <w:w w:val="95"/>
              </w:rPr>
              <w:t>As of December 31,</w:t>
            </w:r>
          </w:p>
        </w:tc>
      </w:tr>
      <w:tr>
        <w:trPr>
          <w:trHeight w:val="203"/>
        </w:trPr>
        <w:tc>
          <w:tcPr>
            <w:tcW w:w="77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2022</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42,266</w:t>
            </w:r>
          </w:p>
        </w:tc>
      </w:tr>
      <w:tr>
        <w:trPr>
          <w:trHeight w:val="207"/>
        </w:trPr>
        <w:tc>
          <w:tcPr>
            <w:tcW w:w="7720" w:type="dxa"/>
            <w:vAlign w:val="bottom"/>
          </w:tcPr>
          <w:p>
            <w:pPr>
              <w:ind w:left="20"/>
              <w:spacing w:after="0"/>
              <w:rPr>
                <w:sz w:val="20"/>
                <w:szCs w:val="20"/>
                <w:color w:val="auto"/>
              </w:rPr>
            </w:pPr>
            <w:r>
              <w:rPr>
                <w:rFonts w:ascii="Arial" w:cs="Arial" w:eastAsia="Arial" w:hAnsi="Arial"/>
                <w:sz w:val="16"/>
                <w:szCs w:val="16"/>
                <w:color w:val="auto"/>
              </w:rPr>
              <w:t>Europe</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15,435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12,079</w:t>
            </w:r>
          </w:p>
        </w:tc>
      </w:tr>
      <w:tr>
        <w:trPr>
          <w:trHeight w:val="21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4"/>
        </w:trPr>
        <w:tc>
          <w:tcPr>
            <w:tcW w:w="7720" w:type="dxa"/>
            <w:vAlign w:val="bottom"/>
          </w:tcPr>
          <w:p>
            <w:pPr>
              <w:ind w:left="140"/>
              <w:spacing w:after="0"/>
              <w:rPr>
                <w:sz w:val="20"/>
                <w:szCs w:val="20"/>
                <w:color w:val="auto"/>
              </w:rPr>
            </w:pPr>
            <w:r>
              <w:rPr>
                <w:rFonts w:ascii="Arial" w:cs="Arial" w:eastAsia="Arial" w:hAnsi="Arial"/>
                <w:sz w:val="16"/>
                <w:szCs w:val="16"/>
                <w:color w:val="auto"/>
              </w:rPr>
              <w:t>Total long-lived tangible assets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59,434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54,548</w:t>
            </w:r>
          </w:p>
        </w:tc>
      </w:tr>
      <w:tr>
        <w:trPr>
          <w:trHeight w:val="23"/>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80" w:firstLine="395"/>
        <w:spacing w:after="0" w:line="327" w:lineRule="auto"/>
        <w:rPr>
          <w:sz w:val="20"/>
          <w:szCs w:val="20"/>
          <w:color w:val="auto"/>
        </w:rPr>
      </w:pPr>
      <w:r>
        <w:rPr>
          <w:rFonts w:ascii="Arial" w:cs="Arial" w:eastAsia="Arial" w:hAnsi="Arial"/>
          <w:sz w:val="15"/>
          <w:szCs w:val="15"/>
          <w:color w:val="auto"/>
        </w:rPr>
        <w:t>The United States, included in North America in the above table, accounted for 70% and 73% of total long-lived tangible assets as of June 30, 2023 and December 31, 2022, respectively. Ireland, included in Europe in the above table, accounted for 20% and 17% of total long-lived tangible assets as of June 30, 2023 and December 31, 2022, respectively. No other country accounts for more than 10% of the Company’s long-lived tangible assets in any period presented.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160020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15" w:lineRule="exact"/>
        <w:rPr>
          <w:sz w:val="20"/>
          <w:szCs w:val="20"/>
          <w:color w:val="auto"/>
        </w:rPr>
      </w:pPr>
    </w:p>
    <w:p>
      <w:pPr>
        <w:ind w:right="140" w:firstLine="395"/>
        <w:spacing w:after="0" w:line="291" w:lineRule="auto"/>
        <w:rPr>
          <w:sz w:val="20"/>
          <w:szCs w:val="20"/>
          <w:color w:val="auto"/>
        </w:rPr>
      </w:pPr>
      <w:r>
        <w:rPr>
          <w:rFonts w:ascii="Arial" w:cs="Arial" w:eastAsia="Arial" w:hAnsi="Arial"/>
          <w:sz w:val="16"/>
          <w:szCs w:val="16"/>
          <w:color w:val="auto"/>
        </w:rPr>
        <w:t>As of June 30, 2023, the Company had total non-lease obligations in the amount of approximately $78.1 million, which consisted primarily of minimum royalty guarantees and unconditional purchase obligations related to contracts for infrastructure and other business services. As of June 30, 2023, the Company’s non-lease obligations for the remainder of 2023 and for the years ending December 31, 2024, 2025, 2026, 2027 and 2028 were approximately $30.6 million, $35.0 million, $10.6 million, $1.3 million, $0.4 million and $0.2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48"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Employment Agreements</w:t>
      </w:r>
    </w:p>
    <w:p>
      <w:pPr>
        <w:spacing w:after="0" w:line="109"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June 30, 2023,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66"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76"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5" w:lineRule="exact"/>
        <w:rPr>
          <w:sz w:val="20"/>
          <w:szCs w:val="20"/>
          <w:color w:val="auto"/>
        </w:rPr>
      </w:pPr>
    </w:p>
    <w:p>
      <w:pPr>
        <w:ind w:right="220" w:firstLine="395"/>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2022 Form 10-K.</w:t>
      </w:r>
    </w:p>
    <w:p>
      <w:pPr>
        <w:spacing w:after="0" w:line="124" w:lineRule="exact"/>
        <w:rPr>
          <w:sz w:val="20"/>
          <w:szCs w:val="20"/>
          <w:color w:val="auto"/>
        </w:rPr>
      </w:pPr>
    </w:p>
    <w:p>
      <w:pPr>
        <w:ind w:right="280" w:firstLine="395"/>
        <w:spacing w:after="0" w:line="248" w:lineRule="auto"/>
        <w:rPr>
          <w:sz w:val="20"/>
          <w:szCs w:val="20"/>
          <w:color w:val="auto"/>
        </w:rPr>
      </w:pPr>
      <w:r>
        <w:rPr>
          <w:rFonts w:ascii="Arial" w:cs="Arial" w:eastAsia="Arial" w:hAnsi="Arial"/>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2022 Form 10-K for additional discussion of the risks and uncertainties that could cause our actual results to differ materially from those expressed or implied in our forward-looking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54"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Shutterstock, Inc. (referred to herein as the “Company”, “we,” “our,” and “us”) is a premier partner for transformative brands, digital media and marketing companies. Our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key content offerings include:</w:t>
      </w:r>
    </w:p>
    <w:p>
      <w:pPr>
        <w:spacing w:after="0" w:line="148" w:lineRule="exact"/>
        <w:rPr>
          <w:sz w:val="20"/>
          <w:szCs w:val="20"/>
          <w:color w:val="auto"/>
        </w:rPr>
      </w:pPr>
    </w:p>
    <w:p>
      <w:pPr>
        <w:ind w:left="1040" w:right="180" w:hanging="403"/>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15" w:lineRule="exact"/>
        <w:rPr>
          <w:rFonts w:ascii="Arial" w:cs="Arial" w:eastAsia="Arial" w:hAnsi="Arial"/>
          <w:sz w:val="18"/>
          <w:szCs w:val="18"/>
          <w:color w:val="auto"/>
        </w:rPr>
      </w:pPr>
    </w:p>
    <w:p>
      <w:pPr>
        <w:ind w:left="1040" w:hanging="403"/>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2" w:lineRule="exact"/>
        <w:rPr>
          <w:rFonts w:ascii="Arial" w:cs="Arial" w:eastAsia="Arial" w:hAnsi="Arial"/>
          <w:sz w:val="18"/>
          <w:szCs w:val="18"/>
          <w:color w:val="auto"/>
        </w:rPr>
      </w:pPr>
    </w:p>
    <w:p>
      <w:pPr>
        <w:ind w:left="1040" w:hanging="403"/>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48" w:lineRule="exact"/>
        <w:rPr>
          <w:rFonts w:ascii="Arial" w:cs="Arial" w:eastAsia="Arial" w:hAnsi="Arial"/>
          <w:sz w:val="18"/>
          <w:szCs w:val="18"/>
          <w:color w:val="auto"/>
        </w:rPr>
      </w:pPr>
    </w:p>
    <w:p>
      <w:pPr>
        <w:ind w:left="1040" w:right="600" w:hanging="403"/>
        <w:spacing w:after="0" w:line="261"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 Dimensional (“3D”) Models - consisting of 3D models, used in a variety of industries such as advertising, media and video production, gaming, retail, education, design and architecture.</w:t>
      </w:r>
    </w:p>
    <w:p>
      <w:pPr>
        <w:spacing w:after="0" w:line="116"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Our offerings are distributed to customers under the following brands: Shutterstock; Pond5; Giphy; TurboSquid; Offset; PremiumBeat; Bigstock; PicMonkey; and Splash News.</w:t>
      </w:r>
    </w:p>
    <w:p>
      <w:pPr>
        <w:spacing w:after="0" w:line="102"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 In addition, our collection of images, footage clips, music tracks and 3D models is also distributed through our computer vision offering which is used by large technology companies to train AI models.</w:t>
      </w:r>
    </w:p>
    <w:p>
      <w:pPr>
        <w:spacing w:after="0" w:line="124"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Pond5 is a video-first content marketplace which expands the Company’s content offerings across footage, image and music. PicMonkey is a leading online graphic design and image editing platform. TurboSquid operates a marketplace that offers more than one million 3D models and a 2 dimensional (“2D”) marketplace derived from 3D objects. Our Offset brand provides authentic and exceptional content for high-impact use cases that require extraordinary images, featuring work from top assignment photographers and illustrators from around the world. PremiumBeat offers exclusive high-quality music tracks and provides producers, filmmakers and marketers the ability to search handpicked production music from the world’s leading composers. Bigstock maintains a separate content library tailored for creators seeking to incorporate cost-effective imagery into their projects.</w:t>
      </w:r>
    </w:p>
    <w:p>
      <w:pPr>
        <w:spacing w:after="0" w:line="102" w:lineRule="exact"/>
        <w:rPr>
          <w:sz w:val="20"/>
          <w:szCs w:val="20"/>
          <w:color w:val="auto"/>
        </w:rPr>
      </w:pPr>
    </w:p>
    <w:p>
      <w:pPr>
        <w:jc w:val="both"/>
        <w:ind w:right="220" w:firstLine="395"/>
        <w:spacing w:after="0" w:line="252" w:lineRule="auto"/>
        <w:rPr>
          <w:sz w:val="20"/>
          <w:szCs w:val="20"/>
          <w:color w:val="auto"/>
        </w:rPr>
      </w:pPr>
      <w:r>
        <w:rPr>
          <w:rFonts w:ascii="Arial" w:cs="Arial" w:eastAsia="Arial" w:hAnsi="Arial"/>
          <w:sz w:val="18"/>
          <w:szCs w:val="18"/>
          <w:color w:val="auto"/>
        </w:rPr>
        <w:t>Over 2.2 million active, paying customers contributed to our revenue for the twelve-month period ended June 30, 2023. As of June 30, 2023, more than 2.7 million approved contributors made their images, footage and music tracks available in our collection, which has grown to more than 734 million images and more than 50 million footage clips as of June 30, 2023. This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makes our collection of content one of the largest of its kind, and we delivered 81.2 million paid downloads to our customers across all of our brands during the six months ended June 30, 2023.</w:t>
      </w:r>
    </w:p>
    <w:p>
      <w:pPr>
        <w:spacing w:after="0" w:line="102"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24" w:lineRule="exact"/>
        <w:rPr>
          <w:sz w:val="20"/>
          <w:szCs w:val="20"/>
          <w:color w:val="auto"/>
        </w:rPr>
      </w:pPr>
    </w:p>
    <w:p>
      <w:pPr>
        <w:ind w:right="400" w:firstLine="395"/>
        <w:spacing w:after="0" w:line="252" w:lineRule="auto"/>
        <w:rPr>
          <w:sz w:val="20"/>
          <w:szCs w:val="20"/>
          <w:color w:val="auto"/>
        </w:rPr>
      </w:pPr>
      <w:r>
        <w:rPr>
          <w:rFonts w:ascii="Arial" w:cs="Arial" w:eastAsia="Arial" w:hAnsi="Arial"/>
          <w:sz w:val="18"/>
          <w:szCs w:val="18"/>
          <w:color w:val="auto"/>
        </w:rPr>
        <w:t>In October 2022, Shutterstock announced our strategic partnership with OpenAI, an AI research and deployment company. In 2023, Shutterstock integrated Dall-E 2, OpenAI’s tool for AI-generated content into the Shutterstock platform to enable our customers to input keywords and generate unique images based on their specific criteria.</w:t>
      </w:r>
    </w:p>
    <w:p>
      <w:pPr>
        <w:spacing w:after="0" w:line="124" w:lineRule="exact"/>
        <w:rPr>
          <w:sz w:val="20"/>
          <w:szCs w:val="20"/>
          <w:color w:val="auto"/>
        </w:rPr>
      </w:pPr>
    </w:p>
    <w:p>
      <w:pPr>
        <w:ind w:right="140" w:firstLine="395"/>
        <w:spacing w:after="0" w:line="248" w:lineRule="auto"/>
        <w:rPr>
          <w:sz w:val="20"/>
          <w:szCs w:val="20"/>
          <w:color w:val="auto"/>
        </w:rPr>
      </w:pPr>
      <w:r>
        <w:rPr>
          <w:rFonts w:ascii="Arial" w:cs="Arial" w:eastAsia="Arial" w:hAnsi="Arial"/>
          <w:sz w:val="18"/>
          <w:szCs w:val="18"/>
          <w:color w:val="auto"/>
        </w:rPr>
        <w:t>Through our platform, we generate revenue by licensing content to our customers. During the six months ended June 30, 2023, 55% of our revenue and the majority of our content licenses came from our E-commerce sales channel. The majority of our customers license content directly through our self-service web properties.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15" w:lineRule="exact"/>
        <w:rPr>
          <w:sz w:val="20"/>
          <w:szCs w:val="20"/>
          <w:color w:val="auto"/>
        </w:rPr>
      </w:pPr>
    </w:p>
    <w:p>
      <w:pPr>
        <w:ind w:right="40" w:firstLine="395"/>
        <w:spacing w:after="0" w:line="280" w:lineRule="auto"/>
        <w:rPr>
          <w:sz w:val="20"/>
          <w:szCs w:val="20"/>
          <w:color w:val="auto"/>
        </w:rPr>
      </w:pPr>
      <w:r>
        <w:rPr>
          <w:rFonts w:ascii="Arial" w:cs="Arial" w:eastAsia="Arial" w:hAnsi="Arial"/>
          <w:sz w:val="16"/>
          <w:szCs w:val="16"/>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access to (i) Shutterstock Editorial, which includes our library of editorial images and videos, (ii) Shutterstock Studios, our offering which provides custom, high-quality content matched with production tools and services at scale, and (iii) computer vision, our data partnerships offering which provides metadata associated with our content collection, used to train AI models. Our range of solutions, including the depth of our API platform integrations, appeals to a broad and diverse customer base and enables us to adapt and evolve with the needs of our more high touch clients to deliver capabilities that embed deep within their workflows. Our Enterprise sales channel provided approximately 45% of our revenue for the six months ended June 30, 2023.</w:t>
      </w: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 of Giphy, Inc.</w:t>
      </w:r>
    </w:p>
    <w:p>
      <w:pPr>
        <w:spacing w:after="0" w:line="135"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On May 22, 2023, we entered into a Stock Purchase Agreement with Meta Platforms, Inc. (“Meta”) dated May 22, 2023 (the “Purchase Agreement”). On June 23, 2023, we completed its acquisition of all of the outstanding shares of Giphy, Inc. (“Giphy”) from Meta. The consideration payable, pursuant to the Purchase Agreement, is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102" w:lineRule="exact"/>
        <w:rPr>
          <w:sz w:val="20"/>
          <w:szCs w:val="20"/>
          <w:color w:val="auto"/>
        </w:rPr>
      </w:pPr>
    </w:p>
    <w:p>
      <w:pPr>
        <w:ind w:right="140" w:firstLine="395"/>
        <w:spacing w:after="0" w:line="278" w:lineRule="auto"/>
        <w:rPr>
          <w:sz w:val="20"/>
          <w:szCs w:val="20"/>
          <w:color w:val="auto"/>
        </w:rPr>
      </w:pPr>
      <w:r>
        <w:rPr>
          <w:rFonts w:ascii="Arial" w:cs="Arial" w:eastAsia="Arial" w:hAnsi="Arial"/>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Shutterstock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spacing w:after="0" w:line="1" w:lineRule="exact"/>
        <w:rPr>
          <w:sz w:val="20"/>
          <w:szCs w:val="20"/>
          <w:color w:val="auto"/>
        </w:rPr>
      </w:pPr>
    </w:p>
    <w:p>
      <w:pPr>
        <w:ind w:right="20" w:firstLine="5"/>
        <w:spacing w:after="0" w:line="248"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nonrecurring items, totaling $87.9 million, comprised of one-time employment inducement bonuses and the cash value of unvested Meta equity awards (the “Giphy Retention Compensation”).</w:t>
      </w:r>
    </w:p>
    <w:p>
      <w:pPr>
        <w:spacing w:after="0" w:line="87" w:lineRule="exact"/>
        <w:rPr>
          <w:sz w:val="20"/>
          <w:szCs w:val="20"/>
          <w:color w:val="auto"/>
        </w:rPr>
      </w:pPr>
    </w:p>
    <w:p>
      <w:pPr>
        <w:jc w:val="both"/>
        <w:ind w:right="100" w:firstLine="395"/>
        <w:spacing w:after="0" w:line="250" w:lineRule="auto"/>
        <w:rPr>
          <w:sz w:val="20"/>
          <w:szCs w:val="20"/>
          <w:color w:val="auto"/>
        </w:rPr>
      </w:pPr>
      <w:r>
        <w:rPr>
          <w:rFonts w:ascii="Arial" w:cs="Arial" w:eastAsia="Arial" w:hAnsi="Arial"/>
          <w:sz w:val="18"/>
          <w:szCs w:val="18"/>
          <w:color w:val="auto"/>
        </w:rPr>
        <w:t>The Giphy Retention Compensation will be paid to the individuals for being employees of the Company subsequent to the completion of the acquisition. Accordingly, we determined that the payments are for future service requirements and will be reflected as operating expenses, less any amounts earned by the employees prior to the acquisition, in our Statements of Operations as incurred. The Giphy Retention Compensation is reflected as a reduction of the purchase price and has been funded into an escrow account.</w:t>
      </w:r>
    </w:p>
    <w:p>
      <w:pPr>
        <w:spacing w:after="0" w:line="85"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Upon closing of the acquisition, the Company also entered into an agreement with Meta whereby the Company will provide Meta with Giphy content through API services for a period of two years.</w:t>
      </w:r>
    </w:p>
    <w:p>
      <w:pPr>
        <w:spacing w:after="0" w:line="200" w:lineRule="exact"/>
        <w:rPr>
          <w:sz w:val="20"/>
          <w:szCs w:val="20"/>
          <w:color w:val="auto"/>
        </w:rPr>
      </w:pPr>
    </w:p>
    <w:p>
      <w:pPr>
        <w:spacing w:after="0" w:line="31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54" w:lineRule="exact"/>
        <w:rPr>
          <w:sz w:val="20"/>
          <w:szCs w:val="20"/>
          <w:color w:val="auto"/>
        </w:rPr>
      </w:pPr>
    </w:p>
    <w:p>
      <w:pPr>
        <w:ind w:right="40" w:firstLine="395"/>
        <w:spacing w:after="0" w:line="362" w:lineRule="auto"/>
        <w:rPr>
          <w:sz w:val="20"/>
          <w:szCs w:val="20"/>
          <w:color w:val="auto"/>
        </w:rPr>
      </w:pPr>
      <w:r>
        <w:rPr>
          <w:rFonts w:ascii="Arial" w:cs="Arial" w:eastAsia="Arial" w:hAnsi="Arial"/>
          <w:sz w:val="15"/>
          <w:szCs w:val="15"/>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32" w:lineRule="exact"/>
        <w:rPr>
          <w:sz w:val="20"/>
          <w:szCs w:val="20"/>
          <w:color w:val="auto"/>
        </w:rPr>
      </w:pPr>
    </w:p>
    <w:p>
      <w:pPr>
        <w:jc w:val="both"/>
        <w:ind w:right="340" w:firstLine="395"/>
        <w:spacing w:after="0" w:line="250" w:lineRule="auto"/>
        <w:rPr>
          <w:sz w:val="20"/>
          <w:szCs w:val="20"/>
          <w:color w:val="auto"/>
        </w:rPr>
      </w:pPr>
      <w:r>
        <w:rPr>
          <w:rFonts w:ascii="Arial" w:cs="Arial" w:eastAsia="Arial" w:hAnsi="Arial"/>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w:t>
      </w:r>
    </w:p>
    <w:p>
      <w:pPr>
        <w:spacing w:after="0" w:line="109" w:lineRule="exact"/>
        <w:rPr>
          <w:sz w:val="20"/>
          <w:szCs w:val="20"/>
          <w:color w:val="auto"/>
        </w:rPr>
      </w:pPr>
    </w:p>
    <w:p>
      <w:pPr>
        <w:ind w:right="200" w:firstLine="395"/>
        <w:spacing w:after="0" w:line="299" w:lineRule="auto"/>
        <w:rPr>
          <w:sz w:val="20"/>
          <w:szCs w:val="20"/>
          <w:color w:val="auto"/>
        </w:rPr>
      </w:pPr>
      <w:r>
        <w:rPr>
          <w:rFonts w:ascii="Arial" w:cs="Arial" w:eastAsia="Arial" w:hAnsi="Arial"/>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 Revenue</w:t>
      </w:r>
    </w:p>
    <w:p>
      <w:pPr>
        <w:spacing w:after="0" w:line="109"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Revenue Per Customer</w:t>
      </w:r>
    </w:p>
    <w:p>
      <w:pPr>
        <w:spacing w:after="0" w:line="109" w:lineRule="exact"/>
        <w:rPr>
          <w:sz w:val="20"/>
          <w:szCs w:val="20"/>
          <w:color w:val="auto"/>
        </w:rPr>
      </w:pPr>
    </w:p>
    <w:p>
      <w:pPr>
        <w:jc w:val="both"/>
        <w:ind w:right="100" w:firstLine="395"/>
        <w:spacing w:after="0" w:line="299" w:lineRule="auto"/>
        <w:rPr>
          <w:sz w:val="20"/>
          <w:szCs w:val="20"/>
          <w:color w:val="auto"/>
        </w:rPr>
      </w:pPr>
      <w:r>
        <w:rPr>
          <w:rFonts w:ascii="Arial" w:cs="Arial" w:eastAsia="Arial" w:hAnsi="Arial"/>
          <w:sz w:val="16"/>
          <w:szCs w:val="16"/>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109"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 Measuring the number of paid downloads that our customers make in a given period is important because it is a measure of customer engagement on our platform and triggers the recognition of revenue and contributor royalties.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109"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excluding revenue from our Studios business,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and sales channel mix and customer utilization of our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in our Collection</w:t>
      </w:r>
    </w:p>
    <w:p>
      <w:pPr>
        <w:spacing w:after="0" w:line="10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 We believe that our large selection of high-quality content enables us to attract and retain customers and drives our network effect.</w:t>
      </w:r>
    </w:p>
    <w:p>
      <w:pPr>
        <w:spacing w:after="0" w:line="200" w:lineRule="exact"/>
        <w:rPr>
          <w:sz w:val="20"/>
          <w:szCs w:val="20"/>
          <w:color w:val="auto"/>
        </w:rPr>
      </w:pPr>
    </w:p>
    <w:p>
      <w:pPr>
        <w:spacing w:after="0" w:line="29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our key operating metrics, which are unaudited, for the three and six months ended June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2"/>
                <w:szCs w:val="12"/>
                <w:b w:val="1"/>
                <w:bCs w:val="1"/>
                <w:color w:val="auto"/>
              </w:rPr>
              <w:t>Three Months Ended June 30,</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663"/>
              <w:spacing w:after="0"/>
              <w:rPr>
                <w:sz w:val="20"/>
                <w:szCs w:val="20"/>
                <w:color w:val="auto"/>
              </w:rPr>
            </w:pPr>
            <w:r>
              <w:rPr>
                <w:rFonts w:ascii="Arial" w:cs="Arial" w:eastAsia="Arial" w:hAnsi="Arial"/>
                <w:sz w:val="12"/>
                <w:szCs w:val="12"/>
                <w:b w:val="1"/>
                <w:bCs w:val="1"/>
                <w:color w:val="auto"/>
              </w:rPr>
              <w:t>Six Months Ended June 30,</w:t>
            </w:r>
          </w:p>
        </w:tc>
      </w:tr>
      <w:tr>
        <w:trPr>
          <w:trHeight w:val="159"/>
        </w:trPr>
        <w:tc>
          <w:tcPr>
            <w:tcW w:w="5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545"/>
              <w:spacing w:after="0"/>
              <w:rPr>
                <w:sz w:val="20"/>
                <w:szCs w:val="20"/>
                <w:color w:val="auto"/>
              </w:rPr>
            </w:pPr>
            <w:r>
              <w:rPr>
                <w:rFonts w:ascii="Arial" w:cs="Arial" w:eastAsia="Arial" w:hAnsi="Arial"/>
                <w:sz w:val="12"/>
                <w:szCs w:val="12"/>
                <w:b w:val="1"/>
                <w:bCs w:val="1"/>
                <w:color w:val="auto"/>
              </w:rPr>
              <w:t>2023</w:t>
            </w:r>
          </w:p>
        </w:tc>
        <w:tc>
          <w:tcPr>
            <w:tcW w:w="420" w:type="dxa"/>
            <w:vAlign w:val="bottom"/>
          </w:tcPr>
          <w:p>
            <w:pPr>
              <w:spacing w:after="0"/>
              <w:rPr>
                <w:sz w:val="13"/>
                <w:szCs w:val="13"/>
                <w:color w:val="auto"/>
              </w:rPr>
            </w:pPr>
          </w:p>
        </w:tc>
        <w:tc>
          <w:tcPr>
            <w:tcW w:w="1040" w:type="dxa"/>
            <w:vAlign w:val="bottom"/>
          </w:tcPr>
          <w:p>
            <w:pPr>
              <w:jc w:val="right"/>
              <w:ind w:right="483"/>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ind w:right="525"/>
              <w:spacing w:after="0"/>
              <w:rPr>
                <w:sz w:val="20"/>
                <w:szCs w:val="20"/>
                <w:color w:val="auto"/>
              </w:rPr>
            </w:pPr>
            <w:r>
              <w:rPr>
                <w:rFonts w:ascii="Arial" w:cs="Arial" w:eastAsia="Arial" w:hAnsi="Arial"/>
                <w:sz w:val="12"/>
                <w:szCs w:val="12"/>
                <w:b w:val="1"/>
                <w:bCs w:val="1"/>
                <w:color w:val="auto"/>
              </w:rPr>
              <w:t>2023</w:t>
            </w:r>
          </w:p>
        </w:tc>
        <w:tc>
          <w:tcPr>
            <w:tcW w:w="420" w:type="dxa"/>
            <w:vAlign w:val="bottom"/>
          </w:tcPr>
          <w:p>
            <w:pPr>
              <w:spacing w:after="0"/>
              <w:rPr>
                <w:sz w:val="13"/>
                <w:szCs w:val="13"/>
                <w:color w:val="auto"/>
              </w:rPr>
            </w:pPr>
          </w:p>
        </w:tc>
        <w:tc>
          <w:tcPr>
            <w:tcW w:w="1060" w:type="dxa"/>
            <w:vAlign w:val="bottom"/>
          </w:tcPr>
          <w:p>
            <w:pPr>
              <w:jc w:val="right"/>
              <w:ind w:right="503"/>
              <w:spacing w:after="0"/>
              <w:rPr>
                <w:sz w:val="20"/>
                <w:szCs w:val="20"/>
                <w:color w:val="auto"/>
              </w:rPr>
            </w:pPr>
            <w:r>
              <w:rPr>
                <w:rFonts w:ascii="Arial" w:cs="Arial" w:eastAsia="Arial" w:hAnsi="Arial"/>
                <w:sz w:val="12"/>
                <w:szCs w:val="12"/>
                <w:b w:val="1"/>
                <w:bCs w:val="1"/>
                <w:color w:val="auto"/>
              </w:rPr>
              <w:t>2022</w:t>
            </w:r>
          </w:p>
        </w:tc>
      </w:tr>
      <w:tr>
        <w:trPr>
          <w:trHeight w:val="25"/>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51"/>
        </w:trPr>
        <w:tc>
          <w:tcPr>
            <w:tcW w:w="5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Subscribers (end of period)</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556,000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556,000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368,000</w:t>
            </w:r>
          </w:p>
        </w:tc>
      </w:tr>
      <w:tr>
        <w:trPr>
          <w:trHeight w:val="211"/>
        </w:trPr>
        <w:tc>
          <w:tcPr>
            <w:tcW w:w="5340" w:type="dxa"/>
            <w:vAlign w:val="bottom"/>
          </w:tcPr>
          <w:p>
            <w:pPr>
              <w:ind w:left="20"/>
              <w:spacing w:after="0" w:line="210" w:lineRule="exact"/>
              <w:rPr>
                <w:sz w:val="20"/>
                <w:szCs w:val="20"/>
                <w:color w:val="auto"/>
              </w:rPr>
            </w:pPr>
            <w:r>
              <w:rPr>
                <w:rFonts w:ascii="Arial" w:cs="Arial" w:eastAsia="Arial" w:hAnsi="Arial"/>
                <w:sz w:val="16"/>
                <w:szCs w:val="16"/>
                <w:color w:val="auto"/>
              </w:rPr>
              <w:t>Subscriber revenue (in millions)</w:t>
            </w:r>
            <w:r>
              <w:rPr>
                <w:rFonts w:ascii="Arial" w:cs="Arial" w:eastAsia="Arial" w:hAnsi="Arial"/>
                <w:sz w:val="20"/>
                <w:szCs w:val="20"/>
                <w:color w:val="auto"/>
                <w:vertAlign w:val="superscript"/>
              </w:rPr>
              <w:t>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87.4</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178.0</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170.1</w:t>
            </w:r>
          </w:p>
        </w:tc>
      </w:tr>
      <w:tr>
        <w:trPr>
          <w:trHeight w:val="92"/>
        </w:trPr>
        <w:tc>
          <w:tcPr>
            <w:tcW w:w="5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Arial" w:cs="Arial" w:eastAsia="Arial" w:hAnsi="Arial"/>
                <w:sz w:val="16"/>
                <w:szCs w:val="16"/>
                <w:color w:val="auto"/>
              </w:rPr>
              <w:t>Average revenue per customer (last twelve months)</w:t>
            </w:r>
            <w:r>
              <w:rPr>
                <w:rFonts w:ascii="Arial" w:cs="Arial" w:eastAsia="Arial" w:hAnsi="Arial"/>
                <w:sz w:val="20"/>
                <w:szCs w:val="20"/>
                <w:color w:val="auto"/>
                <w:vertAlign w:val="superscript"/>
              </w:rPr>
              <w:t>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374</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359</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374</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359</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downloads (in millions)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38.5</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81.2</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07"/>
        </w:trPr>
        <w:tc>
          <w:tcPr>
            <w:tcW w:w="5340" w:type="dxa"/>
            <w:vAlign w:val="bottom"/>
          </w:tcPr>
          <w:p>
            <w:pPr>
              <w:ind w:left="20"/>
              <w:spacing w:after="0"/>
              <w:rPr>
                <w:sz w:val="20"/>
                <w:szCs w:val="20"/>
                <w:color w:val="auto"/>
              </w:rPr>
            </w:pPr>
            <w:r>
              <w:rPr>
                <w:rFonts w:ascii="Arial" w:cs="Arial" w:eastAsia="Arial" w:hAnsi="Arial"/>
                <w:sz w:val="16"/>
                <w:szCs w:val="16"/>
                <w:color w:val="auto"/>
              </w:rPr>
              <w:t>Revenue per download</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4.71</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4.56</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Content in our collection (end of period, in millions):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5340" w:type="dxa"/>
            <w:vAlign w:val="bottom"/>
          </w:tcPr>
          <w:p>
            <w:pPr>
              <w:ind w:left="140"/>
              <w:spacing w:after="0"/>
              <w:rPr>
                <w:sz w:val="20"/>
                <w:szCs w:val="20"/>
                <w:color w:val="auto"/>
              </w:rPr>
            </w:pPr>
            <w:r>
              <w:rPr>
                <w:rFonts w:ascii="Arial" w:cs="Arial" w:eastAsia="Arial" w:hAnsi="Arial"/>
                <w:sz w:val="16"/>
                <w:szCs w:val="16"/>
                <w:color w:val="auto"/>
              </w:rPr>
              <w:t>Images</w:t>
            </w:r>
          </w:p>
        </w:tc>
        <w:tc>
          <w:tcPr>
            <w:tcW w:w="32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734</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734</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w:t>
            </w:r>
          </w:p>
        </w:tc>
      </w:tr>
      <w:tr>
        <w:trPr>
          <w:trHeight w:val="214"/>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Footage clips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w:t>
      </w:r>
    </w:p>
    <w:p>
      <w:pPr>
        <w:spacing w:after="0" w:line="160" w:lineRule="exact"/>
        <w:rPr>
          <w:sz w:val="20"/>
          <w:szCs w:val="20"/>
          <w:color w:val="auto"/>
        </w:rPr>
      </w:pPr>
    </w:p>
    <w:p>
      <w:pPr>
        <w:ind w:right="80" w:firstLine="5"/>
        <w:spacing w:after="0" w:line="231" w:lineRule="auto"/>
        <w:tabs>
          <w:tab w:leader="none" w:pos="86"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our acquisition of Giphy.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4"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06"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2022 Form 10-K, under “Management’s Discussion and Analysis of Financial Condition and Results of Operations—Critical Accounting Estimates.”</w:t>
      </w:r>
    </w:p>
    <w:p>
      <w:pPr>
        <w:spacing w:after="0" w:line="76"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2022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distribute our content offerings through two primary channels:</w:t>
      </w:r>
    </w:p>
    <w:p>
      <w:pPr>
        <w:spacing w:after="0" w:line="109"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i w:val="1"/>
          <w:iCs w:val="1"/>
          <w:color w:val="auto"/>
        </w:rPr>
        <w:t xml:space="preserve">E-commerce: </w:t>
      </w:r>
      <w:r>
        <w:rPr>
          <w:rFonts w:ascii="Arial" w:cs="Arial" w:eastAsia="Arial" w:hAnsi="Arial"/>
          <w:sz w:val="16"/>
          <w:szCs w:val="16"/>
          <w:color w:val="auto"/>
        </w:rPr>
        <w:t>The majority of our customers license content directly through our self-service web properties. E-commerce customers have the flexibility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55"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We also have a base of customers with unique content, licensing and workflow needs. These customers benefit from communication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revenues by distribution channel for the three and six months ended June 30, 2023 and 2022 are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8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r>
      <w:tr>
        <w:trPr>
          <w:trHeight w:val="183"/>
        </w:trPr>
        <w:tc>
          <w:tcPr>
            <w:tcW w:w="5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Pr>
          <w:p>
            <w:pPr>
              <w:spacing w:after="0"/>
              <w:rPr>
                <w:sz w:val="15"/>
                <w:szCs w:val="15"/>
                <w:color w:val="auto"/>
              </w:rPr>
            </w:pPr>
          </w:p>
        </w:tc>
      </w:tr>
      <w:tr>
        <w:trPr>
          <w:trHeight w:val="37"/>
        </w:trPr>
        <w:tc>
          <w:tcPr>
            <w:tcW w:w="53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0"/>
        </w:trPr>
        <w:tc>
          <w:tcPr>
            <w:tcW w:w="5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jc w:val="right"/>
              <w:ind w:right="283"/>
              <w:spacing w:after="0"/>
              <w:rPr>
                <w:sz w:val="20"/>
                <w:szCs w:val="20"/>
                <w:color w:val="auto"/>
              </w:rPr>
            </w:pPr>
            <w:r>
              <w:rPr>
                <w:rFonts w:ascii="Arial" w:cs="Arial" w:eastAsia="Arial" w:hAnsi="Arial"/>
                <w:sz w:val="14"/>
                <w:szCs w:val="14"/>
                <w:b w:val="1"/>
                <w:bCs w:val="1"/>
                <w:color w:val="auto"/>
                <w:w w:val="89"/>
              </w:rPr>
              <w:t>2022</w:t>
            </w:r>
          </w:p>
        </w:tc>
      </w:tr>
      <w:tr>
        <w:trPr>
          <w:trHeight w:val="24"/>
        </w:trPr>
        <w:tc>
          <w:tcPr>
            <w:tcW w:w="5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4"/>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111,903</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127,388</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231,657</w:t>
            </w: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254,458</w:t>
            </w:r>
          </w:p>
        </w:tc>
      </w:tr>
      <w:tr>
        <w:trPr>
          <w:trHeight w:val="20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Enterprise</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96,937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79,484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192,463</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151,546</w:t>
            </w:r>
          </w:p>
        </w:tc>
      </w:tr>
      <w:tr>
        <w:trPr>
          <w:trHeight w:val="22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208,840</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206,872</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424,120</w:t>
            </w: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35"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28"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24"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of employee compensation, including non-cash equity-based compensation,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76"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compensation, including non-cash equity-based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5"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i w:val="1"/>
          <w:iCs w:val="1"/>
          <w:color w:val="auto"/>
        </w:rPr>
        <w:t>Bargain Purchase Gain</w:t>
      </w:r>
      <w:r>
        <w:rPr>
          <w:rFonts w:ascii="Arial" w:cs="Arial" w:eastAsia="Arial" w:hAnsi="Arial"/>
          <w:sz w:val="18"/>
          <w:szCs w:val="18"/>
          <w:color w:val="auto"/>
        </w:rPr>
        <w:t>. A bargain purchase gain is recognized subsequent to an acquisition, if the fair value of the net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exceeds the net consideration.</w:t>
      </w:r>
    </w:p>
    <w:p>
      <w:pPr>
        <w:spacing w:after="0" w:line="102"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i w:val="1"/>
          <w:iCs w:val="1"/>
          <w:color w:val="auto"/>
        </w:rPr>
        <w:t xml:space="preserve">Other Income / (Expense), Net. </w:t>
      </w:r>
      <w:r>
        <w:rPr>
          <w:rFonts w:ascii="Arial" w:cs="Arial" w:eastAsia="Arial" w:hAnsi="Arial"/>
          <w:sz w:val="18"/>
          <w:szCs w:val="18"/>
          <w:color w:val="auto"/>
        </w:rPr>
        <w:t>Other income, net consists of non-operating costs such as foreign currency transaction gains and losses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and expense.</w:t>
      </w: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compute income taxes using the asset and liability method, under which deferred tax assets and liabilities are determined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5"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4"/>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Revenue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208,840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206,872</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424,120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406,004</w:t>
            </w: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7"/>
        </w:trPr>
        <w:tc>
          <w:tcPr>
            <w:tcW w:w="520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84,416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162,579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146,470</w:t>
            </w:r>
          </w:p>
        </w:tc>
      </w:tr>
      <w:tr>
        <w:trPr>
          <w:trHeight w:val="214"/>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107,558</w:t>
            </w:r>
          </w:p>
        </w:tc>
      </w:tr>
      <w:tr>
        <w:trPr>
          <w:trHeight w:val="207"/>
        </w:trPr>
        <w:tc>
          <w:tcPr>
            <w:tcW w:w="520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30,788</w:t>
            </w:r>
          </w:p>
        </w:tc>
      </w:tr>
      <w:tr>
        <w:trPr>
          <w:trHeight w:val="211"/>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63,896</w:t>
            </w:r>
          </w:p>
        </w:tc>
      </w:tr>
      <w:tr>
        <w:trPr>
          <w:trHeight w:val="204"/>
        </w:trPr>
        <w:tc>
          <w:tcPr>
            <w:tcW w:w="520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200,125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181,498</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375,036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348,712</w:t>
            </w: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57,292</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r>
      <w:tr>
        <w:trPr>
          <w:trHeight w:val="204"/>
        </w:trPr>
        <w:tc>
          <w:tcPr>
            <w:tcW w:w="520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51,381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22,713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92,795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55,389</w:t>
            </w:r>
          </w:p>
        </w:tc>
      </w:tr>
      <w:tr>
        <w:trPr>
          <w:trHeight w:val="211"/>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9,372</w:t>
            </w:r>
          </w:p>
        </w:tc>
      </w:tr>
      <w:tr>
        <w:trPr>
          <w:trHeight w:val="204"/>
        </w:trPr>
        <w:tc>
          <w:tcPr>
            <w:tcW w:w="52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50,013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19,445</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82,856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46,017</w:t>
            </w:r>
          </w:p>
        </w:tc>
      </w:tr>
      <w:tr>
        <w:trPr>
          <w:trHeight w:val="23"/>
        </w:trPr>
        <w:tc>
          <w:tcPr>
            <w:tcW w:w="5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2540" w:type="dxa"/>
            <w:vAlign w:val="bottom"/>
            <w:gridSpan w:val="4"/>
          </w:tcPr>
          <w:p>
            <w:pPr>
              <w:ind w:left="620"/>
              <w:spacing w:after="0"/>
              <w:rPr>
                <w:sz w:val="20"/>
                <w:szCs w:val="20"/>
                <w:color w:val="auto"/>
              </w:rPr>
            </w:pPr>
            <w:r>
              <w:rPr>
                <w:rFonts w:ascii="Arial" w:cs="Arial" w:eastAsia="Arial" w:hAnsi="Arial"/>
                <w:sz w:val="14"/>
                <w:szCs w:val="14"/>
                <w:b w:val="1"/>
                <w:bCs w:val="1"/>
                <w:color w:val="auto"/>
                <w:w w:val="95"/>
              </w:rPr>
              <w:t>Three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gridSpan w:val="3"/>
          </w:tcPr>
          <w:p>
            <w:pPr>
              <w:jc w:val="right"/>
              <w:ind w:right="64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9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7"/>
        </w:trPr>
        <w:tc>
          <w:tcPr>
            <w:tcW w:w="5000" w:type="dxa"/>
            <w:vAlign w:val="bottom"/>
          </w:tcPr>
          <w:p>
            <w:pPr>
              <w:spacing w:after="0"/>
              <w:rPr>
                <w:sz w:val="15"/>
                <w:szCs w:val="15"/>
                <w:color w:val="auto"/>
              </w:rPr>
            </w:pPr>
          </w:p>
        </w:tc>
        <w:tc>
          <w:tcPr>
            <w:tcW w:w="9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r>
      <w:tr>
        <w:trPr>
          <w:trHeight w:val="204"/>
        </w:trPr>
        <w:tc>
          <w:tcPr>
            <w:tcW w:w="5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960" w:type="dxa"/>
            <w:vAlign w:val="bottom"/>
            <w:gridSpan w:val="2"/>
          </w:tcPr>
          <w:p>
            <w:pPr>
              <w:ind w:left="140"/>
              <w:spacing w:after="0"/>
              <w:rPr>
                <w:sz w:val="20"/>
                <w:szCs w:val="20"/>
                <w:color w:val="auto"/>
              </w:rPr>
            </w:pPr>
            <w:r>
              <w:rPr>
                <w:rFonts w:ascii="Arial" w:cs="Arial" w:eastAsia="Arial" w:hAnsi="Arial"/>
                <w:sz w:val="16"/>
                <w:szCs w:val="16"/>
                <w:color w:val="auto"/>
              </w:rPr>
              <w:t>Revenue</w:t>
            </w:r>
          </w:p>
        </w:tc>
        <w:tc>
          <w:tcPr>
            <w:tcW w:w="50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5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07"/>
        </w:trPr>
        <w:tc>
          <w:tcPr>
            <w:tcW w:w="5960" w:type="dxa"/>
            <w:vAlign w:val="bottom"/>
            <w:gridSpan w:val="2"/>
          </w:tcPr>
          <w:p>
            <w:pPr>
              <w:ind w:left="340"/>
              <w:spacing w:after="0"/>
              <w:rPr>
                <w:sz w:val="20"/>
                <w:szCs w:val="20"/>
                <w:color w:val="auto"/>
              </w:rPr>
            </w:pPr>
            <w:r>
              <w:rPr>
                <w:rFonts w:ascii="Arial" w:cs="Arial" w:eastAsia="Arial" w:hAnsi="Arial"/>
                <w:sz w:val="16"/>
                <w:szCs w:val="16"/>
                <w:color w:val="auto"/>
              </w:rPr>
              <w:t>Cost of revenue</w:t>
            </w:r>
          </w:p>
        </w:tc>
        <w:tc>
          <w:tcPr>
            <w:tcW w:w="50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36 %</w:t>
            </w:r>
          </w:p>
        </w:tc>
      </w:tr>
      <w:tr>
        <w:trPr>
          <w:trHeight w:val="214"/>
        </w:trPr>
        <w:tc>
          <w:tcPr>
            <w:tcW w:w="59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07"/>
        </w:trPr>
        <w:tc>
          <w:tcPr>
            <w:tcW w:w="5960" w:type="dxa"/>
            <w:vAlign w:val="bottom"/>
            <w:gridSpan w:val="2"/>
          </w:tcPr>
          <w:p>
            <w:pPr>
              <w:ind w:left="340"/>
              <w:spacing w:after="0"/>
              <w:rPr>
                <w:sz w:val="20"/>
                <w:szCs w:val="20"/>
                <w:color w:val="auto"/>
              </w:rPr>
            </w:pPr>
            <w:r>
              <w:rPr>
                <w:rFonts w:ascii="Arial" w:cs="Arial" w:eastAsia="Arial" w:hAnsi="Arial"/>
                <w:sz w:val="16"/>
                <w:szCs w:val="16"/>
                <w:color w:val="auto"/>
              </w:rPr>
              <w:t>Product development</w:t>
            </w:r>
          </w:p>
        </w:tc>
        <w:tc>
          <w:tcPr>
            <w:tcW w:w="5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4"/>
        </w:trPr>
        <w:tc>
          <w:tcPr>
            <w:tcW w:w="5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0"/>
        </w:trPr>
        <w:tc>
          <w:tcPr>
            <w:tcW w:w="50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207"/>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7"/>
        </w:trPr>
        <w:tc>
          <w:tcPr>
            <w:tcW w:w="5960" w:type="dxa"/>
            <w:vAlign w:val="bottom"/>
            <w:gridSpan w:val="2"/>
          </w:tcPr>
          <w:p>
            <w:pPr>
              <w:ind w:left="140"/>
              <w:spacing w:after="0"/>
              <w:rPr>
                <w:sz w:val="20"/>
                <w:szCs w:val="20"/>
                <w:color w:val="auto"/>
              </w:rPr>
            </w:pPr>
            <w:r>
              <w:rPr>
                <w:rFonts w:ascii="Arial" w:cs="Arial" w:eastAsia="Arial" w:hAnsi="Arial"/>
                <w:sz w:val="16"/>
                <w:szCs w:val="16"/>
                <w:color w:val="auto"/>
              </w:rPr>
              <w:t>Bargain purchase gain</w:t>
            </w:r>
          </w:p>
        </w:tc>
        <w:tc>
          <w:tcPr>
            <w:tcW w:w="500" w:type="dxa"/>
            <w:vAlign w:val="bottom"/>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0"/>
        </w:trPr>
        <w:tc>
          <w:tcPr>
            <w:tcW w:w="500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14 %</w:t>
            </w:r>
          </w:p>
        </w:tc>
      </w:tr>
      <w:tr>
        <w:trPr>
          <w:trHeight w:val="214"/>
        </w:trPr>
        <w:tc>
          <w:tcPr>
            <w:tcW w:w="5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0"/>
        </w:trPr>
        <w:tc>
          <w:tcPr>
            <w:tcW w:w="50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9 %</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3"/>
        </w:trPr>
        <w:tc>
          <w:tcPr>
            <w:tcW w:w="5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Note: Due to rounding, percentages may not sum to totals.</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2023 and 2022</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results of operations for the periods indicated (in thousands):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r>
      <w:tr>
        <w:trPr>
          <w:trHeight w:val="177"/>
        </w:trPr>
        <w:tc>
          <w:tcPr>
            <w:tcW w:w="51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5"/>
                <w:szCs w:val="15"/>
                <w:color w:val="auto"/>
              </w:rPr>
            </w:pPr>
          </w:p>
        </w:tc>
      </w:tr>
      <w:tr>
        <w:trPr>
          <w:trHeight w:val="191"/>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208,840</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206,872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1,968</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514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84,416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7,397</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r>
      <w:tr>
        <w:trPr>
          <w:trHeight w:val="214"/>
        </w:trPr>
        <w:tc>
          <w:tcPr>
            <w:tcW w:w="5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7"/>
        </w:trPr>
        <w:tc>
          <w:tcPr>
            <w:tcW w:w="514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12,056</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7</w:t>
            </w:r>
          </w:p>
        </w:tc>
      </w:tr>
      <w:tr>
        <w:trPr>
          <w:trHeight w:val="211"/>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38,099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33,088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5,011</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4"/>
        </w:trPr>
        <w:tc>
          <w:tcPr>
            <w:tcW w:w="514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200,125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18,627</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41,940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3,387</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04"/>
        </w:trPr>
        <w:tc>
          <w:tcPr>
            <w:tcW w:w="514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51,381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22,713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28,668</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12</w:t>
            </w:r>
          </w:p>
        </w:tc>
      </w:tr>
      <w:tr>
        <w:trPr>
          <w:trHeight w:val="211"/>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r>
      <w:tr>
        <w:trPr>
          <w:trHeight w:val="204"/>
        </w:trPr>
        <w:tc>
          <w:tcPr>
            <w:tcW w:w="51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50,013</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19,445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30,568</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15</w:t>
            </w:r>
          </w:p>
        </w:tc>
      </w:tr>
      <w:tr>
        <w:trPr>
          <w:trHeight w:val="23"/>
        </w:trPr>
        <w:tc>
          <w:tcPr>
            <w:tcW w:w="5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5" w:lineRule="exact"/>
        <w:rPr>
          <w:sz w:val="20"/>
          <w:szCs w:val="20"/>
          <w:color w:val="auto"/>
        </w:rPr>
      </w:pPr>
    </w:p>
    <w:p>
      <w:pPr>
        <w:ind w:right="540" w:firstLine="395"/>
        <w:spacing w:after="0" w:line="324" w:lineRule="auto"/>
        <w:rPr>
          <w:sz w:val="20"/>
          <w:szCs w:val="20"/>
          <w:color w:val="auto"/>
        </w:rPr>
      </w:pPr>
      <w:r>
        <w:rPr>
          <w:rFonts w:ascii="Arial" w:cs="Arial" w:eastAsia="Arial" w:hAnsi="Arial"/>
          <w:sz w:val="16"/>
          <w:szCs w:val="16"/>
          <w:color w:val="auto"/>
        </w:rPr>
        <w:t>Revenue increased by $2.0 million, or 1%, to $208.8 million in the three months ended June 30, 2023 compared to the same period in 2022. Foreign currency fluctuations did not have a significant impact on the Company’s revenues in the three months ended June 30, 2023.</w:t>
      </w:r>
    </w:p>
    <w:p>
      <w:pPr>
        <w:spacing w:after="0" w:line="69"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The Company’s E-commerce revenues decreased by 12%, to $111.9 million in the three months ended June 30, 2023, compared to the same period in 2022. Foreign currency fluctuations did not have a significant impact on E-commerce revenues in the three months ended June 30, 2023. The decline in our E-commerce revenues was primarily driven by continued weakness in new customer acquisition.</w:t>
      </w:r>
    </w:p>
    <w:p>
      <w:pPr>
        <w:spacing w:after="0" w:line="124" w:lineRule="exact"/>
        <w:rPr>
          <w:sz w:val="20"/>
          <w:szCs w:val="20"/>
          <w:color w:val="auto"/>
        </w:rPr>
      </w:pPr>
    </w:p>
    <w:p>
      <w:pPr>
        <w:ind w:right="280" w:firstLine="395"/>
        <w:spacing w:after="0" w:line="250" w:lineRule="auto"/>
        <w:rPr>
          <w:sz w:val="20"/>
          <w:szCs w:val="20"/>
          <w:color w:val="auto"/>
        </w:rPr>
      </w:pPr>
      <w:r>
        <w:rPr>
          <w:rFonts w:ascii="Arial" w:cs="Arial" w:eastAsia="Arial" w:hAnsi="Arial"/>
          <w:sz w:val="18"/>
          <w:szCs w:val="18"/>
          <w:color w:val="auto"/>
        </w:rPr>
        <w:t>The Company’s Enterprise revenues increased by 22%, to $96.9 million in the three months ended June 30, 2023, compared to the same period in 2022. Foreign currency fluctuations did not have a significant impact on Enterprise revenues in the three months ended June 30, 2023. The increase in Enterprise revenues was primarily driven by growth in our computer vision data partnerships which generated $17.3 million and $2.2 million of revenue in the three months ended June 30, 2023 and 2022, respectively.</w:t>
      </w:r>
    </w:p>
    <w:p>
      <w:pPr>
        <w:spacing w:after="0" w:line="111" w:lineRule="exact"/>
        <w:rPr>
          <w:sz w:val="20"/>
          <w:szCs w:val="20"/>
          <w:color w:val="auto"/>
        </w:rPr>
      </w:pPr>
    </w:p>
    <w:p>
      <w:pPr>
        <w:ind w:right="280" w:firstLine="395"/>
        <w:spacing w:after="0" w:line="250" w:lineRule="auto"/>
        <w:rPr>
          <w:sz w:val="20"/>
          <w:szCs w:val="20"/>
          <w:color w:val="auto"/>
        </w:rPr>
      </w:pPr>
      <w:r>
        <w:rPr>
          <w:rFonts w:ascii="Arial" w:cs="Arial" w:eastAsia="Arial" w:hAnsi="Arial"/>
          <w:sz w:val="18"/>
          <w:szCs w:val="18"/>
          <w:color w:val="auto"/>
        </w:rPr>
        <w:t>In the three months ended June 30, 2023 and 2022, we delivered 38.5 million and 43.4 million paid downloads, respectively, and our revenue per download was $4.71 and $4.46 for the three months ended June 30, 2023 and 2022, respectively. During the three months ended June 30, 2023, the decline in paid downloads is attributed to the decline in the E-commerce business, and the increase in revenue per download was primarily due to changes in sales channel mix.</w:t>
      </w:r>
    </w:p>
    <w:p>
      <w:pPr>
        <w:spacing w:after="0" w:line="124" w:lineRule="exact"/>
        <w:rPr>
          <w:sz w:val="20"/>
          <w:szCs w:val="20"/>
          <w:color w:val="auto"/>
        </w:rPr>
      </w:pPr>
    </w:p>
    <w:p>
      <w:pPr>
        <w:ind w:right="540" w:firstLine="395"/>
        <w:spacing w:after="0" w:line="252" w:lineRule="auto"/>
        <w:rPr>
          <w:sz w:val="20"/>
          <w:szCs w:val="20"/>
          <w:color w:val="auto"/>
        </w:rPr>
      </w:pPr>
      <w:r>
        <w:rPr>
          <w:rFonts w:ascii="Arial" w:cs="Arial" w:eastAsia="Arial" w:hAnsi="Arial"/>
          <w:sz w:val="18"/>
          <w:szCs w:val="18"/>
          <w:color w:val="auto"/>
        </w:rPr>
        <w:t>Changes in our revenue by region were as follows: revenue from North America increased by $10.3 million, or 12%, to $96.2 million, revenue from Europe decreased by $4.5 million, or 7%, to $58.4 million and revenue from outside Europe and North America decreased by $3.8 million, or 7%, to $54.2 million, in the three months ended June 30, 2023 compared to the same period in 2022.</w:t>
      </w:r>
    </w:p>
    <w:p>
      <w:pPr>
        <w:spacing w:after="0" w:line="200" w:lineRule="exact"/>
        <w:rPr>
          <w:sz w:val="20"/>
          <w:szCs w:val="20"/>
          <w:color w:val="auto"/>
        </w:rPr>
      </w:pPr>
    </w:p>
    <w:p>
      <w:pPr>
        <w:spacing w:after="0" w:line="35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9" w:name="page30"/>
    <w:bookmarkEnd w:id="2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increased by $7.4 million, or 10% to $84.4 million in the three months ended June 30, 2023 compared to the same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period in 2022. This increase was primarily driven by: (i) increased depreciation and amortization expense driven by our recent acquisitions; (ii) increased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royalty, content and reviewer costs; and (iii) higher costs associated with website hosting, hardware and software licenses. Cost of revenue also includes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$2.7 million of expense associated with non-recurring Giphy Retention Compensation, which are not considered ongoing expenses necessary to operate our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business. We expect that our cost of revenue will continue to fluctuate in-line with changes in revenue.</w:t>
      </w:r>
    </w:p>
    <w:p>
      <w:pPr>
        <w:spacing w:after="0" w:line="97"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by $5.8 million, or 11%, to $48.4 million in the three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As a percent of revenue, sales and marketing expenses decreased to 23% for the three months ended June 30, 2023, from 26% for the same period in 2022. This was primarily driven by $6.1 million in decreased performance marketing spend and $0.9 million in lower occupancy costs, partially offset by $1.2 million in higher employee-related costs. Sales and marketing also includes $0.6 million of expense associated with non-recurring Giphy Retention Compensation, which are not considered ongoing expenses necessary to operate our business. We expect sales and marketing expenses to continue to fluctuate as we optimize our sales channels and invest in new customer acquisition, products and geographies.</w:t>
      </w:r>
    </w:p>
    <w:p>
      <w:pPr>
        <w:spacing w:after="0" w:line="62"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Product development expenses increased by $12.1 million, or 70%, to $29.2 million in the three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The increase in product development was primarily driven by (i) $11.0 million of expense associated with non-recurring Giphy Retention Compensation, which are not considered ongoing expenses necessary to operate our business and (ii) $1.9 million in higher employee and third-party contractor related costs, net of capitalized labor, for the three months ended June 30, 2023,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62"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increased by $5.0 million, or 15%, to $38.1 million in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compared to the same period in 2022. This increase was driven by (i) $5.4 million in higher non-cash equity-based compensation expense; and (ii)</w:t>
      </w:r>
    </w:p>
    <w:p>
      <w:pPr>
        <w:ind w:right="100"/>
        <w:spacing w:after="0" w:line="245" w:lineRule="auto"/>
        <w:rPr>
          <w:sz w:val="20"/>
          <w:szCs w:val="20"/>
          <w:color w:val="auto"/>
        </w:rPr>
      </w:pPr>
      <w:r>
        <w:rPr>
          <w:rFonts w:ascii="Arial" w:cs="Arial" w:eastAsia="Arial" w:hAnsi="Arial"/>
          <w:sz w:val="18"/>
          <w:szCs w:val="18"/>
          <w:color w:val="auto"/>
        </w:rPr>
        <w:t>$2.9 million of expense associated with non-recurring Giphy Retention Compensation, which are not considered ongoing expenses necessary to operate our business. These increases are partially offset by $1.4 million in lower professional fees and $0.7 million in lower occupancy costs. For the three months ended June 30, 2023 and 2022, general and administrative expenses also included transaction costs of $3.0 million and $3.9 million related to the Giphy and Pond5 acquisitions, respectively.</w:t>
      </w:r>
    </w:p>
    <w:p>
      <w:pPr>
        <w:spacing w:after="0" w:line="90" w:lineRule="exact"/>
        <w:rPr>
          <w:sz w:val="20"/>
          <w:szCs w:val="20"/>
          <w:color w:val="auto"/>
        </w:rPr>
      </w:pPr>
    </w:p>
    <w:p>
      <w:pPr>
        <w:ind w:right="260" w:firstLine="395"/>
        <w:spacing w:after="0" w:line="324" w:lineRule="auto"/>
        <w:rPr>
          <w:sz w:val="20"/>
          <w:szCs w:val="20"/>
          <w:color w:val="auto"/>
        </w:rPr>
      </w:pPr>
      <w:r>
        <w:rPr>
          <w:rFonts w:ascii="Arial" w:cs="Arial" w:eastAsia="Arial" w:hAnsi="Arial"/>
          <w:sz w:val="16"/>
          <w:szCs w:val="16"/>
          <w:i w:val="1"/>
          <w:iCs w:val="1"/>
          <w:color w:val="auto"/>
        </w:rPr>
        <w:t>Bargain Purchase Gain</w:t>
      </w:r>
      <w:r>
        <w:rPr>
          <w:rFonts w:ascii="Arial" w:cs="Arial" w:eastAsia="Arial" w:hAnsi="Arial"/>
          <w:sz w:val="16"/>
          <w:szCs w:val="16"/>
          <w:color w:val="auto"/>
        </w:rPr>
        <w:t>. In the three months ended June 30, 2023, we recognized a bargain purchase gain of $41.9 million related to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Giphy, which represents the excess of the fair value of the net assets acquired in addition to the net negative purchase price.</w:t>
      </w:r>
    </w:p>
    <w:p>
      <w:pPr>
        <w:spacing w:after="0" w:line="30" w:lineRule="exact"/>
        <w:rPr>
          <w:sz w:val="20"/>
          <w:szCs w:val="20"/>
          <w:color w:val="auto"/>
        </w:rPr>
      </w:pPr>
    </w:p>
    <w:p>
      <w:pPr>
        <w:jc w:val="both"/>
        <w:ind w:right="100" w:firstLine="395"/>
        <w:spacing w:after="0" w:line="287" w:lineRule="auto"/>
        <w:rPr>
          <w:sz w:val="20"/>
          <w:szCs w:val="20"/>
          <w:color w:val="auto"/>
        </w:rPr>
      </w:pPr>
      <w:r>
        <w:rPr>
          <w:rFonts w:ascii="Arial" w:cs="Arial" w:eastAsia="Arial" w:hAnsi="Arial"/>
          <w:sz w:val="16"/>
          <w:szCs w:val="16"/>
          <w:i w:val="1"/>
          <w:iCs w:val="1"/>
          <w:color w:val="auto"/>
        </w:rPr>
        <w:t xml:space="preserve">Other Income / (Expense), Net. </w:t>
      </w:r>
      <w:r>
        <w:rPr>
          <w:rFonts w:ascii="Arial" w:cs="Arial" w:eastAsia="Arial" w:hAnsi="Arial"/>
          <w:sz w:val="16"/>
          <w:szCs w:val="16"/>
          <w:color w:val="auto"/>
        </w:rPr>
        <w:t>In the three months ended June 30, 2023, other income / (expense), net substantially consisted of $0.7 million of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and $0.6 million of favorable unrealized foreign currency fluctuations, partially offset by $0.5 million of interest expense related to our credit facility. During the three months ended June 30, 2022, other income / (expense), net substantially consisted of $2.5 million of unfavorable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8"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decreased by $1.9 million for the three months ended June 30, 2023, compared to the same period in 2022.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rates were 2.7% and 14.4% for the three months ended June 30, 2023 and 2022, respectively.</w:t>
      </w:r>
    </w:p>
    <w:p>
      <w:pPr>
        <w:spacing w:after="0" w:line="7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For the three months ended June 30, 2023, the net effect of discrete items decreased the effective tax rate by 13.6%. The discrete items for the three months ended June 30, 2023, primarily relate to the non-taxable bargain purchase gain associated with the acquisition of Giphy. Excluding discrete items, our effective tax rate would have been 16.3% for the three months ended June 30, 2023.</w:t>
      </w:r>
    </w:p>
    <w:p>
      <w:pPr>
        <w:spacing w:after="0" w:line="85" w:lineRule="exact"/>
        <w:rPr>
          <w:sz w:val="20"/>
          <w:szCs w:val="20"/>
          <w:color w:val="auto"/>
        </w:rPr>
      </w:pPr>
    </w:p>
    <w:p>
      <w:pPr>
        <w:ind w:right="280" w:firstLine="395"/>
        <w:spacing w:after="0" w:line="324" w:lineRule="auto"/>
        <w:rPr>
          <w:sz w:val="20"/>
          <w:szCs w:val="20"/>
          <w:color w:val="auto"/>
        </w:rPr>
      </w:pPr>
      <w:r>
        <w:rPr>
          <w:rFonts w:ascii="Arial" w:cs="Arial" w:eastAsia="Arial" w:hAnsi="Arial"/>
          <w:sz w:val="16"/>
          <w:szCs w:val="16"/>
          <w:color w:val="auto"/>
        </w:rPr>
        <w:t>For the three months ended June 30, 2022, the effective tax rate decreased by 4.9% related primarily to windfall benefits associated with equity-based compensation. Excluding discrete items, our effective tax rate would have been 19.3% for the three months ended June 30, 2022.</w:t>
      </w:r>
    </w:p>
    <w:p>
      <w:pPr>
        <w:spacing w:after="0" w:line="69"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0" w:name="page31"/>
    <w:bookmarkEnd w:id="3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2023 and 2022</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 Change</w:t>
            </w:r>
          </w:p>
        </w:tc>
      </w:tr>
      <w:tr>
        <w:trPr>
          <w:trHeight w:val="184"/>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03"/>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7"/>
        </w:trPr>
        <w:tc>
          <w:tcPr>
            <w:tcW w:w="5120" w:type="dxa"/>
            <w:vAlign w:val="bottom"/>
          </w:tcPr>
          <w:p>
            <w:pPr>
              <w:ind w:left="140"/>
              <w:spacing w:after="0"/>
              <w:rPr>
                <w:sz w:val="20"/>
                <w:szCs w:val="20"/>
                <w:color w:val="auto"/>
              </w:rPr>
            </w:pPr>
            <w:r>
              <w:rPr>
                <w:rFonts w:ascii="Arial" w:cs="Arial" w:eastAsia="Arial" w:hAnsi="Arial"/>
                <w:sz w:val="16"/>
                <w:szCs w:val="16"/>
                <w:color w:val="auto"/>
              </w:rPr>
              <w:t>Revenue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424,120</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406,004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18,116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4 %</w:t>
            </w:r>
          </w:p>
        </w:tc>
      </w:tr>
      <w:tr>
        <w:trPr>
          <w:trHeight w:val="214"/>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162,579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16,109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4"/>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95,919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512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44,624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13,836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45 %</w:t>
            </w:r>
          </w:p>
        </w:tc>
      </w:tr>
      <w:tr>
        <w:trPr>
          <w:trHeight w:val="211"/>
        </w:trPr>
        <w:tc>
          <w:tcPr>
            <w:tcW w:w="5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71,914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8,018</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4"/>
        </w:trPr>
        <w:tc>
          <w:tcPr>
            <w:tcW w:w="512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375,036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348,712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26,324</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0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49,084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7"/>
        </w:trPr>
        <w:tc>
          <w:tcPr>
            <w:tcW w:w="512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41,940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41,940</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1,771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4"/>
        </w:trPr>
        <w:tc>
          <w:tcPr>
            <w:tcW w:w="512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92,795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55,389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37,406</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68 %</w:t>
            </w:r>
          </w:p>
        </w:tc>
      </w:tr>
      <w:tr>
        <w:trPr>
          <w:trHeight w:val="211"/>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9,939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4"/>
        </w:trPr>
        <w:tc>
          <w:tcPr>
            <w:tcW w:w="51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82,856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46,017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36,839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80 %</w:t>
            </w:r>
          </w:p>
        </w:tc>
      </w:tr>
      <w:tr>
        <w:trPr>
          <w:trHeight w:val="23"/>
        </w:trPr>
        <w:tc>
          <w:tcPr>
            <w:tcW w:w="5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9" w:lineRule="exact"/>
        <w:rPr>
          <w:sz w:val="20"/>
          <w:szCs w:val="20"/>
          <w:color w:val="auto"/>
        </w:rPr>
      </w:pPr>
    </w:p>
    <w:p>
      <w:pPr>
        <w:ind w:right="60" w:firstLine="395"/>
        <w:spacing w:after="0" w:line="324" w:lineRule="auto"/>
        <w:rPr>
          <w:sz w:val="20"/>
          <w:szCs w:val="20"/>
          <w:color w:val="auto"/>
        </w:rPr>
      </w:pPr>
      <w:r>
        <w:rPr>
          <w:rFonts w:ascii="Arial" w:cs="Arial" w:eastAsia="Arial" w:hAnsi="Arial"/>
          <w:sz w:val="16"/>
          <w:szCs w:val="16"/>
          <w:color w:val="auto"/>
        </w:rPr>
        <w:t>Revenue increased by $18.1 million, or 4%, to $424.1 million in the six months ended June 30, 2023 compared to the same period in 2022. On a constant currency basis, revenue increased approximately 5% in the six months ended June 30, 2023, compared to the same period in 2022.</w:t>
      </w:r>
    </w:p>
    <w:p>
      <w:pPr>
        <w:spacing w:after="0" w:line="56"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Company’s E-commerce revenues decreased by 9%, to $231.7 million in the six months ended June 30, 2023, compared to the same period in 2022. On a constant currency basis, the Company’s E-commerce revenues decreased by 8% in the six months ended June 30, 2023, compared to the same period in 2022. The decline in our E-commerce revenues was driven by continued weakness in new customer acquisition, partially offset by revenues generated from our acquisition of Pond5, which was completed on May 11, 2022.</w:t>
      </w:r>
    </w:p>
    <w:p>
      <w:pPr>
        <w:spacing w:after="0" w:line="124" w:lineRule="exact"/>
        <w:rPr>
          <w:sz w:val="20"/>
          <w:szCs w:val="20"/>
          <w:color w:val="auto"/>
        </w:rPr>
      </w:pPr>
    </w:p>
    <w:p>
      <w:pPr>
        <w:ind w:right="220" w:firstLine="395"/>
        <w:spacing w:after="0" w:line="287" w:lineRule="auto"/>
        <w:rPr>
          <w:sz w:val="20"/>
          <w:szCs w:val="20"/>
          <w:color w:val="auto"/>
        </w:rPr>
      </w:pPr>
      <w:r>
        <w:rPr>
          <w:rFonts w:ascii="Arial" w:cs="Arial" w:eastAsia="Arial" w:hAnsi="Arial"/>
          <w:sz w:val="16"/>
          <w:szCs w:val="16"/>
          <w:color w:val="auto"/>
        </w:rPr>
        <w:t>The Company’s Enterprise revenues increased by 27%, to $192.5 million in the six months ended June 30, 2023, compared to the same period in 2022. On a constant currency basis, the Company’s Enterprise revenues increased by 28% in the six months ended June 30, 2023, compared to the same period in 2022. The increase in Enterprise revenues was primarily driven by (i) growth in our computer vision data partnerships, which generated $34.0 million and $2.9 million of revenue in the six months ended June 30, 2023 and 2022, respectively; and (ii) revenue generated from our acquisitions of Pond5 and Splash News, which were completed on May 11, 2022 and May 28, 2022, respectively.</w:t>
      </w:r>
    </w:p>
    <w:p>
      <w:pPr>
        <w:spacing w:after="0" w:line="97"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In the six months ended June 30, 2023 and 2022, we delivered 81.2 million and 88.0 million paid downloads, respectively, and our revenue per download was $4.56 and $4.34 for the six months ended June 30, 2023 and 2022, respectively. During the six months ended June 30, 2023, the increase in revenue per download was primarily due to changes in sales channel mix.</w:t>
      </w:r>
    </w:p>
    <w:p>
      <w:pPr>
        <w:spacing w:after="0" w:line="111" w:lineRule="exact"/>
        <w:rPr>
          <w:sz w:val="20"/>
          <w:szCs w:val="20"/>
          <w:color w:val="auto"/>
        </w:rPr>
      </w:pPr>
    </w:p>
    <w:p>
      <w:pPr>
        <w:ind w:right="180" w:firstLine="395"/>
        <w:spacing w:after="0" w:line="252" w:lineRule="auto"/>
        <w:rPr>
          <w:sz w:val="20"/>
          <w:szCs w:val="20"/>
          <w:color w:val="auto"/>
        </w:rPr>
      </w:pPr>
      <w:r>
        <w:rPr>
          <w:rFonts w:ascii="Arial" w:cs="Arial" w:eastAsia="Arial" w:hAnsi="Arial"/>
          <w:sz w:val="18"/>
          <w:szCs w:val="18"/>
          <w:color w:val="auto"/>
        </w:rPr>
        <w:t>Changes in our revenue by region were as follows: revenue from North America increased by $29.5 million, or 18%, to $195.3 million, revenue from Europe decreased by $8.0 million, or 6%, to $117.4 million and revenue from outside Europe and North America decreased by $3.4 million, or 3%, to $111.3 million, in the six months ended June 30, 2023 compared to the same period in 2022.</w:t>
      </w:r>
    </w:p>
    <w:p>
      <w:pPr>
        <w:spacing w:after="0" w:line="200" w:lineRule="exact"/>
        <w:rPr>
          <w:sz w:val="20"/>
          <w:szCs w:val="20"/>
          <w:color w:val="auto"/>
        </w:rPr>
      </w:pPr>
    </w:p>
    <w:p>
      <w:pPr>
        <w:spacing w:after="0" w:line="35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9"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$16.1 million, or 11%, to $162.6 million in the six months ended June 30, 2023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2022. This increase was primarily driven by: (i) increased depreciation and amortization expense driven by our recent acquisitions; (ii) increased royalty, content and reviewer costs; and (iii) higher costs associated with website hosting, hardware and software licenses. Cost of revenue also includes $2.7 million of expense associated with non-recurring Giphy Retention Compensation, which are not considered ongoing expenses necessary to operate our business. We expect that our cost of revenue will continue to fluctuate in line with changes in revenue.</w:t>
      </w:r>
    </w:p>
    <w:p>
      <w:pPr>
        <w:spacing w:after="0" w:line="58" w:lineRule="exact"/>
        <w:rPr>
          <w:sz w:val="20"/>
          <w:szCs w:val="20"/>
          <w:color w:val="auto"/>
        </w:rPr>
      </w:pPr>
    </w:p>
    <w:p>
      <w:pPr>
        <w:ind w:right="220" w:firstLine="395"/>
        <w:spacing w:after="0" w:line="28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decreased by $11.6 million, or 11%, to $95.9 million in the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As a percent of revenue, sales and marketing expenses decreased to 23% for the six months ended June 30, 2023, from 26% for the same period in 2022. This was primarily driven by (i) $13.1 million in decreased performance marketing spend and (ii) $0.9 million in lower occupancy costs. These increases were partially offset by $1.4 million in higher employee-related costs and $0.6 million of expense associated with non-recurring Giphy Retention Compensation, which are not considered ongoing expenses necessary to operate our business. We expect sales and marketing expenses to continue to fluctuate as we optimize our sales channels and invest in new customer acquisition, products and geographies.</w:t>
      </w:r>
    </w:p>
    <w:p>
      <w:pPr>
        <w:spacing w:after="0" w:line="62"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by $13.8 million, or 45%, to $44.6 million in the six months ended June 30, 2023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This increase in product development was primarily driven by (i) $11.0 million of expense associated with non-recurring Giphy Retention Compensation, which are not considered ongoing expenses necessary to operate our business and (ii) $3.8 million in higher employee and third-party contractor related costs, net of capitalized labor for the six months ended June 30, 2023.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62"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$8.0 million, or 13%, to $71.9 million in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compared to the same period in 2022. This increase was driven by (i) $8.6 million in higher personnel and non-cash equity-based compensation expense; and (ii) $2.9 million of expense associated with non-recurring Giphy Retention Compensation, which are not considered ongoing expenses necessary to operate our business. These increases are partially offset by $2.1 million in lower professional fees and $0.7 million in lower occupancy costs. For the six months ended June 30, 2023 and 2022, general and administrative expenses also included approximately $3.0 million and $3.9 million in transaction costs related to the Giphy and Pond5 acquisitions, respectively.</w:t>
      </w:r>
    </w:p>
    <w:p>
      <w:pPr>
        <w:spacing w:after="0" w:line="62" w:lineRule="exact"/>
        <w:rPr>
          <w:sz w:val="20"/>
          <w:szCs w:val="20"/>
          <w:color w:val="auto"/>
        </w:rPr>
      </w:pPr>
    </w:p>
    <w:p>
      <w:pPr>
        <w:ind w:right="440" w:firstLine="395"/>
        <w:spacing w:after="0" w:line="324" w:lineRule="auto"/>
        <w:rPr>
          <w:sz w:val="20"/>
          <w:szCs w:val="20"/>
          <w:color w:val="auto"/>
        </w:rPr>
      </w:pPr>
      <w:r>
        <w:rPr>
          <w:rFonts w:ascii="Arial" w:cs="Arial" w:eastAsia="Arial" w:hAnsi="Arial"/>
          <w:sz w:val="16"/>
          <w:szCs w:val="16"/>
          <w:i w:val="1"/>
          <w:iCs w:val="1"/>
          <w:color w:val="auto"/>
        </w:rPr>
        <w:t>Bargain Purchase Gain</w:t>
      </w:r>
      <w:r>
        <w:rPr>
          <w:rFonts w:ascii="Arial" w:cs="Arial" w:eastAsia="Arial" w:hAnsi="Arial"/>
          <w:sz w:val="16"/>
          <w:szCs w:val="16"/>
          <w:color w:val="auto"/>
        </w:rPr>
        <w:t>. In the six months ended June 30, 2023, we recognized a bargain purchase gain of $41.9 million related to the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Giphy, which represents the excess of the fair value of the net assets acquired in addition to the net negative purchase price.</w:t>
      </w:r>
    </w:p>
    <w:p>
      <w:pPr>
        <w:spacing w:after="0" w:line="30"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i w:val="1"/>
          <w:iCs w:val="1"/>
          <w:color w:val="auto"/>
        </w:rPr>
        <w:t xml:space="preserve">Other Income / (Expense), Net. </w:t>
      </w:r>
      <w:r>
        <w:rPr>
          <w:rFonts w:ascii="Arial" w:cs="Arial" w:eastAsia="Arial" w:hAnsi="Arial"/>
          <w:sz w:val="18"/>
          <w:szCs w:val="18"/>
          <w:color w:val="auto"/>
        </w:rPr>
        <w:t>During the six months ended June 30, 2023, other income / (expense), net substantially consisted of $1.7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unrealized foreign currency fluctuations, $0.8 million of interest income, partially offset by $0.7 million of interest expense related to our credit facility. During the six months ended June 30, 2022, approximately $1.8 million of other expense, net consisted of unfavorable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89" w:lineRule="exact"/>
        <w:rPr>
          <w:sz w:val="20"/>
          <w:szCs w:val="20"/>
          <w:color w:val="auto"/>
        </w:rPr>
      </w:pPr>
    </w:p>
    <w:p>
      <w:pPr>
        <w:ind w:right="500" w:firstLine="395"/>
        <w:spacing w:after="0" w:line="261"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increased by $0.6 million for the six months ended June 30, 2023 as compared to the same period in 2022.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rates for the six months ended June 30, 2023 and 2022 were 10.7% and 16.9%, respectively.</w:t>
      </w:r>
    </w:p>
    <w:p>
      <w:pPr>
        <w:spacing w:after="0" w:line="76"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For the six months ended June 30, 2023, the net effect of discrete items decreased the effective tax rate by 7.1%. The discrete items for the six months ended June 30, 2023, primarily relate to the non-taxable bargain purchase gain associated with the acquisition of Giphy. Excluding discrete items, our effective tax rate would have been 17.8% for the six months ended June 30, 2023.</w:t>
      </w:r>
    </w:p>
    <w:p>
      <w:pPr>
        <w:spacing w:after="0" w:line="85" w:lineRule="exact"/>
        <w:rPr>
          <w:sz w:val="20"/>
          <w:szCs w:val="20"/>
          <w:color w:val="auto"/>
        </w:rPr>
      </w:pPr>
    </w:p>
    <w:p>
      <w:pPr>
        <w:ind w:right="220" w:firstLine="395"/>
        <w:spacing w:after="0" w:line="324" w:lineRule="auto"/>
        <w:rPr>
          <w:sz w:val="20"/>
          <w:szCs w:val="20"/>
          <w:color w:val="auto"/>
        </w:rPr>
      </w:pPr>
      <w:r>
        <w:rPr>
          <w:rFonts w:ascii="Arial" w:cs="Arial" w:eastAsia="Arial" w:hAnsi="Arial"/>
          <w:sz w:val="16"/>
          <w:szCs w:val="16"/>
          <w:color w:val="auto"/>
        </w:rPr>
        <w:t>For the six months ended June 30, 2022, the effective tax rate decreased by 2.2% related primarily to windfall tax benefits associated with equity-based compensation. Excluding discrete items, our effective tax rate would have been 19.1% for the six months ended June 30, 2022.</w:t>
      </w:r>
    </w:p>
    <w:p>
      <w:pPr>
        <w:spacing w:after="0" w:line="30"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48" w:lineRule="exact"/>
        <w:rPr>
          <w:sz w:val="20"/>
          <w:szCs w:val="20"/>
          <w:color w:val="auto"/>
        </w:rPr>
      </w:pPr>
    </w:p>
    <w:p>
      <w:pPr>
        <w:ind w:right="20" w:firstLine="395"/>
        <w:spacing w:after="0" w:line="310" w:lineRule="auto"/>
        <w:rPr>
          <w:sz w:val="20"/>
          <w:szCs w:val="20"/>
          <w:color w:val="auto"/>
        </w:rPr>
      </w:pPr>
      <w:r>
        <w:rPr>
          <w:rFonts w:ascii="Arial" w:cs="Arial" w:eastAsia="Arial" w:hAnsi="Arial"/>
          <w:sz w:val="15"/>
          <w:szCs w:val="15"/>
          <w:color w:val="auto"/>
        </w:rPr>
        <w:t>Our operating results may fluctuate from quarter to quarter as a result of a variety of factors, including the effects of some seasonal trends in customer behavior, timing of acquisitions and the timing of revenue recognition associated with computer vision data partnerships.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70" w:lineRule="exact"/>
        <w:rPr>
          <w:sz w:val="20"/>
          <w:szCs w:val="20"/>
          <w:color w:val="auto"/>
        </w:rPr>
      </w:pPr>
    </w:p>
    <w:p>
      <w:pPr>
        <w:ind w:right="160" w:firstLine="395"/>
        <w:spacing w:after="0" w:line="250" w:lineRule="auto"/>
        <w:rPr>
          <w:sz w:val="20"/>
          <w:szCs w:val="20"/>
          <w:color w:val="auto"/>
        </w:rPr>
      </w:pPr>
      <w:r>
        <w:rPr>
          <w:rFonts w:ascii="Arial" w:cs="Arial" w:eastAsia="Arial" w:hAnsi="Arial"/>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ind w:right="260" w:firstLine="395"/>
        <w:spacing w:after="0" w:line="252" w:lineRule="auto"/>
        <w:rPr>
          <w:sz w:val="20"/>
          <w:szCs w:val="20"/>
          <w:color w:val="auto"/>
        </w:rPr>
      </w:pPr>
      <w:r>
        <w:rPr>
          <w:rFonts w:ascii="Arial" w:cs="Arial" w:eastAsia="Arial" w:hAnsi="Arial"/>
          <w:sz w:val="18"/>
          <w:szCs w:val="18"/>
          <w:color w:val="auto"/>
        </w:rPr>
        <w:t>As of June 30, 2023, we had cash and cash equivalents totaling $87.1 million which consisted primarily of bank balances. Since inception, we have financed our operations primarily through cash flows generated from operations. In addition, if necessary, we have the ability to draw on our credit facility, which was obtained on May 6, 2022.</w:t>
      </w:r>
    </w:p>
    <w:p>
      <w:pPr>
        <w:spacing w:after="0" w:line="85"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declared and paid cash dividends of $0.54 per share of common stock, or $19.4 million during the six months ended June 30, 2023.</w:t>
      </w:r>
    </w:p>
    <w:p>
      <w:pPr>
        <w:spacing w:after="0" w:line="132"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On July 17, 2023, our Board of Directors declared a quarterly cash dividend of $0.27 per share of outstanding common stock payable on September 14, 2023 to stockholders of record at the close of business on August 31, 2023.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56"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In October 2015, our Board of Directors approved a share repurchase program (the “2015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As of December 31, 2022, we have fully utilized our authorization for repurchases under the 2015 Share Repurchase Program.</w:t>
      </w:r>
    </w:p>
    <w:p>
      <w:pPr>
        <w:spacing w:after="0" w:line="85" w:lineRule="exact"/>
        <w:rPr>
          <w:sz w:val="20"/>
          <w:szCs w:val="20"/>
          <w:color w:val="auto"/>
        </w:rPr>
      </w:pPr>
    </w:p>
    <w:p>
      <w:pPr>
        <w:ind w:right="680" w:firstLine="395"/>
        <w:spacing w:after="0" w:line="261" w:lineRule="auto"/>
        <w:rPr>
          <w:sz w:val="20"/>
          <w:szCs w:val="20"/>
          <w:color w:val="auto"/>
        </w:rPr>
      </w:pPr>
      <w:r>
        <w:rPr>
          <w:rFonts w:ascii="Arial" w:cs="Arial" w:eastAsia="Arial" w:hAnsi="Arial"/>
          <w:sz w:val="18"/>
          <w:szCs w:val="18"/>
          <w:color w:val="auto"/>
        </w:rPr>
        <w:t>In June 2023, our Board of Directors approved a share repurchase program (the “2023 Share Repurchase Program”), providing authorization to repurchase up to $100 million of our common stock.</w:t>
      </w:r>
    </w:p>
    <w:p>
      <w:pPr>
        <w:spacing w:after="0" w:line="76" w:lineRule="exact"/>
        <w:rPr>
          <w:sz w:val="20"/>
          <w:szCs w:val="20"/>
          <w:color w:val="auto"/>
        </w:rPr>
      </w:pPr>
    </w:p>
    <w:p>
      <w:pPr>
        <w:ind w:right="160" w:firstLine="395"/>
        <w:spacing w:after="0" w:line="316" w:lineRule="auto"/>
        <w:rPr>
          <w:sz w:val="20"/>
          <w:szCs w:val="20"/>
          <w:color w:val="auto"/>
        </w:rPr>
      </w:pPr>
      <w:r>
        <w:rPr>
          <w:rFonts w:ascii="Arial" w:cs="Arial" w:eastAsia="Arial" w:hAnsi="Arial"/>
          <w:sz w:val="15"/>
          <w:szCs w:val="15"/>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39" w:lineRule="exact"/>
        <w:rPr>
          <w:sz w:val="20"/>
          <w:szCs w:val="20"/>
          <w:color w:val="auto"/>
        </w:rPr>
      </w:pPr>
    </w:p>
    <w:p>
      <w:pPr>
        <w:ind w:right="420" w:firstLine="395"/>
        <w:spacing w:after="0" w:line="324" w:lineRule="auto"/>
        <w:rPr>
          <w:sz w:val="20"/>
          <w:szCs w:val="20"/>
          <w:color w:val="auto"/>
        </w:rPr>
      </w:pPr>
      <w:r>
        <w:rPr>
          <w:rFonts w:ascii="Arial" w:cs="Arial" w:eastAsia="Arial" w:hAnsi="Arial"/>
          <w:sz w:val="16"/>
          <w:szCs w:val="16"/>
          <w:color w:val="auto"/>
        </w:rPr>
        <w:t>During the six months ended June 30, 2023, we repurchased approximately 80,400 shares of our common stock at an average cost of $49.78. As of June 30, 2023, we had $96 million of remaining authorization for repurchases under the 2023 Share Repurchase Program.</w:t>
      </w: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7" w:right="439" w:bottom="1440" w:gutter="0" w:footer="0" w:header="0"/>
        </w:sectPr>
      </w:pPr>
    </w:p>
    <w:bookmarkStart w:id="33" w:name="page34"/>
    <w:bookmarkEnd w:id="3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56" w:lineRule="exact"/>
        <w:rPr>
          <w:sz w:val="20"/>
          <w:szCs w:val="20"/>
          <w:color w:val="auto"/>
        </w:rPr>
      </w:pPr>
    </w:p>
    <w:p>
      <w:pPr>
        <w:ind w:right="380" w:firstLine="395"/>
        <w:spacing w:after="0" w:line="299" w:lineRule="auto"/>
        <w:rPr>
          <w:sz w:val="20"/>
          <w:szCs w:val="20"/>
          <w:color w:val="auto"/>
        </w:rPr>
      </w:pPr>
      <w:r>
        <w:rPr>
          <w:rFonts w:ascii="Arial" w:cs="Arial" w:eastAsia="Arial" w:hAnsi="Arial"/>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9"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9"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As of June 30, 2023 and December 31, 2022, we had $30 million and $50 million, respectively, of outstanding borrowings under the Credit Facility. As of June 30, 2023, we had a remaining borrowing capacity of $68 million, net of standby letters of credit. For the three and six months ended June 30, 2023, cash interest paid was not significant.</w:t>
      </w:r>
    </w:p>
    <w:p>
      <w:pPr>
        <w:spacing w:after="0" w:line="85"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June 30, 2023, we are in compliance with these covenants.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9"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As of June 30, 2023, we had approximately $78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June 30, 2023, we had approximately $51 million in operating lease obligations with lease payments extending through 2029.</w:t>
      </w:r>
    </w:p>
    <w:p>
      <w:pPr>
        <w:spacing w:after="0" w:line="85" w:lineRule="exact"/>
        <w:rPr>
          <w:sz w:val="20"/>
          <w:szCs w:val="20"/>
          <w:color w:val="auto"/>
        </w:rPr>
      </w:pPr>
    </w:p>
    <w:p>
      <w:pPr>
        <w:ind w:right="580" w:firstLine="395"/>
        <w:spacing w:after="0" w:line="261" w:lineRule="auto"/>
        <w:rPr>
          <w:sz w:val="20"/>
          <w:szCs w:val="20"/>
          <w:color w:val="auto"/>
        </w:rPr>
      </w:pPr>
      <w:r>
        <w:rPr>
          <w:rFonts w:ascii="Arial" w:cs="Arial" w:eastAsia="Arial" w:hAnsi="Arial"/>
          <w:sz w:val="18"/>
          <w:szCs w:val="18"/>
          <w:color w:val="auto"/>
        </w:rPr>
        <w:t>See Note 14 to our Unaudited Consolidated Financial Statements included in Part I, Item 1 of this Quarterly Report on Form 10-Q for information regarding our existing capital commitments as of June 30,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 data for the six months ended June 30, 2023 and 2022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7"/>
        </w:trPr>
        <w:tc>
          <w:tcPr>
            <w:tcW w:w="8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r>
      <w:tr>
        <w:trPr>
          <w:trHeight w:val="20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05"/>
              <w:spacing w:after="0"/>
              <w:rPr>
                <w:sz w:val="20"/>
                <w:szCs w:val="20"/>
                <w:color w:val="auto"/>
              </w:rPr>
            </w:pPr>
            <w:r>
              <w:rPr>
                <w:rFonts w:ascii="Arial" w:cs="Arial" w:eastAsia="Arial" w:hAnsi="Arial"/>
                <w:sz w:val="16"/>
                <w:szCs w:val="16"/>
                <w:color w:val="auto"/>
                <w:w w:val="89"/>
              </w:rPr>
              <w:t>96,589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59,574</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center"/>
              <w:ind w:left="385"/>
              <w:spacing w:after="0"/>
              <w:rPr>
                <w:sz w:val="20"/>
                <w:szCs w:val="20"/>
                <w:color w:val="auto"/>
              </w:rPr>
            </w:pPr>
            <w:r>
              <w:rPr>
                <w:rFonts w:ascii="Arial" w:cs="Arial" w:eastAsia="Arial" w:hAnsi="Arial"/>
                <w:sz w:val="16"/>
                <w:szCs w:val="16"/>
                <w:color w:val="auto"/>
                <w:w w:val="90"/>
              </w:rPr>
              <w:t>(66,128)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(240,323)</w:t>
            </w:r>
          </w:p>
        </w:tc>
      </w:tr>
      <w:tr>
        <w:trPr>
          <w:trHeight w:val="214"/>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w w:val="90"/>
              </w:rPr>
              <w:t>(57,929)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56"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76" w:lineRule="exact"/>
        <w:rPr>
          <w:sz w:val="20"/>
          <w:szCs w:val="20"/>
          <w:color w:val="auto"/>
        </w:rPr>
      </w:pPr>
    </w:p>
    <w:p>
      <w:pPr>
        <w:jc w:val="both"/>
        <w:ind w:right="120" w:firstLine="395"/>
        <w:spacing w:after="0" w:line="299" w:lineRule="auto"/>
        <w:rPr>
          <w:sz w:val="20"/>
          <w:szCs w:val="20"/>
          <w:color w:val="auto"/>
        </w:rPr>
      </w:pPr>
      <w:r>
        <w:rPr>
          <w:rFonts w:ascii="Arial" w:cs="Arial" w:eastAsia="Arial" w:hAnsi="Arial"/>
          <w:sz w:val="16"/>
          <w:szCs w:val="16"/>
          <w:color w:val="auto"/>
        </w:rPr>
        <w:t>Net cash provided by operating activities was $96.6 million for the six months ended June 30, 2023, compared to $59.6 million for the six months ended June 30, 2022. In the six months ended June 30, 2023, operating cash flows were favorably impacted from changes in the timing of cash collections from our computer vision customers and payments pertaining to operating expenses, which can cause operating cash flow to fluctuate from period to period.</w:t>
      </w:r>
    </w:p>
    <w:p>
      <w:pPr>
        <w:spacing w:after="0" w:line="89" w:lineRule="exact"/>
        <w:rPr>
          <w:sz w:val="20"/>
          <w:szCs w:val="20"/>
          <w:color w:val="auto"/>
        </w:rPr>
      </w:pPr>
    </w:p>
    <w:p>
      <w:pPr>
        <w:ind w:right="300" w:firstLine="395"/>
        <w:spacing w:after="0" w:line="261" w:lineRule="auto"/>
        <w:rPr>
          <w:sz w:val="20"/>
          <w:szCs w:val="20"/>
          <w:color w:val="auto"/>
        </w:rPr>
      </w:pPr>
      <w:r>
        <w:rPr>
          <w:rFonts w:ascii="Arial" w:cs="Arial" w:eastAsia="Arial" w:hAnsi="Arial"/>
          <w:sz w:val="18"/>
          <w:szCs w:val="18"/>
          <w:color w:val="auto"/>
        </w:rPr>
        <w:t>In addition, operating cash flows for the six months ended June 30, 2023 were unfavorably impacted by the recurring and and non-recurring payments made to the Giphy workforce, the reimbursement of which is reflected in Investing Activities on</w:t>
      </w: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Statement of Cash Flows. Operating cash flows for the six months ended June 30, 2022 were unfavorably impacted by several large accounts payables and accrued expense items from 2021 that were paid in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8"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Cash used in investing activities for the six months ended June 30, 2023 was $66.1 million, consisting primarily of (i) $53.7 million used in the acquisition of Giphy, net of cash acquired, (ii) capital expenditures of $22.9 million for internal-use software and website development costs and purchases of software and equipment, and (iii) $5.3 million paid to acquire the rights to distribute certain digital content into perpetuity. These cash outflows were partially offset by (i) $15.8 million of Giphy Retention Compensation, as reimbursed by the Giphy seller.</w:t>
      </w:r>
    </w:p>
    <w:p>
      <w:pPr>
        <w:spacing w:after="0" w:line="55"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Cash used in investing activities in the six months ended June 30, 2022 was $240.3 million, consisting primarily of (i) $212.1 million used in the acquisitions of Pond5 and Splash News, net of cash acquired, (ii) capital expenditures of $20.8 million for internal-use software and website development costs and purchases of software and equipment, and (iii) $7.0 million paid to acquire the rights to distribute certain digital content in perpetuity.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56" w:lineRule="exact"/>
        <w:rPr>
          <w:sz w:val="20"/>
          <w:szCs w:val="20"/>
          <w:color w:val="auto"/>
        </w:rPr>
      </w:pPr>
    </w:p>
    <w:p>
      <w:pPr>
        <w:ind w:right="220" w:firstLine="395"/>
        <w:spacing w:after="0" w:line="291" w:lineRule="auto"/>
        <w:rPr>
          <w:sz w:val="20"/>
          <w:szCs w:val="20"/>
          <w:color w:val="auto"/>
        </w:rPr>
      </w:pPr>
      <w:r>
        <w:rPr>
          <w:rFonts w:ascii="Arial" w:cs="Arial" w:eastAsia="Arial" w:hAnsi="Arial"/>
          <w:sz w:val="16"/>
          <w:szCs w:val="16"/>
          <w:color w:val="auto"/>
        </w:rPr>
        <w:t>Cash used in financing activities in the six months ended June 30, 2023 was $57.9 million, consisting of (i) $50.0 million used for the repayment of our Credit Facility; (ii) $19.4 million, related to the payment of the quarterly cash dividend, (iii) $14.5 million paid in settlement of tax withholding obligations related to employee stock-based compensation awards and (iv) $4.0 million paid in connection with the repurchase of common stock under our 2023 Share Repurchase Program. These amounts were partially offset by $30.0 million proceeds received from our Credit Facility.</w:t>
      </w:r>
    </w:p>
    <w:p>
      <w:pPr>
        <w:spacing w:after="0" w:line="55" w:lineRule="exact"/>
        <w:rPr>
          <w:sz w:val="20"/>
          <w:szCs w:val="20"/>
          <w:color w:val="auto"/>
        </w:rPr>
      </w:pPr>
    </w:p>
    <w:p>
      <w:pPr>
        <w:ind w:right="200" w:firstLine="395"/>
        <w:spacing w:after="0" w:line="250" w:lineRule="auto"/>
        <w:rPr>
          <w:sz w:val="20"/>
          <w:szCs w:val="20"/>
          <w:color w:val="auto"/>
        </w:rPr>
      </w:pPr>
      <w:r>
        <w:rPr>
          <w:rFonts w:ascii="Arial" w:cs="Arial" w:eastAsia="Arial" w:hAnsi="Arial"/>
          <w:sz w:val="18"/>
          <w:szCs w:val="18"/>
          <w:color w:val="auto"/>
        </w:rPr>
        <w:t>Cash used in financing activities in the six months ended June 30, 2022 was $45.4 million, consisting of (i) $56.9 million in connection with the repurchase of common stock under our share repurchase program; (ii) $21.0 million paid in settlement of tax withholding obligations related to employee stock-based compensation awards; and (iii) $17.4 million related to the payment of the quarterly cash dividend. These amounts were partially offset by $50.0 million proceeds received from our Credit Facility.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5" w:lineRule="exact"/>
        <w:rPr>
          <w:sz w:val="20"/>
          <w:szCs w:val="20"/>
          <w:color w:val="auto"/>
        </w:rPr>
      </w:pPr>
    </w:p>
    <w:p>
      <w:pPr>
        <w:ind w:right="140" w:firstLine="395"/>
        <w:spacing w:after="0" w:line="284" w:lineRule="auto"/>
        <w:rPr>
          <w:sz w:val="20"/>
          <w:szCs w:val="20"/>
          <w:color w:val="auto"/>
        </w:rPr>
      </w:pPr>
      <w:r>
        <w:rPr>
          <w:rFonts w:ascii="Arial" w:cs="Arial" w:eastAsia="Arial" w:hAnsi="Arial"/>
          <w:sz w:val="16"/>
          <w:szCs w:val="16"/>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56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643"/>
              <w:spacing w:after="0"/>
              <w:rPr>
                <w:sz w:val="20"/>
                <w:szCs w:val="20"/>
                <w:color w:val="auto"/>
              </w:rPr>
            </w:pPr>
            <w:r>
              <w:rPr>
                <w:rFonts w:ascii="Arial" w:cs="Arial" w:eastAsia="Arial" w:hAnsi="Arial"/>
                <w:sz w:val="14"/>
                <w:szCs w:val="14"/>
                <w:b w:val="1"/>
                <w:bCs w:val="1"/>
                <w:color w:val="auto"/>
              </w:rPr>
              <w:t>Six Months Ended June 30,</w:t>
            </w:r>
          </w:p>
        </w:tc>
      </w:tr>
      <w:tr>
        <w:trPr>
          <w:trHeight w:val="177"/>
        </w:trPr>
        <w:tc>
          <w:tcPr>
            <w:tcW w:w="4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2022</w:t>
            </w:r>
          </w:p>
        </w:tc>
      </w:tr>
      <w:tr>
        <w:trPr>
          <w:trHeight w:val="204"/>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Financial Measures (in thousands):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7"/>
        </w:trPr>
        <w:tc>
          <w:tcPr>
            <w:tcW w:w="49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60,055</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48,927</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129,819</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103,736</w:t>
            </w: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39,058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30,272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86,192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67,456</w:t>
            </w:r>
          </w:p>
        </w:tc>
      </w:tr>
      <w:tr>
        <w:trPr>
          <w:trHeight w:val="207"/>
        </w:trPr>
        <w:tc>
          <w:tcPr>
            <w:tcW w:w="496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24"/>
              <w:spacing w:after="0"/>
              <w:rPr>
                <w:sz w:val="20"/>
                <w:szCs w:val="20"/>
                <w:color w:val="auto"/>
              </w:rPr>
            </w:pPr>
            <w:r>
              <w:rPr>
                <w:rFonts w:ascii="Arial" w:cs="Arial" w:eastAsia="Arial" w:hAnsi="Arial"/>
                <w:sz w:val="16"/>
                <w:szCs w:val="16"/>
                <w:color w:val="auto"/>
              </w:rPr>
              <w:t>33,351</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21,564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4"/>
              <w:spacing w:after="0"/>
              <w:rPr>
                <w:sz w:val="20"/>
                <w:szCs w:val="20"/>
                <w:color w:val="auto"/>
              </w:rPr>
            </w:pPr>
            <w:r>
              <w:rPr>
                <w:rFonts w:ascii="Arial" w:cs="Arial" w:eastAsia="Arial" w:hAnsi="Arial"/>
                <w:sz w:val="16"/>
                <w:szCs w:val="16"/>
                <w:color w:val="auto"/>
              </w:rPr>
              <w:t>84,219</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31,778</w:t>
            </w:r>
          </w:p>
        </w:tc>
      </w:tr>
      <w:tr>
        <w:trPr>
          <w:trHeight w:val="214"/>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bl>
    <w:p>
      <w:pPr>
        <w:spacing w:after="0" w:line="200" w:lineRule="exact"/>
        <w:rPr>
          <w:sz w:val="20"/>
          <w:szCs w:val="20"/>
          <w:color w:val="auto"/>
        </w:rPr>
      </w:pPr>
    </w:p>
    <w:p>
      <w:pPr>
        <w:spacing w:after="0" w:line="261" w:lineRule="exact"/>
        <w:rPr>
          <w:sz w:val="20"/>
          <w:szCs w:val="20"/>
          <w:color w:val="auto"/>
        </w:rPr>
      </w:pPr>
    </w:p>
    <w:p>
      <w:pPr>
        <w:ind w:right="200" w:firstLine="395"/>
        <w:spacing w:after="0" w:line="282" w:lineRule="auto"/>
        <w:rPr>
          <w:sz w:val="20"/>
          <w:szCs w:val="20"/>
          <w:color w:val="auto"/>
        </w:rPr>
      </w:pPr>
      <w:r>
        <w:rPr>
          <w:rFonts w:ascii="Arial" w:cs="Arial" w:eastAsia="Arial" w:hAnsi="Arial"/>
          <w:sz w:val="16"/>
          <w:szCs w:val="16"/>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management uses these non-GAAP financial measures, in conjunction with GAAP financial measures, as an integral</w:t>
      </w:r>
    </w:p>
    <w:p>
      <w:pPr>
        <w:spacing w:after="0" w:line="200" w:lineRule="exact"/>
        <w:rPr>
          <w:sz w:val="20"/>
          <w:szCs w:val="20"/>
          <w:color w:val="auto"/>
        </w:rPr>
      </w:pPr>
    </w:p>
    <w:p>
      <w:pPr>
        <w:spacing w:after="0" w:line="34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62"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Management believes that revenue growth (including by distribution channel) on a constant currency basis (expressed as a percentage)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68"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in addition to other financial performance measures, including various cash flow metrics, net income and our other GAAP results.</w:t>
      </w:r>
    </w:p>
    <w:p>
      <w:pPr>
        <w:spacing w:after="0" w:line="89"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Our method for calculating adjusted EBITDA, adjusted EBITDA margin, adjusted net income, adjusted net income per diluted common share, revenue growth (including by distribution channel) on a constant currency basis (expressed as a percentage) and free cash flow, as well as a reconciliation of the differences between adjusted EBITDA, adjusted net income, revenue growth (including by distribution channel) on a constant currency basis (expressed as a percentage) and free cash flow, and the most comparable financial measures calculated and presented in accordance with GAAP, are presented below.</w:t>
      </w:r>
    </w:p>
    <w:p>
      <w:pPr>
        <w:spacing w:after="0" w:line="55"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June 30, 2023, the Company also incurred $0.5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6" w:name="page37"/>
    <w:bookmarkEnd w:id="3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56" w:lineRule="exact"/>
        <w:rPr>
          <w:sz w:val="20"/>
          <w:szCs w:val="20"/>
          <w:color w:val="auto"/>
        </w:rPr>
      </w:pPr>
    </w:p>
    <w:p>
      <w:pPr>
        <w:ind w:right="220" w:firstLine="395"/>
        <w:spacing w:after="0" w:line="244" w:lineRule="auto"/>
        <w:rPr>
          <w:sz w:val="20"/>
          <w:szCs w:val="20"/>
          <w:color w:val="auto"/>
        </w:rPr>
      </w:pPr>
      <w:r>
        <w:rPr>
          <w:rFonts w:ascii="Arial" w:cs="Arial" w:eastAsia="Arial" w:hAnsi="Arial"/>
          <w:sz w:val="18"/>
          <w:szCs w:val="18"/>
          <w:color w:val="auto"/>
        </w:rPr>
        <w:t xml:space="preserve">We define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interest income and expense and income taxes. We define adjusted EBITDA margin as </w:t>
      </w:r>
      <w:r>
        <w:rPr>
          <w:rFonts w:ascii="Arial" w:cs="Arial" w:eastAsia="Arial" w:hAnsi="Arial"/>
          <w:sz w:val="16"/>
          <w:szCs w:val="16"/>
          <w:color w:val="auto"/>
        </w:rPr>
        <w:t>the ratio of adjusted</w:t>
      </w:r>
      <w:r>
        <w:rPr>
          <w:rFonts w:ascii="Arial" w:cs="Arial" w:eastAsia="Arial" w:hAnsi="Arial"/>
          <w:sz w:val="18"/>
          <w:szCs w:val="18"/>
          <w:color w:val="auto"/>
        </w:rPr>
        <w:t xml:space="preserve"> </w:t>
      </w:r>
      <w:r>
        <w:rPr>
          <w:rFonts w:ascii="Arial" w:cs="Arial" w:eastAsia="Arial" w:hAnsi="Arial"/>
          <w:sz w:val="16"/>
          <w:szCs w:val="16"/>
          <w:color w:val="auto"/>
        </w:rPr>
        <w:t>EBITDA to revenue.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4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46"/>
        </w:trPr>
        <w:tc>
          <w:tcPr>
            <w:tcW w:w="4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50,013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19,445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82,856</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46,017</w:t>
            </w:r>
          </w:p>
        </w:tc>
        <w:tc>
          <w:tcPr>
            <w:tcW w:w="0" w:type="dxa"/>
            <w:vAlign w:val="bottom"/>
          </w:tcPr>
          <w:p>
            <w:pPr>
              <w:spacing w:after="0"/>
              <w:rPr>
                <w:sz w:val="1"/>
                <w:szCs w:val="1"/>
                <w:color w:val="auto"/>
              </w:rPr>
            </w:pPr>
          </w:p>
        </w:tc>
      </w:tr>
      <w:tr>
        <w:trPr>
          <w:trHeight w:val="207"/>
        </w:trPr>
        <w:tc>
          <w:tcPr>
            <w:tcW w:w="4920" w:type="dxa"/>
            <w:vAlign w:val="bottom"/>
          </w:tcPr>
          <w:p>
            <w:pPr>
              <w:ind w:left="20"/>
              <w:spacing w:after="0"/>
              <w:rPr>
                <w:sz w:val="20"/>
                <w:szCs w:val="20"/>
                <w:color w:val="auto"/>
              </w:rPr>
            </w:pPr>
            <w:r>
              <w:rPr>
                <w:rFonts w:ascii="Arial" w:cs="Arial" w:eastAsia="Arial" w:hAnsi="Arial"/>
                <w:sz w:val="16"/>
                <w:szCs w:val="16"/>
                <w:color w:val="auto"/>
              </w:rPr>
              <w:t>Add / (less) Non-GAAP adjustments: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19,206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16,510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38,102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31,575</w:t>
            </w:r>
          </w:p>
        </w:tc>
        <w:tc>
          <w:tcPr>
            <w:tcW w:w="0" w:type="dxa"/>
            <w:vAlign w:val="bottom"/>
          </w:tcPr>
          <w:p>
            <w:pPr>
              <w:spacing w:after="0"/>
              <w:rPr>
                <w:sz w:val="1"/>
                <w:szCs w:val="1"/>
                <w:color w:val="auto"/>
              </w:rPr>
            </w:pPr>
          </w:p>
        </w:tc>
      </w:tr>
      <w:tr>
        <w:trPr>
          <w:trHeight w:val="207"/>
        </w:trPr>
        <w:tc>
          <w:tcPr>
            <w:tcW w:w="4920" w:type="dxa"/>
            <w:vAlign w:val="bottom"/>
          </w:tcPr>
          <w:p>
            <w:pPr>
              <w:ind w:left="140"/>
              <w:spacing w:after="0"/>
              <w:rPr>
                <w:sz w:val="20"/>
                <w:szCs w:val="20"/>
                <w:color w:val="auto"/>
              </w:rPr>
            </w:pPr>
            <w:r>
              <w:rPr>
                <w:rFonts w:ascii="Arial" w:cs="Arial" w:eastAsia="Arial" w:hAnsi="Arial"/>
                <w:sz w:val="16"/>
                <w:szCs w:val="16"/>
                <w:color w:val="auto"/>
              </w:rPr>
              <w:t>Non-cash equity-based compensation</w:t>
            </w:r>
          </w:p>
        </w:tc>
        <w:tc>
          <w:tcPr>
            <w:tcW w:w="360" w:type="dxa"/>
            <w:vAlign w:val="bottom"/>
          </w:tcPr>
          <w:p>
            <w:pPr>
              <w:spacing w:after="0"/>
              <w:rPr>
                <w:sz w:val="18"/>
                <w:szCs w:val="18"/>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14,943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7,043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23,586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14,869</w:t>
            </w:r>
          </w:p>
        </w:tc>
        <w:tc>
          <w:tcPr>
            <w:tcW w:w="0" w:type="dxa"/>
            <w:vAlign w:val="bottom"/>
          </w:tcPr>
          <w:p>
            <w:pPr>
              <w:spacing w:after="0"/>
              <w:rPr>
                <w:sz w:val="1"/>
                <w:szCs w:val="1"/>
                <w:color w:val="auto"/>
              </w:rPr>
            </w:pPr>
          </w:p>
        </w:tc>
      </w:tr>
      <w:tr>
        <w:trPr>
          <w:trHeight w:val="214"/>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(41,940)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(41,940)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920" w:type="dxa"/>
            <w:vAlign w:val="bottom"/>
          </w:tcPr>
          <w:p>
            <w:pPr>
              <w:ind w:left="140"/>
              <w:spacing w:after="0"/>
              <w:rPr>
                <w:sz w:val="20"/>
                <w:szCs w:val="20"/>
                <w:color w:val="auto"/>
              </w:rPr>
            </w:pPr>
            <w:r>
              <w:rPr>
                <w:rFonts w:ascii="Arial" w:cs="Arial" w:eastAsia="Arial" w:hAnsi="Arial"/>
                <w:sz w:val="16"/>
                <w:szCs w:val="16"/>
                <w:color w:val="auto"/>
              </w:rPr>
              <w:t>Giphy Retention Compensation Expense - non-recurring</w:t>
            </w:r>
          </w:p>
        </w:tc>
        <w:tc>
          <w:tcPr>
            <w:tcW w:w="360" w:type="dxa"/>
            <w:vAlign w:val="bottom"/>
          </w:tcPr>
          <w:p>
            <w:pPr>
              <w:spacing w:after="0"/>
              <w:rPr>
                <w:sz w:val="18"/>
                <w:szCs w:val="18"/>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17,191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17,191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92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Other adjustments, net</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2,661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197"/>
        </w:trPr>
        <w:tc>
          <w:tcPr>
            <w:tcW w:w="492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3,268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9,939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224"/>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60,055</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48,927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129,819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103,736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EBITDA margin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6"/>
                <w:szCs w:val="16"/>
                <w:color w:val="auto"/>
              </w:rPr>
              <w:t>28.8 %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6"/>
                <w:szCs w:val="16"/>
                <w:color w:val="auto"/>
              </w:rPr>
              <w:t>23.7 %</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30.6 %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adjustments, net includes unrealized foreign currency transaction gains and losses, severance associated with strategic workforce optimizations and interest income and expense.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Net Income Per Diluted Common Share</w:t>
      </w:r>
    </w:p>
    <w:p>
      <w:pPr>
        <w:spacing w:after="0" w:line="56" w:lineRule="exact"/>
        <w:rPr>
          <w:sz w:val="20"/>
          <w:szCs w:val="20"/>
          <w:color w:val="auto"/>
        </w:rPr>
      </w:pPr>
    </w:p>
    <w:p>
      <w:pPr>
        <w:ind w:right="20" w:firstLine="395"/>
        <w:spacing w:after="0" w:line="244" w:lineRule="auto"/>
        <w:rPr>
          <w:sz w:val="20"/>
          <w:szCs w:val="20"/>
          <w:color w:val="auto"/>
        </w:rPr>
      </w:pPr>
      <w:r>
        <w:rPr>
          <w:rFonts w:ascii="Arial" w:cs="Arial" w:eastAsia="Arial" w:hAnsi="Arial"/>
          <w:sz w:val="18"/>
          <w:szCs w:val="18"/>
          <w:color w:val="auto"/>
        </w:rPr>
        <w:t xml:space="preserve">We define adjusted net income as net income adjusted for the impact of non-cash equity-based compensation, the amortization of acquisition-related intangible assets, bargain purchase gain related to the acquisition of Giphy, Giphy Retention Compensation Expense - non-recurring, severance costs associated with strategic workforce optimizations and the estimated tax impact of such adjustments. We define adjusted net income per diluted common share as </w:t>
      </w:r>
      <w:r>
        <w:rPr>
          <w:rFonts w:ascii="Arial" w:cs="Arial" w:eastAsia="Arial" w:hAnsi="Arial"/>
          <w:sz w:val="16"/>
          <w:szCs w:val="16"/>
          <w:color w:val="auto"/>
        </w:rPr>
        <w:t>adjusted</w:t>
      </w:r>
      <w:r>
        <w:rPr>
          <w:rFonts w:ascii="Arial" w:cs="Arial" w:eastAsia="Arial" w:hAnsi="Arial"/>
          <w:sz w:val="18"/>
          <w:szCs w:val="18"/>
          <w:color w:val="auto"/>
        </w:rPr>
        <w:t xml:space="preserve"> </w:t>
      </w:r>
      <w:r>
        <w:rPr>
          <w:rFonts w:ascii="Arial" w:cs="Arial" w:eastAsia="Arial" w:hAnsi="Arial"/>
          <w:sz w:val="16"/>
          <w:szCs w:val="16"/>
          <w:color w:val="auto"/>
        </w:rPr>
        <w:t>net income divided by weighted average diluted shares.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reconciliation of net income to adjusted net income for each of the periods indicated (in thousands, except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4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8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4"/>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3"/>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54"/>
        </w:trPr>
        <w:tc>
          <w:tcPr>
            <w:tcW w:w="5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50,013</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19,445</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82,856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46,017</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Add / (less) Non-GAAP adjustments: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equity-based compensation</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14,943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14,869</w:t>
            </w:r>
          </w:p>
        </w:tc>
      </w:tr>
      <w:tr>
        <w:trPr>
          <w:trHeight w:val="211"/>
        </w:trPr>
        <w:tc>
          <w:tcPr>
            <w:tcW w:w="5200" w:type="dxa"/>
            <w:vAlign w:val="bottom"/>
          </w:tcPr>
          <w:p>
            <w:pPr>
              <w:ind w:left="140"/>
              <w:spacing w:after="0" w:line="210" w:lineRule="exact"/>
              <w:rPr>
                <w:sz w:val="20"/>
                <w:szCs w:val="20"/>
                <w:color w:val="auto"/>
              </w:rPr>
            </w:pPr>
            <w:r>
              <w:rPr>
                <w:rFonts w:ascii="Arial" w:cs="Arial" w:eastAsia="Arial" w:hAnsi="Arial"/>
                <w:sz w:val="16"/>
                <w:szCs w:val="16"/>
                <w:color w:val="auto"/>
              </w:rPr>
              <w:t>Tax effect of non-cash equity-based compensation</w:t>
            </w:r>
            <w:r>
              <w:rPr>
                <w:rFonts w:ascii="Arial" w:cs="Arial" w:eastAsia="Arial" w:hAnsi="Arial"/>
                <w:sz w:val="20"/>
                <w:szCs w:val="20"/>
                <w:color w:val="auto"/>
                <w:vertAlign w:val="superscript"/>
              </w:rPr>
              <w:t>(1)</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(3,512)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(1,655)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(3,493)</w:t>
            </w:r>
          </w:p>
        </w:tc>
      </w:tr>
      <w:tr>
        <w:trPr>
          <w:trHeight w:val="211"/>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amortization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8,370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13,155</w:t>
            </w:r>
          </w:p>
        </w:tc>
      </w:tr>
      <w:tr>
        <w:trPr>
          <w:trHeight w:val="211"/>
        </w:trPr>
        <w:tc>
          <w:tcPr>
            <w:tcW w:w="5200" w:type="dxa"/>
            <w:vAlign w:val="bottom"/>
          </w:tcPr>
          <w:p>
            <w:pPr>
              <w:ind w:left="140"/>
              <w:spacing w:after="0" w:line="210" w:lineRule="exact"/>
              <w:rPr>
                <w:sz w:val="20"/>
                <w:szCs w:val="20"/>
                <w:color w:val="auto"/>
              </w:rPr>
            </w:pPr>
            <w:r>
              <w:rPr>
                <w:rFonts w:ascii="Arial" w:cs="Arial" w:eastAsia="Arial" w:hAnsi="Arial"/>
                <w:sz w:val="16"/>
                <w:szCs w:val="16"/>
                <w:color w:val="auto"/>
              </w:rPr>
              <w:t>Tax effect of acquisition-related amortization expense</w:t>
            </w:r>
            <w:r>
              <w:rPr>
                <w:rFonts w:ascii="Arial" w:cs="Arial" w:eastAsia="Arial" w:hAnsi="Arial"/>
                <w:sz w:val="20"/>
                <w:szCs w:val="20"/>
                <w:color w:val="auto"/>
                <w:vertAlign w:val="superscript"/>
              </w:rPr>
              <w:t>(1)</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(1,671)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(3,092)</w:t>
            </w:r>
          </w:p>
        </w:tc>
      </w:tr>
      <w:tr>
        <w:trPr>
          <w:trHeight w:val="211"/>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(41,940)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Giphy Retention Compensation Expense - non-recurring</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17,191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 of Giphy Retention Compensation Expense - non-recurring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Other</w:t>
            </w:r>
          </w:p>
        </w:tc>
        <w:tc>
          <w:tcPr>
            <w:tcW w:w="86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200" w:type="dxa"/>
            <w:vAlign w:val="bottom"/>
            <w:tcBorders>
              <w:bottom w:val="single" w:sz="8" w:color="CCEEFF"/>
            </w:tcBorders>
            <w:shd w:val="clear" w:color="auto" w:fill="CCEEFF"/>
          </w:tcPr>
          <w:p>
            <w:pPr>
              <w:ind w:left="140"/>
              <w:spacing w:after="0" w:line="214" w:lineRule="exact"/>
              <w:rPr>
                <w:sz w:val="20"/>
                <w:szCs w:val="20"/>
                <w:color w:val="auto"/>
              </w:rPr>
            </w:pPr>
            <w:r>
              <w:rPr>
                <w:rFonts w:ascii="Arial" w:cs="Arial" w:eastAsia="Arial" w:hAnsi="Arial"/>
                <w:sz w:val="16"/>
                <w:szCs w:val="16"/>
                <w:color w:val="auto"/>
              </w:rPr>
              <w:t>Tax effect of other</w:t>
            </w:r>
            <w:r>
              <w:rPr>
                <w:rFonts w:ascii="Arial" w:cs="Arial" w:eastAsia="Arial" w:hAnsi="Arial"/>
                <w:sz w:val="20"/>
                <w:szCs w:val="20"/>
                <w:color w:val="auto"/>
                <w:vertAlign w:val="superscript"/>
              </w:rPr>
              <w:t>(1)</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2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w w:val="98"/>
              </w:rPr>
              <w:t>39,058</w:t>
            </w:r>
          </w:p>
        </w:tc>
        <w:tc>
          <w:tcPr>
            <w:tcW w:w="10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30,272</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86,192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67,456</w:t>
            </w:r>
          </w:p>
        </w:tc>
      </w:tr>
      <w:tr>
        <w:trPr>
          <w:trHeight w:val="39"/>
        </w:trPr>
        <w:tc>
          <w:tcPr>
            <w:tcW w:w="5200" w:type="dxa"/>
            <w:vAlign w:val="bottom"/>
            <w:tcBorders>
              <w:bottom w:val="single" w:sz="8" w:color="CCEEFF"/>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Net income per diluted share</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1.37</w:t>
            </w:r>
          </w:p>
        </w:tc>
        <w:tc>
          <w:tcPr>
            <w:tcW w:w="10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0.53</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per diluted common share</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53"/>
        </w:trPr>
        <w:tc>
          <w:tcPr>
            <w:tcW w:w="5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w:t>
            </w:r>
          </w:p>
        </w:tc>
        <w:tc>
          <w:tcPr>
            <w:tcW w:w="8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36,406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36,578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Statutory tax rates are used to calculate the tax effect of the adjustments.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Growth (including by distribution channel) on a Constant Currency Basis</w:t>
      </w:r>
    </w:p>
    <w:p>
      <w:pPr>
        <w:spacing w:after="0" w:line="56" w:lineRule="exact"/>
        <w:rPr>
          <w:sz w:val="20"/>
          <w:szCs w:val="20"/>
          <w:color w:val="auto"/>
        </w:rPr>
      </w:pPr>
    </w:p>
    <w:p>
      <w:pPr>
        <w:ind w:right="240" w:firstLine="395"/>
        <w:spacing w:after="0" w:line="293" w:lineRule="auto"/>
        <w:rPr>
          <w:sz w:val="20"/>
          <w:szCs w:val="20"/>
          <w:color w:val="auto"/>
        </w:rPr>
      </w:pPr>
      <w:r>
        <w:rPr>
          <w:rFonts w:ascii="Arial" w:cs="Arial" w:eastAsia="Arial" w:hAnsi="Arial"/>
          <w:sz w:val="16"/>
          <w:szCs w:val="16"/>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7"/>
        </w:trPr>
        <w:tc>
          <w:tcPr>
            <w:tcW w:w="49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r>
      <w:tr>
        <w:trPr>
          <w:trHeight w:val="46"/>
        </w:trPr>
        <w:tc>
          <w:tcPr>
            <w:tcW w:w="4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 (in thousands)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208,840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206,872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424,120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406,004</w:t>
            </w:r>
          </w:p>
        </w:tc>
      </w:tr>
      <w:tr>
        <w:trPr>
          <w:trHeight w:val="207"/>
        </w:trPr>
        <w:tc>
          <w:tcPr>
            <w:tcW w:w="4920" w:type="dxa"/>
            <w:vAlign w:val="bottom"/>
          </w:tcPr>
          <w:p>
            <w:pPr>
              <w:ind w:left="140"/>
              <w:spacing w:after="0"/>
              <w:rPr>
                <w:sz w:val="20"/>
                <w:szCs w:val="20"/>
                <w:color w:val="auto"/>
              </w:rPr>
            </w:pPr>
            <w:r>
              <w:rPr>
                <w:rFonts w:ascii="Arial" w:cs="Arial" w:eastAsia="Arial" w:hAnsi="Arial"/>
                <w:sz w:val="16"/>
                <w:szCs w:val="16"/>
                <w:i w:val="1"/>
                <w:iCs w:val="1"/>
                <w:color w:val="auto"/>
              </w:rPr>
              <w:t>Revenue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9 %</w:t>
            </w:r>
          </w:p>
        </w:tc>
      </w:tr>
      <w:tr>
        <w:trPr>
          <w:trHeight w:val="214"/>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Revenue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r>
      <w:tr>
        <w:trPr>
          <w:trHeight w:val="53"/>
        </w:trPr>
        <w:tc>
          <w:tcPr>
            <w:tcW w:w="49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 reported revenue (in thousands)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111,903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127,388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231,657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254,458</w:t>
            </w:r>
          </w:p>
        </w:tc>
      </w:tr>
      <w:tr>
        <w:trPr>
          <w:trHeight w:val="207"/>
        </w:trPr>
        <w:tc>
          <w:tcPr>
            <w:tcW w:w="4920" w:type="dxa"/>
            <w:vAlign w:val="bottom"/>
          </w:tcPr>
          <w:p>
            <w:pPr>
              <w:ind w:left="140"/>
              <w:spacing w:after="0"/>
              <w:rPr>
                <w:sz w:val="20"/>
                <w:szCs w:val="20"/>
                <w:color w:val="auto"/>
              </w:rPr>
            </w:pPr>
            <w:r>
              <w:rPr>
                <w:rFonts w:ascii="Arial" w:cs="Arial" w:eastAsia="Arial" w:hAnsi="Arial"/>
                <w:sz w:val="16"/>
                <w:szCs w:val="16"/>
                <w:i w:val="1"/>
                <w:iCs w:val="1"/>
                <w:color w:val="auto"/>
              </w:rPr>
              <w:t>E-commerce revenue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6 %</w:t>
            </w:r>
          </w:p>
        </w:tc>
      </w:tr>
      <w:tr>
        <w:trPr>
          <w:trHeight w:val="214"/>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E-commerce revenue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9 %</w:t>
            </w:r>
          </w:p>
        </w:tc>
      </w:tr>
      <w:tr>
        <w:trPr>
          <w:trHeight w:val="79"/>
        </w:trPr>
        <w:tc>
          <w:tcPr>
            <w:tcW w:w="49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11"/>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reported revenue (in thousands)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96,937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79,484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192,463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151,546</w:t>
            </w:r>
          </w:p>
        </w:tc>
      </w:tr>
      <w:tr>
        <w:trPr>
          <w:trHeight w:val="207"/>
        </w:trPr>
        <w:tc>
          <w:tcPr>
            <w:tcW w:w="4920" w:type="dxa"/>
            <w:vAlign w:val="bottom"/>
          </w:tcPr>
          <w:p>
            <w:pPr>
              <w:ind w:left="140"/>
              <w:spacing w:after="0"/>
              <w:rPr>
                <w:sz w:val="20"/>
                <w:szCs w:val="20"/>
                <w:color w:val="auto"/>
              </w:rPr>
            </w:pPr>
            <w:r>
              <w:rPr>
                <w:rFonts w:ascii="Arial" w:cs="Arial" w:eastAsia="Arial" w:hAnsi="Arial"/>
                <w:sz w:val="16"/>
                <w:szCs w:val="16"/>
                <w:i w:val="1"/>
                <w:iCs w:val="1"/>
                <w:color w:val="auto"/>
              </w:rPr>
              <w:t>Enterprise revenue growth</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13 %</w:t>
            </w:r>
          </w:p>
        </w:tc>
      </w:tr>
      <w:tr>
        <w:trPr>
          <w:trHeight w:val="214"/>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Enterprise revenue growth on a constant currency basis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48"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We define free cash flow as our cash provided by operating activities, adjusted for capital expenditures, content acquisition and cash received related to Giphy Retention Compensation in connection with the acquisition of Giphy.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reconciliation of net cash provided by operating activities to free cash flow for each of the periods indicated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4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58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77"/>
        </w:trPr>
        <w:tc>
          <w:tcPr>
            <w:tcW w:w="5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33"/>
        </w:trPr>
        <w:tc>
          <w:tcPr>
            <w:tcW w:w="520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29,814</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36,851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96,589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59,574</w:t>
            </w: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7"/>
              </w:rPr>
              <w:t>(10,490)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(9,022)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(20,797)</w:t>
            </w:r>
          </w:p>
        </w:tc>
      </w:tr>
      <w:tr>
        <w:trPr>
          <w:trHeight w:val="214"/>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Content acquisitions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(6,265)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(6,999)</w:t>
            </w:r>
          </w:p>
        </w:tc>
      </w:tr>
      <w:tr>
        <w:trPr>
          <w:trHeight w:val="20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received related to Giphy Retention Compensation</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15,752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33,351</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21,564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84,219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5"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risks related to foreign currency exchange rate fluctuation, interest rate fluctuation and inflation.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9"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30% and 33% for the six months ended June 30, 2023 and 2022,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2023, we estimate that a 10% change in the exchange rate of the U.S. dollar against all foreign currency denominated revenues would result in an approximately 3% impact on our revenue.</w:t>
      </w:r>
    </w:p>
    <w:p>
      <w:pPr>
        <w:spacing w:after="0" w:line="105"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historical revenue by currency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4"/>
          </w:tcPr>
          <w:p>
            <w:pPr>
              <w:jc w:val="right"/>
              <w:ind w:right="24"/>
              <w:spacing w:after="0"/>
              <w:rPr>
                <w:sz w:val="20"/>
                <w:szCs w:val="20"/>
                <w:color w:val="auto"/>
              </w:rPr>
            </w:pPr>
            <w:r>
              <w:rPr>
                <w:rFonts w:ascii="Arial" w:cs="Arial" w:eastAsia="Arial" w:hAnsi="Arial"/>
                <w:sz w:val="12"/>
                <w:szCs w:val="12"/>
                <w:b w:val="1"/>
                <w:bCs w:val="1"/>
                <w:color w:val="auto"/>
                <w:w w:val="95"/>
              </w:rPr>
              <w:t>Three Months Ended June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4"/>
          </w:tcPr>
          <w:p>
            <w:pPr>
              <w:jc w:val="right"/>
              <w:ind w:right="104"/>
              <w:spacing w:after="0"/>
              <w:rPr>
                <w:sz w:val="20"/>
                <w:szCs w:val="20"/>
                <w:color w:val="auto"/>
              </w:rPr>
            </w:pPr>
            <w:r>
              <w:rPr>
                <w:rFonts w:ascii="Arial" w:cs="Arial" w:eastAsia="Arial" w:hAnsi="Arial"/>
                <w:sz w:val="12"/>
                <w:szCs w:val="12"/>
                <w:b w:val="1"/>
                <w:bCs w:val="1"/>
                <w:color w:val="auto"/>
                <w:w w:val="99"/>
              </w:rPr>
              <w:t>Six Months Ended June 30,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2023</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2022</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2023</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2022</w:t>
            </w: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2"/>
                <w:szCs w:val="12"/>
                <w:b w:val="1"/>
                <w:bCs w:val="1"/>
                <w:color w:val="auto"/>
                <w:w w:val="91"/>
              </w:rPr>
              <w:t>U.S. Dollars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92"/>
              <w:spacing w:after="0" w:line="118" w:lineRule="exact"/>
              <w:rPr>
                <w:sz w:val="20"/>
                <w:szCs w:val="20"/>
                <w:color w:val="auto"/>
              </w:rPr>
            </w:pPr>
            <w:r>
              <w:rPr>
                <w:rFonts w:ascii="Arial" w:cs="Arial" w:eastAsia="Arial" w:hAnsi="Arial"/>
                <w:sz w:val="12"/>
                <w:szCs w:val="12"/>
                <w:b w:val="1"/>
                <w:bCs w:val="1"/>
                <w:color w:val="auto"/>
                <w:w w:val="96"/>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4"/>
              <w:spacing w:after="0"/>
              <w:rPr>
                <w:sz w:val="20"/>
                <w:szCs w:val="20"/>
                <w:color w:val="auto"/>
              </w:rPr>
            </w:pPr>
            <w:r>
              <w:rPr>
                <w:rFonts w:ascii="Arial" w:cs="Arial" w:eastAsia="Arial" w:hAnsi="Arial"/>
                <w:sz w:val="12"/>
                <w:szCs w:val="12"/>
                <w:b w:val="1"/>
                <w:bCs w:val="1"/>
                <w:color w:val="auto"/>
                <w:w w:val="94"/>
              </w:rPr>
              <w:t>U.S. Dollars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18" w:lineRule="exact"/>
              <w:rPr>
                <w:sz w:val="20"/>
                <w:szCs w:val="20"/>
                <w:color w:val="auto"/>
              </w:rPr>
            </w:pPr>
            <w:r>
              <w:rPr>
                <w:rFonts w:ascii="Arial" w:cs="Arial" w:eastAsia="Arial" w:hAnsi="Arial"/>
                <w:sz w:val="12"/>
                <w:szCs w:val="12"/>
                <w:b w:val="1"/>
                <w:bCs w:val="1"/>
                <w:color w:val="auto"/>
                <w:w w:val="96"/>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4"/>
              </w:rPr>
              <w:t>U.S. Dollars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72"/>
              <w:spacing w:after="0" w:line="118" w:lineRule="exact"/>
              <w:rPr>
                <w:sz w:val="20"/>
                <w:szCs w:val="20"/>
                <w:color w:val="auto"/>
              </w:rPr>
            </w:pPr>
            <w:r>
              <w:rPr>
                <w:rFonts w:ascii="Arial" w:cs="Arial" w:eastAsia="Arial" w:hAnsi="Arial"/>
                <w:sz w:val="12"/>
                <w:szCs w:val="12"/>
                <w:b w:val="1"/>
                <w:bCs w:val="1"/>
                <w:color w:val="auto"/>
                <w:w w:val="96"/>
              </w:rPr>
              <w:t>Originating</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4"/>
              <w:spacing w:after="0"/>
              <w:rPr>
                <w:sz w:val="20"/>
                <w:szCs w:val="20"/>
                <w:color w:val="auto"/>
              </w:rPr>
            </w:pPr>
            <w:r>
              <w:rPr>
                <w:rFonts w:ascii="Arial" w:cs="Arial" w:eastAsia="Arial" w:hAnsi="Arial"/>
                <w:sz w:val="12"/>
                <w:szCs w:val="12"/>
                <w:b w:val="1"/>
                <w:bCs w:val="1"/>
                <w:color w:val="auto"/>
                <w:w w:val="91"/>
              </w:rPr>
              <w:t>U.S. Dollars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70"/>
              <w:spacing w:after="0" w:line="118" w:lineRule="exact"/>
              <w:rPr>
                <w:sz w:val="20"/>
                <w:szCs w:val="20"/>
                <w:color w:val="auto"/>
              </w:rPr>
            </w:pPr>
            <w:r>
              <w:rPr>
                <w:rFonts w:ascii="Arial" w:cs="Arial" w:eastAsia="Arial" w:hAnsi="Arial"/>
                <w:sz w:val="12"/>
                <w:szCs w:val="12"/>
                <w:b w:val="1"/>
                <w:bCs w:val="1"/>
                <w:color w:val="auto"/>
                <w:w w:val="99"/>
              </w:rPr>
              <w:t>Originating</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52"/>
              <w:spacing w:after="0"/>
              <w:rPr>
                <w:sz w:val="20"/>
                <w:szCs w:val="20"/>
                <w:color w:val="auto"/>
              </w:rPr>
            </w:pPr>
            <w:r>
              <w:rPr>
                <w:rFonts w:ascii="Arial" w:cs="Arial" w:eastAsia="Arial" w:hAnsi="Arial"/>
                <w:sz w:val="12"/>
                <w:szCs w:val="12"/>
                <w:b w:val="1"/>
                <w:bCs w:val="1"/>
                <w:color w:val="auto"/>
              </w:rPr>
              <w:t>Currency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30"/>
              <w:spacing w:after="0"/>
              <w:rPr>
                <w:sz w:val="20"/>
                <w:szCs w:val="20"/>
                <w:color w:val="auto"/>
              </w:rPr>
            </w:pPr>
            <w:r>
              <w:rPr>
                <w:rFonts w:ascii="Arial" w:cs="Arial" w:eastAsia="Arial" w:hAnsi="Arial"/>
                <w:sz w:val="12"/>
                <w:szCs w:val="12"/>
                <w:b w:val="1"/>
                <w:bCs w:val="1"/>
                <w:color w:val="auto"/>
              </w:rPr>
              <w:t>Currency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32"/>
              <w:spacing w:after="0"/>
              <w:rPr>
                <w:sz w:val="20"/>
                <w:szCs w:val="20"/>
                <w:color w:val="auto"/>
              </w:rPr>
            </w:pPr>
            <w:r>
              <w:rPr>
                <w:rFonts w:ascii="Arial" w:cs="Arial" w:eastAsia="Arial" w:hAnsi="Arial"/>
                <w:sz w:val="12"/>
                <w:szCs w:val="12"/>
                <w:b w:val="1"/>
                <w:bCs w:val="1"/>
                <w:color w:val="auto"/>
              </w:rPr>
              <w:t>Currency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30"/>
              <w:spacing w:after="0"/>
              <w:rPr>
                <w:sz w:val="20"/>
                <w:szCs w:val="20"/>
                <w:color w:val="auto"/>
              </w:rPr>
            </w:pPr>
            <w:r>
              <w:rPr>
                <w:rFonts w:ascii="Arial" w:cs="Arial" w:eastAsia="Arial" w:hAnsi="Arial"/>
                <w:sz w:val="12"/>
                <w:szCs w:val="12"/>
                <w:b w:val="1"/>
                <w:bCs w:val="1"/>
                <w:color w:val="auto"/>
              </w:rPr>
              <w:t>Currency</w:t>
            </w:r>
          </w:p>
        </w:tc>
        <w:tc>
          <w:tcPr>
            <w:tcW w:w="0" w:type="dxa"/>
            <w:vAlign w:val="bottom"/>
          </w:tcPr>
          <w:p>
            <w:pPr>
              <w:spacing w:after="0"/>
              <w:rPr>
                <w:sz w:val="1"/>
                <w:szCs w:val="1"/>
                <w:color w:val="auto"/>
              </w:rPr>
            </w:pPr>
          </w:p>
        </w:tc>
      </w:tr>
      <w:tr>
        <w:trPr>
          <w:trHeight w:val="25"/>
        </w:trPr>
        <w:tc>
          <w:tcPr>
            <w:tcW w:w="3220" w:type="dxa"/>
            <w:vAlign w:val="bottom"/>
            <w:vMerge w:val="restart"/>
          </w:tcPr>
          <w:p>
            <w:pPr>
              <w:ind w:left="20"/>
              <w:spacing w:after="0"/>
              <w:rPr>
                <w:sz w:val="20"/>
                <w:szCs w:val="20"/>
                <w:color w:val="auto"/>
              </w:rPr>
            </w:pPr>
            <w:r>
              <w:rPr>
                <w:rFonts w:ascii="Arial" w:cs="Arial" w:eastAsia="Arial" w:hAnsi="Arial"/>
                <w:sz w:val="16"/>
                <w:szCs w:val="16"/>
                <w:color w:val="auto"/>
              </w:rPr>
              <w:t>Euro</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2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35,402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2"/>
              <w:spacing w:after="0"/>
              <w:rPr>
                <w:sz w:val="20"/>
                <w:szCs w:val="20"/>
                <w:color w:val="auto"/>
              </w:rPr>
            </w:pPr>
            <w:r>
              <w:rPr>
                <w:rFonts w:ascii="Arial" w:cs="Arial" w:eastAsia="Arial" w:hAnsi="Arial"/>
                <w:sz w:val="16"/>
                <w:szCs w:val="16"/>
                <w:color w:val="auto"/>
              </w:rPr>
              <w:t>32,367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0"/>
              <w:spacing w:after="0"/>
              <w:rPr>
                <w:sz w:val="20"/>
                <w:szCs w:val="20"/>
                <w:color w:val="auto"/>
              </w:rPr>
            </w:pPr>
            <w:r>
              <w:rPr>
                <w:rFonts w:ascii="Arial" w:cs="Arial" w:eastAsia="Arial" w:hAnsi="Arial"/>
                <w:sz w:val="16"/>
                <w:szCs w:val="16"/>
                <w:color w:val="auto"/>
              </w:rPr>
              <w:t>36,743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71,377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66,001</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77,642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69,758</w:t>
            </w:r>
          </w:p>
        </w:tc>
        <w:tc>
          <w:tcPr>
            <w:tcW w:w="0" w:type="dxa"/>
            <w:vAlign w:val="bottom"/>
          </w:tcPr>
          <w:p>
            <w:pPr>
              <w:spacing w:after="0"/>
              <w:rPr>
                <w:sz w:val="1"/>
                <w:szCs w:val="1"/>
                <w:color w:val="auto"/>
              </w:rPr>
            </w:pPr>
          </w:p>
        </w:tc>
      </w:tr>
      <w:tr>
        <w:trPr>
          <w:trHeight w:val="214"/>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6"/>
                <w:szCs w:val="16"/>
                <w:color w:val="auto"/>
              </w:rPr>
              <w:t>11,303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14,755</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11,521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21,514</w:t>
            </w:r>
          </w:p>
        </w:tc>
        <w:tc>
          <w:tcPr>
            <w:tcW w:w="0" w:type="dxa"/>
            <w:vAlign w:val="bottom"/>
          </w:tcPr>
          <w:p>
            <w:pPr>
              <w:spacing w:after="0"/>
              <w:rPr>
                <w:sz w:val="1"/>
                <w:szCs w:val="1"/>
                <w:color w:val="auto"/>
              </w:rPr>
            </w:pPr>
          </w:p>
        </w:tc>
      </w:tr>
      <w:tr>
        <w:trPr>
          <w:trHeight w:val="211"/>
        </w:trPr>
        <w:tc>
          <w:tcPr>
            <w:tcW w:w="32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All other non-U.S. currencies</w:t>
            </w:r>
            <w:r>
              <w:rPr>
                <w:rFonts w:ascii="Arial" w:cs="Arial" w:eastAsia="Arial" w:hAnsi="Arial"/>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63,732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128,146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145,108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136,998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295,974</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270,861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208,840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424,120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no single currency which exceeded 5% of total revenue for any of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09" w:lineRule="exact"/>
        <w:rPr>
          <w:sz w:val="20"/>
          <w:szCs w:val="20"/>
          <w:color w:val="auto"/>
        </w:rPr>
      </w:pPr>
    </w:p>
    <w:p>
      <w:pPr>
        <w:jc w:val="both"/>
        <w:ind w:right="380" w:firstLine="395"/>
        <w:spacing w:after="0" w:line="252"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Amounts borrowed under our Credit Facility accrue interest at a per annum rate based on either (i) the base rate plus a margin ranging from 0.125%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0.500%, determined based on our consolidated leverage ratio or (ii) the Term Secured Overnight Financing Rate (for interest periods of 1, 3 or 6 months) plus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margin ranging from 1.125% to 1.5%, determined based on our consolidated leverage ratio. A hypothetical 10% change in interest rates would not have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material impact on our interest expense as of June 30,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9"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6" w:lineRule="exact"/>
        <w:rPr>
          <w:sz w:val="20"/>
          <w:szCs w:val="20"/>
          <w:color w:val="auto"/>
        </w:rPr>
      </w:pPr>
    </w:p>
    <w:p>
      <w:pPr>
        <w:ind w:right="20" w:firstLine="395"/>
        <w:spacing w:after="0" w:line="261" w:lineRule="auto"/>
        <w:rPr>
          <w:sz w:val="20"/>
          <w:szCs w:val="20"/>
          <w:color w:val="auto"/>
        </w:rPr>
      </w:pPr>
      <w:r>
        <w:rPr>
          <w:rFonts w:ascii="Arial" w:cs="Arial" w:eastAsia="Arial" w:hAnsi="Arial"/>
          <w:sz w:val="18"/>
          <w:szCs w:val="18"/>
          <w:color w:val="auto"/>
        </w:rPr>
        <w:t>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9" w:lineRule="exact"/>
        <w:rPr>
          <w:sz w:val="20"/>
          <w:szCs w:val="20"/>
          <w:color w:val="auto"/>
        </w:rPr>
      </w:pPr>
    </w:p>
    <w:p>
      <w:pPr>
        <w:ind w:right="400" w:firstLine="395"/>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PART II.</w:t>
        <w:tab/>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4" w:lineRule="exact"/>
        <w:rPr>
          <w:sz w:val="20"/>
          <w:szCs w:val="20"/>
          <w:color w:val="auto"/>
        </w:rPr>
      </w:pPr>
    </w:p>
    <w:p>
      <w:pPr>
        <w:ind w:right="240" w:firstLine="395"/>
        <w:spacing w:after="0" w:line="284"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5" w:lineRule="exact"/>
        <w:rPr>
          <w:sz w:val="20"/>
          <w:szCs w:val="20"/>
          <w:color w:val="auto"/>
        </w:rPr>
      </w:pPr>
    </w:p>
    <w:p>
      <w:pPr>
        <w:ind w:right="380" w:firstLine="395"/>
        <w:spacing w:after="0" w:line="291" w:lineRule="auto"/>
        <w:rPr>
          <w:sz w:val="20"/>
          <w:szCs w:val="20"/>
          <w:color w:val="auto"/>
        </w:rPr>
      </w:pPr>
      <w:r>
        <w:rPr>
          <w:rFonts w:ascii="Arial" w:cs="Arial" w:eastAsia="Arial" w:hAnsi="Arial"/>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2022 Form 10-K, which could materially affect our business, financial condition or future results. During the three months ended June 30, 2023, there were no material changes to these risk factors as described in our 2022 Form 10-K.</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480" w:type="dxa"/>
            <w:vAlign w:val="bottom"/>
            <w:gridSpan w:val="6"/>
          </w:tcPr>
          <w:p>
            <w:pPr>
              <w:ind w:left="14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740" w:type="dxa"/>
            <w:vAlign w:val="bottom"/>
          </w:tcPr>
          <w:p>
            <w:pPr>
              <w:ind w:left="400"/>
              <w:spacing w:after="0"/>
              <w:rPr>
                <w:sz w:val="20"/>
                <w:szCs w:val="20"/>
                <w:color w:val="auto"/>
              </w:rPr>
            </w:pPr>
            <w:r>
              <w:rPr>
                <w:rFonts w:ascii="Arial" w:cs="Arial" w:eastAsia="Arial" w:hAnsi="Arial"/>
                <w:sz w:val="18"/>
                <w:szCs w:val="18"/>
                <w:color w:val="auto"/>
              </w:rPr>
              <w:t>(c)</w:t>
            </w:r>
          </w:p>
        </w:tc>
        <w:tc>
          <w:tcPr>
            <w:tcW w:w="2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100" w:type="dxa"/>
            <w:vAlign w:val="bottom"/>
            <w:gridSpan w:val="5"/>
          </w:tcPr>
          <w:p>
            <w:pPr>
              <w:ind w:left="960"/>
              <w:spacing w:after="0"/>
              <w:rPr>
                <w:sz w:val="20"/>
                <w:szCs w:val="20"/>
                <w:color w:val="auto"/>
              </w:rPr>
            </w:pPr>
            <w:r>
              <w:rPr>
                <w:rFonts w:ascii="Arial" w:cs="Arial" w:eastAsia="Arial" w:hAnsi="Arial"/>
                <w:sz w:val="14"/>
                <w:szCs w:val="14"/>
                <w:b w:val="1"/>
                <w:bCs w:val="1"/>
                <w:color w:val="auto"/>
              </w:rPr>
              <w:t>ISSUER PURCHASES OF EQUITY SECURITIES</w:t>
            </w: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 Total Number of Shares (or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jc w:val="center"/>
              <w:ind w:right="67"/>
              <w:spacing w:after="0" w:line="155" w:lineRule="exact"/>
              <w:rPr>
                <w:sz w:val="20"/>
                <w:szCs w:val="20"/>
                <w:color w:val="auto"/>
              </w:rPr>
            </w:pPr>
            <w:r>
              <w:rPr>
                <w:rFonts w:ascii="Arial" w:cs="Arial" w:eastAsia="Arial" w:hAnsi="Arial"/>
                <w:sz w:val="14"/>
                <w:szCs w:val="14"/>
                <w:b w:val="1"/>
                <w:bCs w:val="1"/>
                <w:color w:val="auto"/>
                <w:w w:val="95"/>
              </w:rPr>
              <w:t>(d) Maximum Number (or</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Approximate Dollar Value) of</w:t>
            </w:r>
          </w:p>
        </w:tc>
        <w:tc>
          <w:tcPr>
            <w:tcW w:w="0" w:type="dxa"/>
            <w:vAlign w:val="bottom"/>
          </w:tcPr>
          <w:p>
            <w:pPr>
              <w:spacing w:after="0"/>
              <w:rPr>
                <w:sz w:val="1"/>
                <w:szCs w:val="1"/>
                <w:color w:val="auto"/>
              </w:rPr>
            </w:pPr>
          </w:p>
        </w:tc>
      </w:tr>
      <w:tr>
        <w:trPr>
          <w:trHeight w:val="145"/>
        </w:trPr>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 Total Number of Shares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 Average Price Paid Per</w:t>
            </w:r>
          </w:p>
        </w:tc>
        <w:tc>
          <w:tcPr>
            <w:tcW w:w="1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Units) Purchased as Part of</w:t>
            </w:r>
          </w:p>
        </w:tc>
        <w:tc>
          <w:tcPr>
            <w:tcW w:w="120" w:type="dxa"/>
            <w:vAlign w:val="bottom"/>
          </w:tcPr>
          <w:p>
            <w:pPr>
              <w:spacing w:after="0"/>
              <w:rPr>
                <w:sz w:val="12"/>
                <w:szCs w:val="12"/>
                <w:color w:val="auto"/>
              </w:rPr>
            </w:pPr>
          </w:p>
        </w:tc>
        <w:tc>
          <w:tcPr>
            <w:tcW w:w="1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Shares (or Units) That May Yet</w:t>
            </w:r>
          </w:p>
        </w:tc>
        <w:tc>
          <w:tcPr>
            <w:tcW w:w="0" w:type="dxa"/>
            <w:vAlign w:val="bottom"/>
          </w:tcPr>
          <w:p>
            <w:pPr>
              <w:spacing w:after="0"/>
              <w:rPr>
                <w:sz w:val="1"/>
                <w:szCs w:val="1"/>
                <w:color w:val="auto"/>
              </w:rPr>
            </w:pPr>
          </w:p>
        </w:tc>
      </w:tr>
      <w:tr>
        <w:trPr>
          <w:trHeight w:val="141"/>
        </w:trPr>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3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Publicly Announced Plans or</w:t>
            </w:r>
          </w:p>
        </w:tc>
        <w:tc>
          <w:tcPr>
            <w:tcW w:w="120" w:type="dxa"/>
            <w:vAlign w:val="bottom"/>
          </w:tcPr>
          <w:p>
            <w:pPr>
              <w:spacing w:after="0"/>
              <w:rPr>
                <w:sz w:val="12"/>
                <w:szCs w:val="12"/>
                <w:color w:val="auto"/>
              </w:rPr>
            </w:pPr>
          </w:p>
        </w:tc>
        <w:tc>
          <w:tcPr>
            <w:tcW w:w="194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9"/>
              </w:rPr>
              <w:t>Be Purchased Under the Plans</w:t>
            </w:r>
          </w:p>
        </w:tc>
        <w:tc>
          <w:tcPr>
            <w:tcW w:w="0" w:type="dxa"/>
            <w:vAlign w:val="bottom"/>
          </w:tcPr>
          <w:p>
            <w:pPr>
              <w:spacing w:after="0"/>
              <w:rPr>
                <w:sz w:val="1"/>
                <w:szCs w:val="1"/>
                <w:color w:val="auto"/>
              </w:rPr>
            </w:pPr>
          </w:p>
        </w:tc>
      </w:tr>
      <w:tr>
        <w:trPr>
          <w:trHeight w:val="192"/>
        </w:trPr>
        <w:tc>
          <w:tcPr>
            <w:tcW w:w="74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Units)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Share (or Unit)</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r>
              <w:rPr>
                <w:rFonts w:ascii="Arial" w:cs="Arial" w:eastAsia="Arial" w:hAnsi="Arial"/>
                <w:sz w:val="9"/>
                <w:szCs w:val="9"/>
                <w:b w:val="1"/>
                <w:bCs w:val="1"/>
                <w:color w:val="auto"/>
                <w:w w:val="91"/>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1"/>
              </w:rPr>
              <w:t>or Programs</w:t>
            </w:r>
            <w:r>
              <w:rPr>
                <w:rFonts w:ascii="Arial" w:cs="Arial" w:eastAsia="Arial" w:hAnsi="Arial"/>
                <w:sz w:val="9"/>
                <w:szCs w:val="9"/>
                <w:b w:val="1"/>
                <w:bCs w:val="1"/>
                <w:color w:val="auto"/>
                <w:w w:val="91"/>
              </w:rPr>
              <w:t>(1)</w:t>
            </w:r>
          </w:p>
        </w:tc>
        <w:tc>
          <w:tcPr>
            <w:tcW w:w="0" w:type="dxa"/>
            <w:vAlign w:val="bottom"/>
          </w:tcPr>
          <w:p>
            <w:pPr>
              <w:spacing w:after="0"/>
              <w:rPr>
                <w:sz w:val="1"/>
                <w:szCs w:val="1"/>
                <w:color w:val="auto"/>
              </w:rPr>
            </w:pPr>
          </w:p>
        </w:tc>
      </w:tr>
      <w:tr>
        <w:trPr>
          <w:trHeight w:val="20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1 - 30, 2023</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May 1 - 31, 2023</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1 - 30,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49.78</w:t>
            </w: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80,369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4"/>
              <w:spacing w:after="0"/>
              <w:rPr>
                <w:sz w:val="20"/>
                <w:szCs w:val="20"/>
                <w:color w:val="auto"/>
              </w:rPr>
            </w:pPr>
            <w:r>
              <w:rPr>
                <w:rFonts w:ascii="Arial" w:cs="Arial" w:eastAsia="Arial" w:hAnsi="Arial"/>
                <w:sz w:val="16"/>
                <w:szCs w:val="16"/>
                <w:color w:val="auto"/>
              </w:rPr>
              <w:t>49.78</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80,369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95,999,234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320" w:right="260" w:hanging="315"/>
        <w:spacing w:after="0" w:line="262"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purchased shares of our common stock in open market purchases pursuant to share repurchases authorized by our Board of Directors. In June 2023, our Board of Directors authorized the repurchase of up to $100 million of our common stock. As of June 30, 2023, $96.0 million remained available for purchase under this authorization.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 Insider Trading Arrangements</w:t>
      </w:r>
    </w:p>
    <w:p>
      <w:pPr>
        <w:spacing w:after="0" w:line="346"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color w:val="auto"/>
        </w:rPr>
        <w:t>During the quarter ended June 30, 2023,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920" w:type="dxa"/>
            <w:vAlign w:val="bottom"/>
            <w:gridSpan w:val="4"/>
          </w:tcPr>
          <w:p>
            <w:pPr>
              <w:ind w:left="820"/>
              <w:spacing w:after="0"/>
              <w:rPr>
                <w:sz w:val="20"/>
                <w:szCs w:val="20"/>
                <w:color w:val="auto"/>
              </w:rPr>
            </w:pPr>
            <w:r>
              <w:rPr>
                <w:rFonts w:ascii="Arial" w:cs="Arial" w:eastAsia="Arial" w:hAnsi="Arial"/>
                <w:sz w:val="18"/>
                <w:szCs w:val="18"/>
                <w:b w:val="1"/>
                <w:bCs w:val="1"/>
                <w:color w:val="auto"/>
              </w:rPr>
              <w:t>EXHIBIT INDEX</w:t>
            </w:r>
          </w:p>
        </w:tc>
      </w:tr>
      <w:tr>
        <w:trPr>
          <w:trHeight w:val="201"/>
        </w:trPr>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920" w:type="dxa"/>
            <w:vAlign w:val="bottom"/>
            <w:gridSpan w:val="4"/>
          </w:tcPr>
          <w:p>
            <w:pPr>
              <w:ind w:left="1420"/>
              <w:spacing w:after="0"/>
              <w:rPr>
                <w:sz w:val="20"/>
                <w:szCs w:val="20"/>
                <w:color w:val="auto"/>
              </w:rPr>
            </w:pPr>
            <w:r>
              <w:rPr>
                <w:rFonts w:ascii="Arial" w:cs="Arial" w:eastAsia="Arial" w:hAnsi="Arial"/>
                <w:sz w:val="14"/>
                <w:szCs w:val="14"/>
                <w:b w:val="1"/>
                <w:bCs w:val="1"/>
                <w:color w:val="auto"/>
              </w:rPr>
              <w:t>Exhibit Description</w:t>
            </w:r>
          </w:p>
        </w:tc>
      </w:tr>
      <w:tr>
        <w:trPr>
          <w:trHeight w:val="182"/>
        </w:trPr>
        <w:tc>
          <w:tcPr>
            <w:tcW w:w="1000" w:type="dxa"/>
            <w:vAlign w:val="bottom"/>
          </w:tcPr>
          <w:p>
            <w:pPr>
              <w:spacing w:after="0" w:line="182" w:lineRule="exact"/>
              <w:rPr>
                <w:sz w:val="20"/>
                <w:szCs w:val="20"/>
                <w:color w:val="auto"/>
              </w:rPr>
            </w:pPr>
            <w:r>
              <w:rPr>
                <w:rFonts w:ascii="Arial" w:cs="Arial" w:eastAsia="Arial" w:hAnsi="Arial"/>
                <w:sz w:val="16"/>
                <w:szCs w:val="16"/>
                <w:color w:val="auto"/>
              </w:rPr>
              <w:t>2.1</w:t>
            </w:r>
          </w:p>
        </w:tc>
        <w:tc>
          <w:tcPr>
            <w:tcW w:w="9960" w:type="dxa"/>
            <w:vAlign w:val="bottom"/>
            <w:gridSpan w:val="7"/>
          </w:tcPr>
          <w:p>
            <w:pPr>
              <w:spacing w:after="0" w:line="182" w:lineRule="exact"/>
              <w:rPr>
                <w:rFonts w:ascii="Arial" w:cs="Arial" w:eastAsia="Arial" w:hAnsi="Arial"/>
                <w:sz w:val="16"/>
                <w:szCs w:val="16"/>
                <w:color w:val="0000FF"/>
              </w:rPr>
            </w:pPr>
            <w:hyperlink r:id="rId54">
              <w:r>
                <w:rPr>
                  <w:rFonts w:ascii="Arial" w:cs="Arial" w:eastAsia="Arial" w:hAnsi="Arial"/>
                  <w:sz w:val="16"/>
                  <w:szCs w:val="16"/>
                  <w:color w:val="0000FF"/>
                </w:rPr>
                <w:t>Stock Purchase Agreement, dated May 22, 2023</w:t>
              </w:r>
            </w:hyperlink>
          </w:p>
        </w:tc>
      </w:tr>
      <w:tr>
        <w:trPr>
          <w:trHeight w:val="20"/>
        </w:trPr>
        <w:tc>
          <w:tcPr>
            <w:tcW w:w="10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1000" w:type="dxa"/>
            <w:vAlign w:val="bottom"/>
          </w:tcPr>
          <w:p>
            <w:pPr>
              <w:spacing w:after="0"/>
              <w:rPr>
                <w:sz w:val="20"/>
                <w:szCs w:val="20"/>
                <w:color w:val="auto"/>
              </w:rPr>
            </w:pPr>
            <w:r>
              <w:rPr>
                <w:rFonts w:ascii="Arial" w:cs="Arial" w:eastAsia="Arial" w:hAnsi="Arial"/>
                <w:sz w:val="16"/>
                <w:szCs w:val="16"/>
                <w:color w:val="auto"/>
              </w:rPr>
              <w:t>31.1#</w:t>
            </w:r>
          </w:p>
        </w:tc>
        <w:tc>
          <w:tcPr>
            <w:tcW w:w="9960" w:type="dxa"/>
            <w:vAlign w:val="bottom"/>
            <w:gridSpan w:val="7"/>
          </w:tcPr>
          <w:p>
            <w:pPr>
              <w:spacing w:after="0"/>
              <w:rPr>
                <w:sz w:val="20"/>
                <w:szCs w:val="20"/>
                <w:color w:val="auto"/>
              </w:rPr>
            </w:pPr>
            <w:r>
              <w:rPr>
                <w:rFonts w:ascii="Arial" w:cs="Arial" w:eastAsia="Arial" w:hAnsi="Arial"/>
                <w:sz w:val="16"/>
                <w:szCs w:val="16"/>
                <w:color w:val="0000FF"/>
                <w:w w:val="89"/>
              </w:rPr>
              <w:t>Certification of Chief Executive Officer pursuant to Exchange Act Rules 13a-14(a) and 15d-14(a), as adopted pursuant to Section 302 of the Sarbanes-Oxley</w:t>
            </w:r>
          </w:p>
        </w:tc>
      </w:tr>
      <w:tr>
        <w:trPr>
          <w:trHeight w:val="138"/>
        </w:trPr>
        <w:tc>
          <w:tcPr>
            <w:tcW w:w="100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Arial" w:cs="Arial" w:eastAsia="Arial" w:hAnsi="Arial"/>
                <w:sz w:val="15"/>
                <w:szCs w:val="15"/>
                <w:color w:val="0000FF"/>
                <w:w w:val="97"/>
              </w:rPr>
              <w:t>Act of 2002</w:t>
            </w:r>
          </w:p>
        </w:tc>
        <w:tc>
          <w:tcPr>
            <w:tcW w:w="91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1000" w:type="dxa"/>
            <w:vAlign w:val="bottom"/>
          </w:tcPr>
          <w:p>
            <w:pPr>
              <w:spacing w:after="0"/>
              <w:rPr>
                <w:sz w:val="20"/>
                <w:szCs w:val="20"/>
                <w:color w:val="auto"/>
              </w:rPr>
            </w:pPr>
            <w:r>
              <w:rPr>
                <w:rFonts w:ascii="Arial" w:cs="Arial" w:eastAsia="Arial" w:hAnsi="Arial"/>
                <w:sz w:val="16"/>
                <w:szCs w:val="16"/>
                <w:color w:val="auto"/>
              </w:rPr>
              <w:t>31.2#</w:t>
            </w:r>
          </w:p>
        </w:tc>
        <w:tc>
          <w:tcPr>
            <w:tcW w:w="9960" w:type="dxa"/>
            <w:vAlign w:val="bottom"/>
            <w:gridSpan w:val="7"/>
          </w:tcPr>
          <w:p>
            <w:pPr>
              <w:spacing w:after="0"/>
              <w:rPr>
                <w:sz w:val="20"/>
                <w:szCs w:val="20"/>
                <w:color w:val="auto"/>
              </w:rPr>
            </w:pPr>
            <w:r>
              <w:rPr>
                <w:rFonts w:ascii="Arial" w:cs="Arial" w:eastAsia="Arial" w:hAnsi="Arial"/>
                <w:sz w:val="16"/>
                <w:szCs w:val="16"/>
                <w:color w:val="0000FF"/>
                <w:w w:val="90"/>
              </w:rPr>
              <w:t>Certification of Chief Financial Officer pursuant to Exchange Act Rules 13a-14(a) and 15d-14(a), as adopted pursuant to Section 302 of the Sarbanes-Oxley</w:t>
            </w:r>
          </w:p>
        </w:tc>
      </w:tr>
      <w:tr>
        <w:trPr>
          <w:trHeight w:val="138"/>
        </w:trPr>
        <w:tc>
          <w:tcPr>
            <w:tcW w:w="100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Arial" w:cs="Arial" w:eastAsia="Arial" w:hAnsi="Arial"/>
                <w:sz w:val="15"/>
                <w:szCs w:val="15"/>
                <w:color w:val="0000FF"/>
                <w:w w:val="97"/>
              </w:rPr>
              <w:t>Act of 2002</w:t>
            </w:r>
          </w:p>
        </w:tc>
        <w:tc>
          <w:tcPr>
            <w:tcW w:w="9100" w:type="dxa"/>
            <w:vAlign w:val="bottom"/>
            <w:tcBorders>
              <w:top w:val="single" w:sz="8" w:color="0000FF"/>
            </w:tcBorders>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1000" w:type="dxa"/>
            <w:vAlign w:val="bottom"/>
          </w:tcPr>
          <w:p>
            <w:pPr>
              <w:spacing w:after="0"/>
              <w:rPr>
                <w:sz w:val="20"/>
                <w:szCs w:val="20"/>
                <w:color w:val="auto"/>
              </w:rPr>
            </w:pPr>
            <w:r>
              <w:rPr>
                <w:rFonts w:ascii="Arial" w:cs="Arial" w:eastAsia="Arial" w:hAnsi="Arial"/>
                <w:sz w:val="16"/>
                <w:szCs w:val="16"/>
                <w:color w:val="auto"/>
              </w:rPr>
              <w:t>32#</w:t>
            </w:r>
          </w:p>
        </w:tc>
        <w:tc>
          <w:tcPr>
            <w:tcW w:w="9960" w:type="dxa"/>
            <w:vAlign w:val="bottom"/>
            <w:gridSpan w:val="7"/>
          </w:tcPr>
          <w:p>
            <w:pPr>
              <w:spacing w:after="0"/>
              <w:rPr>
                <w:sz w:val="20"/>
                <w:szCs w:val="20"/>
                <w:color w:val="auto"/>
              </w:rPr>
            </w:pPr>
            <w:r>
              <w:rPr>
                <w:rFonts w:ascii="Arial" w:cs="Arial" w:eastAsia="Arial" w:hAnsi="Arial"/>
                <w:sz w:val="16"/>
                <w:szCs w:val="16"/>
                <w:color w:val="0000FF"/>
                <w:w w:val="90"/>
              </w:rPr>
              <w:t>Certification of Chief Executive Officer and Chief Financial Officer pursuant to 18 U.S.C. Section 1350, as adopted pursuant to Section 906 of the Sarbanes-</w:t>
            </w:r>
          </w:p>
        </w:tc>
      </w:tr>
      <w:tr>
        <w:trPr>
          <w:trHeight w:val="138"/>
        </w:trPr>
        <w:tc>
          <w:tcPr>
            <w:tcW w:w="1000" w:type="dxa"/>
            <w:vAlign w:val="bottom"/>
          </w:tcPr>
          <w:p>
            <w:pPr>
              <w:spacing w:after="0"/>
              <w:rPr>
                <w:sz w:val="11"/>
                <w:szCs w:val="11"/>
                <w:color w:val="auto"/>
              </w:rPr>
            </w:pPr>
          </w:p>
        </w:tc>
        <w:tc>
          <w:tcPr>
            <w:tcW w:w="1180" w:type="dxa"/>
            <w:vAlign w:val="bottom"/>
            <w:tcBorders>
              <w:top w:val="single" w:sz="8" w:color="0000FF"/>
              <w:bottom w:val="single" w:sz="8" w:color="0000FF"/>
            </w:tcBorders>
            <w:gridSpan w:val="2"/>
          </w:tcPr>
          <w:p>
            <w:pPr>
              <w:spacing w:after="0" w:line="138" w:lineRule="exact"/>
              <w:rPr>
                <w:sz w:val="20"/>
                <w:szCs w:val="20"/>
                <w:color w:val="auto"/>
              </w:rPr>
            </w:pPr>
            <w:r>
              <w:rPr>
                <w:rFonts w:ascii="Arial" w:cs="Arial" w:eastAsia="Arial" w:hAnsi="Arial"/>
                <w:sz w:val="15"/>
                <w:szCs w:val="15"/>
                <w:color w:val="0000FF"/>
                <w:w w:val="97"/>
              </w:rPr>
              <w:t>Oxley Act of 2002</w:t>
            </w:r>
          </w:p>
        </w:tc>
        <w:tc>
          <w:tcPr>
            <w:tcW w:w="87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r>
      <w:tr>
        <w:trPr>
          <w:trHeight w:val="181"/>
        </w:trPr>
        <w:tc>
          <w:tcPr>
            <w:tcW w:w="1000" w:type="dxa"/>
            <w:vAlign w:val="bottom"/>
          </w:tcPr>
          <w:p>
            <w:pPr>
              <w:spacing w:after="0" w:line="181" w:lineRule="exact"/>
              <w:rPr>
                <w:sz w:val="20"/>
                <w:szCs w:val="20"/>
                <w:color w:val="auto"/>
              </w:rPr>
            </w:pPr>
            <w:r>
              <w:rPr>
                <w:rFonts w:ascii="Arial" w:cs="Arial" w:eastAsia="Arial" w:hAnsi="Arial"/>
                <w:sz w:val="16"/>
                <w:szCs w:val="16"/>
                <w:color w:val="auto"/>
              </w:rPr>
              <w:t>101.INS</w:t>
            </w:r>
          </w:p>
        </w:tc>
        <w:tc>
          <w:tcPr>
            <w:tcW w:w="9960" w:type="dxa"/>
            <w:vAlign w:val="bottom"/>
            <w:gridSpan w:val="7"/>
          </w:tcPr>
          <w:p>
            <w:pPr>
              <w:spacing w:after="0" w:line="181" w:lineRule="exact"/>
              <w:rPr>
                <w:sz w:val="20"/>
                <w:szCs w:val="20"/>
                <w:color w:val="auto"/>
              </w:rPr>
            </w:pPr>
            <w:r>
              <w:rPr>
                <w:rFonts w:ascii="Arial" w:cs="Arial" w:eastAsia="Arial" w:hAnsi="Arial"/>
                <w:sz w:val="16"/>
                <w:szCs w:val="16"/>
                <w:color w:val="auto"/>
                <w:w w:val="89"/>
              </w:rPr>
              <w:t>XBRL Instance Document - the instance document does not appear in the Interactive Data File because its XBRL tags are embedded within the Inline XBRL</w:t>
            </w:r>
          </w:p>
        </w:tc>
      </w:tr>
      <w:tr>
        <w:trPr>
          <w:trHeight w:val="201"/>
        </w:trPr>
        <w:tc>
          <w:tcPr>
            <w:tcW w:w="1000" w:type="dxa"/>
            <w:vAlign w:val="bottom"/>
          </w:tcPr>
          <w:p>
            <w:pPr>
              <w:spacing w:after="0"/>
              <w:rPr>
                <w:sz w:val="17"/>
                <w:szCs w:val="17"/>
                <w:color w:val="auto"/>
              </w:rPr>
            </w:pPr>
          </w:p>
        </w:tc>
        <w:tc>
          <w:tcPr>
            <w:tcW w:w="9960" w:type="dxa"/>
            <w:vAlign w:val="bottom"/>
            <w:gridSpan w:val="7"/>
          </w:tcPr>
          <w:p>
            <w:pPr>
              <w:spacing w:after="0"/>
              <w:rPr>
                <w:sz w:val="20"/>
                <w:szCs w:val="20"/>
                <w:color w:val="auto"/>
              </w:rPr>
            </w:pPr>
            <w:r>
              <w:rPr>
                <w:rFonts w:ascii="Arial" w:cs="Arial" w:eastAsia="Arial" w:hAnsi="Arial"/>
                <w:sz w:val="16"/>
                <w:szCs w:val="16"/>
                <w:color w:val="auto"/>
              </w:rPr>
              <w:t>document.</w:t>
            </w:r>
          </w:p>
        </w:tc>
      </w:tr>
      <w:tr>
        <w:trPr>
          <w:trHeight w:val="211"/>
        </w:trPr>
        <w:tc>
          <w:tcPr>
            <w:tcW w:w="1000" w:type="dxa"/>
            <w:vAlign w:val="bottom"/>
          </w:tcPr>
          <w:p>
            <w:pPr>
              <w:spacing w:after="0"/>
              <w:rPr>
                <w:sz w:val="20"/>
                <w:szCs w:val="20"/>
                <w:color w:val="auto"/>
              </w:rPr>
            </w:pPr>
            <w:r>
              <w:rPr>
                <w:rFonts w:ascii="Arial" w:cs="Arial" w:eastAsia="Arial" w:hAnsi="Arial"/>
                <w:sz w:val="16"/>
                <w:szCs w:val="16"/>
                <w:color w:val="auto"/>
              </w:rPr>
              <w:t>101.SCH</w:t>
            </w:r>
          </w:p>
        </w:tc>
        <w:tc>
          <w:tcPr>
            <w:tcW w:w="9960" w:type="dxa"/>
            <w:vAlign w:val="bottom"/>
            <w:gridSpan w:val="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1"/>
        </w:trPr>
        <w:tc>
          <w:tcPr>
            <w:tcW w:w="1000" w:type="dxa"/>
            <w:vAlign w:val="bottom"/>
          </w:tcPr>
          <w:p>
            <w:pPr>
              <w:spacing w:after="0"/>
              <w:rPr>
                <w:sz w:val="20"/>
                <w:szCs w:val="20"/>
                <w:color w:val="auto"/>
              </w:rPr>
            </w:pPr>
            <w:r>
              <w:rPr>
                <w:rFonts w:ascii="Arial" w:cs="Arial" w:eastAsia="Arial" w:hAnsi="Arial"/>
                <w:sz w:val="16"/>
                <w:szCs w:val="16"/>
                <w:color w:val="auto"/>
              </w:rPr>
              <w:t>101.CAL</w:t>
            </w:r>
          </w:p>
        </w:tc>
        <w:tc>
          <w:tcPr>
            <w:tcW w:w="996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1"/>
        </w:trPr>
        <w:tc>
          <w:tcPr>
            <w:tcW w:w="1000" w:type="dxa"/>
            <w:vAlign w:val="bottom"/>
          </w:tcPr>
          <w:p>
            <w:pPr>
              <w:spacing w:after="0"/>
              <w:rPr>
                <w:sz w:val="20"/>
                <w:szCs w:val="20"/>
                <w:color w:val="auto"/>
              </w:rPr>
            </w:pPr>
            <w:r>
              <w:rPr>
                <w:rFonts w:ascii="Arial" w:cs="Arial" w:eastAsia="Arial" w:hAnsi="Arial"/>
                <w:sz w:val="16"/>
                <w:szCs w:val="16"/>
                <w:color w:val="auto"/>
              </w:rPr>
              <w:t>101.DEF</w:t>
            </w:r>
          </w:p>
        </w:tc>
        <w:tc>
          <w:tcPr>
            <w:tcW w:w="9960" w:type="dxa"/>
            <w:vAlign w:val="bottom"/>
            <w:gridSpan w:val="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1"/>
        </w:trPr>
        <w:tc>
          <w:tcPr>
            <w:tcW w:w="1000" w:type="dxa"/>
            <w:vAlign w:val="bottom"/>
          </w:tcPr>
          <w:p>
            <w:pPr>
              <w:spacing w:after="0"/>
              <w:rPr>
                <w:sz w:val="20"/>
                <w:szCs w:val="20"/>
                <w:color w:val="auto"/>
              </w:rPr>
            </w:pPr>
            <w:r>
              <w:rPr>
                <w:rFonts w:ascii="Arial" w:cs="Arial" w:eastAsia="Arial" w:hAnsi="Arial"/>
                <w:sz w:val="16"/>
                <w:szCs w:val="16"/>
                <w:color w:val="auto"/>
              </w:rPr>
              <w:t>101.LAB</w:t>
            </w:r>
          </w:p>
        </w:tc>
        <w:tc>
          <w:tcPr>
            <w:tcW w:w="996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1"/>
        </w:trPr>
        <w:tc>
          <w:tcPr>
            <w:tcW w:w="1000" w:type="dxa"/>
            <w:vAlign w:val="bottom"/>
          </w:tcPr>
          <w:p>
            <w:pPr>
              <w:spacing w:after="0"/>
              <w:rPr>
                <w:sz w:val="20"/>
                <w:szCs w:val="20"/>
                <w:color w:val="auto"/>
              </w:rPr>
            </w:pPr>
            <w:r>
              <w:rPr>
                <w:rFonts w:ascii="Arial" w:cs="Arial" w:eastAsia="Arial" w:hAnsi="Arial"/>
                <w:sz w:val="16"/>
                <w:szCs w:val="16"/>
                <w:color w:val="auto"/>
              </w:rPr>
              <w:t>101.PRE</w:t>
            </w:r>
          </w:p>
        </w:tc>
        <w:tc>
          <w:tcPr>
            <w:tcW w:w="996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0" w:lineRule="exact"/>
        <w:rPr>
          <w:sz w:val="20"/>
          <w:szCs w:val="20"/>
          <w:color w:val="auto"/>
        </w:rPr>
      </w:pPr>
    </w:p>
    <w:p>
      <w:pPr>
        <w:ind w:left="1000" w:hanging="1000"/>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03"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______________________________________</w:t>
      </w:r>
    </w:p>
    <w:p>
      <w:pPr>
        <w:spacing w:after="0" w:line="10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130810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40"/>
          </w:cols>
          <w:pgMar w:left="400" w:top="127" w:right="559" w:bottom="1440" w:gutter="0" w:footer="0" w:header="0"/>
        </w:sectPr>
      </w:pPr>
    </w:p>
    <w:bookmarkStart w:id="43" w:name="page44"/>
    <w:bookmarkEnd w:id="4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52" w:lineRule="exact"/>
        <w:rPr>
          <w:sz w:val="20"/>
          <w:szCs w:val="20"/>
          <w:color w:val="auto"/>
        </w:rPr>
      </w:pPr>
    </w:p>
    <w:p>
      <w:pPr>
        <w:ind w:right="820"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7780" w:type="dxa"/>
            <w:vAlign w:val="bottom"/>
            <w:gridSpan w:val="2"/>
          </w:tcPr>
          <w:p>
            <w:pPr>
              <w:ind w:left="2000"/>
              <w:spacing w:after="0"/>
              <w:rPr>
                <w:sz w:val="20"/>
                <w:szCs w:val="20"/>
                <w:color w:val="auto"/>
              </w:rPr>
            </w:pPr>
            <w:r>
              <w:rPr>
                <w:rFonts w:ascii="Arial" w:cs="Arial" w:eastAsia="Arial" w:hAnsi="Arial"/>
                <w:sz w:val="16"/>
                <w:szCs w:val="16"/>
                <w:b w:val="1"/>
                <w:bCs w:val="1"/>
                <w:color w:val="auto"/>
              </w:rPr>
              <w:t>SHUTTERSTOCK, INC.</w:t>
            </w:r>
          </w:p>
        </w:tc>
      </w:tr>
      <w:tr>
        <w:trPr>
          <w:trHeight w:val="424"/>
        </w:trPr>
        <w:tc>
          <w:tcPr>
            <w:tcW w:w="3420" w:type="dxa"/>
            <w:vAlign w:val="bottom"/>
          </w:tcPr>
          <w:p>
            <w:pPr>
              <w:spacing w:after="0"/>
              <w:rPr>
                <w:sz w:val="20"/>
                <w:szCs w:val="20"/>
                <w:color w:val="auto"/>
              </w:rPr>
            </w:pPr>
            <w:r>
              <w:rPr>
                <w:rFonts w:ascii="Arial" w:cs="Arial" w:eastAsia="Arial" w:hAnsi="Arial"/>
                <w:sz w:val="16"/>
                <w:szCs w:val="16"/>
                <w:color w:val="auto"/>
              </w:rPr>
              <w:t>Dated: August 1, 2023</w:t>
            </w:r>
          </w:p>
        </w:tc>
        <w:tc>
          <w:tcPr>
            <w:tcW w:w="2660" w:type="dxa"/>
            <w:vAlign w:val="bottom"/>
          </w:tcPr>
          <w:p>
            <w:pPr>
              <w:ind w:left="2000"/>
              <w:spacing w:after="0"/>
              <w:rPr>
                <w:sz w:val="20"/>
                <w:szCs w:val="20"/>
                <w:color w:val="auto"/>
              </w:rPr>
            </w:pPr>
            <w:r>
              <w:rPr>
                <w:rFonts w:ascii="Arial" w:cs="Arial" w:eastAsia="Arial" w:hAnsi="Arial"/>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Jarrod Yahes</w:t>
            </w:r>
          </w:p>
        </w:tc>
      </w:tr>
      <w:tr>
        <w:trPr>
          <w:trHeight w:val="200"/>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Jarrod Yahes</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424"/>
        </w:trPr>
        <w:tc>
          <w:tcPr>
            <w:tcW w:w="3420" w:type="dxa"/>
            <w:vAlign w:val="bottom"/>
          </w:tcPr>
          <w:p>
            <w:pPr>
              <w:spacing w:after="0"/>
              <w:rPr>
                <w:sz w:val="20"/>
                <w:szCs w:val="20"/>
                <w:color w:val="auto"/>
              </w:rPr>
            </w:pPr>
            <w:r>
              <w:rPr>
                <w:rFonts w:ascii="Arial" w:cs="Arial" w:eastAsia="Arial" w:hAnsi="Arial"/>
                <w:sz w:val="16"/>
                <w:szCs w:val="16"/>
                <w:color w:val="auto"/>
              </w:rPr>
              <w:t>Dated: August 1, 2023</w:t>
            </w:r>
          </w:p>
        </w:tc>
        <w:tc>
          <w:tcPr>
            <w:tcW w:w="2660" w:type="dxa"/>
            <w:vAlign w:val="bottom"/>
          </w:tcPr>
          <w:p>
            <w:pPr>
              <w:ind w:left="2000"/>
              <w:spacing w:after="0"/>
              <w:rPr>
                <w:sz w:val="20"/>
                <w:szCs w:val="20"/>
                <w:color w:val="auto"/>
              </w:rPr>
            </w:pPr>
            <w:r>
              <w:rPr>
                <w:rFonts w:ascii="Arial" w:cs="Arial" w:eastAsia="Arial" w:hAnsi="Arial"/>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Ciardiello</w:t>
            </w:r>
          </w:p>
        </w:tc>
      </w:tr>
      <w:tr>
        <w:trPr>
          <w:trHeight w:val="200"/>
        </w:trPr>
        <w:tc>
          <w:tcPr>
            <w:tcW w:w="3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Steven Ciardiello</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Chief Accounting Officer</w:t>
            </w:r>
          </w:p>
        </w:tc>
      </w:tr>
      <w:tr>
        <w:trPr>
          <w:trHeight w:val="211"/>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7"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 AS ADOPTED PURSUANT TO SECTION 302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7" w:lineRule="exact"/>
        <w:rPr>
          <w:rFonts w:ascii="Arial" w:cs="Arial" w:eastAsia="Arial" w:hAnsi="Arial"/>
          <w:sz w:val="16"/>
          <w:szCs w:val="16"/>
          <w:color w:val="auto"/>
        </w:rPr>
      </w:pPr>
    </w:p>
    <w:p>
      <w:pPr>
        <w:ind w:left="320" w:right="100" w:firstLine="1"/>
        <w:spacing w:after="0" w:line="295" w:lineRule="auto"/>
        <w:tabs>
          <w:tab w:leader="none" w:pos="833"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5"/>
          <w:szCs w:val="15"/>
          <w:color w:val="auto"/>
        </w:rPr>
      </w:pPr>
    </w:p>
    <w:p>
      <w:pPr>
        <w:ind w:left="320" w:right="600" w:firstLine="1"/>
        <w:spacing w:after="0" w:line="262"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6"/>
          <w:szCs w:val="16"/>
          <w:color w:val="auto"/>
        </w:rPr>
      </w:pPr>
    </w:p>
    <w:p>
      <w:pPr>
        <w:ind w:left="320" w:right="460" w:firstLine="1"/>
        <w:spacing w:after="0" w:line="353" w:lineRule="auto"/>
        <w:tabs>
          <w:tab w:leader="none" w:pos="8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4"/>
          <w:szCs w:val="14"/>
          <w:color w:val="auto"/>
        </w:rPr>
      </w:pPr>
    </w:p>
    <w:p>
      <w:pPr>
        <w:ind w:left="640" w:right="20" w:hanging="3"/>
        <w:spacing w:after="0" w:line="259" w:lineRule="auto"/>
        <w:tabs>
          <w:tab w:leader="none" w:pos="11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jc w:val="both"/>
        <w:ind w:left="640" w:right="500" w:hanging="3"/>
        <w:spacing w:after="0" w:line="259" w:lineRule="auto"/>
        <w:tabs>
          <w:tab w:leader="none" w:pos="11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640" w:right="320" w:hanging="3"/>
        <w:spacing w:after="0" w:line="262" w:lineRule="auto"/>
        <w:tabs>
          <w:tab w:leader="none" w:pos="11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640" w:right="260" w:hanging="3"/>
        <w:spacing w:after="0" w:line="259" w:lineRule="auto"/>
        <w:tabs>
          <w:tab w:leader="none" w:pos="11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6"/>
          <w:szCs w:val="16"/>
          <w:color w:val="auto"/>
        </w:rPr>
      </w:pPr>
    </w:p>
    <w:p>
      <w:pPr>
        <w:ind w:left="320" w:right="380" w:firstLine="1"/>
        <w:spacing w:after="0" w:line="279"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640" w:right="500" w:hanging="3"/>
        <w:spacing w:after="0" w:line="279" w:lineRule="auto"/>
        <w:tabs>
          <w:tab w:leader="none" w:pos="1144"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640" w:right="100" w:hanging="3"/>
        <w:spacing w:after="0" w:line="262" w:lineRule="auto"/>
        <w:tabs>
          <w:tab w:leader="none" w:pos="115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
        <w:spacing w:after="0"/>
        <w:tabs>
          <w:tab w:leader="none" w:pos="5660" w:val="left"/>
          <w:tab w:leader="none" w:pos="6120" w:val="left"/>
        </w:tabs>
        <w:rPr>
          <w:sz w:val="20"/>
          <w:szCs w:val="20"/>
          <w:color w:val="auto"/>
        </w:rPr>
      </w:pPr>
      <w:r>
        <w:rPr>
          <w:rFonts w:ascii="Arial" w:cs="Arial" w:eastAsia="Arial" w:hAnsi="Arial"/>
          <w:sz w:val="16"/>
          <w:szCs w:val="16"/>
          <w:color w:val="auto"/>
        </w:rPr>
        <w:t>Date: August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Paul Hennessy</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7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 AS ADOPTED PURSUANT TO SECTION 302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7" w:lineRule="exact"/>
        <w:rPr>
          <w:rFonts w:ascii="Arial" w:cs="Arial" w:eastAsia="Arial" w:hAnsi="Arial"/>
          <w:sz w:val="16"/>
          <w:szCs w:val="16"/>
          <w:color w:val="auto"/>
        </w:rPr>
      </w:pPr>
    </w:p>
    <w:p>
      <w:pPr>
        <w:ind w:left="320" w:right="100" w:firstLine="1"/>
        <w:spacing w:after="0" w:line="295" w:lineRule="auto"/>
        <w:tabs>
          <w:tab w:leader="none" w:pos="833"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5"/>
          <w:szCs w:val="15"/>
          <w:color w:val="auto"/>
        </w:rPr>
      </w:pPr>
    </w:p>
    <w:p>
      <w:pPr>
        <w:ind w:left="320" w:right="600" w:firstLine="1"/>
        <w:spacing w:after="0" w:line="262" w:lineRule="auto"/>
        <w:tabs>
          <w:tab w:leader="none" w:pos="8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6"/>
          <w:szCs w:val="16"/>
          <w:color w:val="auto"/>
        </w:rPr>
      </w:pPr>
    </w:p>
    <w:p>
      <w:pPr>
        <w:ind w:left="320" w:right="460" w:firstLine="1"/>
        <w:spacing w:after="0" w:line="353" w:lineRule="auto"/>
        <w:tabs>
          <w:tab w:leader="none" w:pos="8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4"/>
          <w:szCs w:val="14"/>
          <w:color w:val="auto"/>
        </w:rPr>
      </w:pPr>
    </w:p>
    <w:p>
      <w:pPr>
        <w:ind w:left="640" w:right="20" w:hanging="3"/>
        <w:spacing w:after="0" w:line="259" w:lineRule="auto"/>
        <w:tabs>
          <w:tab w:leader="none" w:pos="11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jc w:val="both"/>
        <w:ind w:left="640" w:right="500" w:hanging="3"/>
        <w:spacing w:after="0" w:line="259" w:lineRule="auto"/>
        <w:tabs>
          <w:tab w:leader="none" w:pos="1153"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640" w:right="320" w:hanging="3"/>
        <w:spacing w:after="0" w:line="262" w:lineRule="auto"/>
        <w:tabs>
          <w:tab w:leader="none" w:pos="11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640" w:right="260" w:hanging="3"/>
        <w:spacing w:after="0" w:line="259" w:lineRule="auto"/>
        <w:tabs>
          <w:tab w:leader="none" w:pos="1153"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6"/>
          <w:szCs w:val="16"/>
          <w:color w:val="auto"/>
        </w:rPr>
      </w:pPr>
    </w:p>
    <w:p>
      <w:pPr>
        <w:ind w:left="320" w:right="380" w:firstLine="1"/>
        <w:spacing w:after="0" w:line="279" w:lineRule="auto"/>
        <w:tabs>
          <w:tab w:leader="none" w:pos="8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640" w:right="500" w:hanging="3"/>
        <w:spacing w:after="0" w:line="279" w:lineRule="auto"/>
        <w:tabs>
          <w:tab w:leader="none" w:pos="11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640" w:right="100" w:hanging="3"/>
        <w:spacing w:after="0" w:line="262" w:lineRule="auto"/>
        <w:tabs>
          <w:tab w:leader="none" w:pos="1153"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
        <w:spacing w:after="0"/>
        <w:tabs>
          <w:tab w:leader="none" w:pos="5760" w:val="left"/>
          <w:tab w:leader="none" w:pos="6220" w:val="left"/>
        </w:tabs>
        <w:rPr>
          <w:sz w:val="20"/>
          <w:szCs w:val="20"/>
          <w:color w:val="auto"/>
        </w:rPr>
      </w:pPr>
      <w:r>
        <w:rPr>
          <w:rFonts w:ascii="Arial" w:cs="Arial" w:eastAsia="Arial" w:hAnsi="Arial"/>
          <w:sz w:val="16"/>
          <w:szCs w:val="16"/>
          <w:color w:val="auto"/>
        </w:rPr>
        <w:t>Date: August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14605</wp:posOffset>
            </wp:positionV>
            <wp:extent cx="31750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175000"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87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84"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June 30, 2023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2" w:lineRule="exact"/>
        <w:rPr>
          <w:sz w:val="20"/>
          <w:szCs w:val="20"/>
          <w:color w:val="auto"/>
        </w:rPr>
      </w:pPr>
    </w:p>
    <w:p>
      <w:pPr>
        <w:ind w:left="40"/>
        <w:spacing w:after="0"/>
        <w:tabs>
          <w:tab w:leader="none" w:pos="5660" w:val="left"/>
          <w:tab w:leader="none" w:pos="6120" w:val="left"/>
        </w:tabs>
        <w:rPr>
          <w:sz w:val="20"/>
          <w:szCs w:val="20"/>
          <w:color w:val="auto"/>
        </w:rPr>
      </w:pPr>
      <w:r>
        <w:rPr>
          <w:rFonts w:ascii="Arial" w:cs="Arial" w:eastAsia="Arial" w:hAnsi="Arial"/>
          <w:sz w:val="16"/>
          <w:szCs w:val="16"/>
          <w:color w:val="auto"/>
        </w:rPr>
        <w:t>Date: August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Paul Hennessy</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Executive Officer</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Executive Officer)</w:t>
      </w:r>
    </w:p>
    <w:p>
      <w:pPr>
        <w:spacing w:after="0" w:line="290"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June 30, 2023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2" w:lineRule="exact"/>
        <w:rPr>
          <w:sz w:val="20"/>
          <w:szCs w:val="20"/>
          <w:color w:val="auto"/>
        </w:rPr>
      </w:pPr>
    </w:p>
    <w:p>
      <w:pPr>
        <w:ind w:left="40"/>
        <w:spacing w:after="0"/>
        <w:tabs>
          <w:tab w:leader="none" w:pos="5660" w:val="left"/>
          <w:tab w:leader="none" w:pos="6120" w:val="left"/>
        </w:tabs>
        <w:rPr>
          <w:sz w:val="20"/>
          <w:szCs w:val="20"/>
          <w:color w:val="auto"/>
        </w:rPr>
      </w:pPr>
      <w:r>
        <w:rPr>
          <w:rFonts w:ascii="Arial" w:cs="Arial" w:eastAsia="Arial" w:hAnsi="Arial"/>
          <w:sz w:val="16"/>
          <w:szCs w:val="16"/>
          <w:color w:val="auto"/>
        </w:rPr>
        <w:t>Date: August 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Jarrod Yahes</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1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lowerRoman"/>
      <w:start w:val="2"/>
    </w:lvl>
  </w:abstractNum>
  <w:abstractNum w:abstractNumId="5">
    <w:nsid w:val="1F16E9E8"/>
    <w:multiLevelType w:val="hybridMultilevel"/>
    <w:lvl w:ilvl="0">
      <w:lvlJc w:val="left"/>
      <w:lvlText w:val="1"/>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2"/>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0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4" Type="http://schemas.openxmlformats.org/officeDocument/2006/relationships/hyperlink" Target="https://www.sec.gov/Archives/edgar/data/1549346/000114036123026154/brhc20053362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2023-08-01T06:12:18Z</dcterms:created>
  <dcterms:modified xsi:type="dcterms:W3CDTF">2023-08-01T06:12:18Z</dcterms:modified>
</cp:coreProperties>
</file>