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481965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440055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46" w:lineRule="exact"/>
        <w:rPr>
          <w:rFonts w:ascii="MS PGothic" w:cs="MS PGothic" w:eastAsia="MS PGothic" w:hAnsi="MS PGothic"/>
          <w:sz w:val="15"/>
          <w:szCs w:val="15"/>
          <w:color w:val="auto"/>
        </w:rPr>
      </w:pPr>
    </w:p>
    <w:p>
      <w:pPr>
        <w:ind w:left="4120"/>
        <w:spacing w:after="0"/>
        <w:rPr>
          <w:rFonts w:ascii="MS PGothic" w:cs="MS PGothic" w:eastAsia="MS PGothic" w:hAnsi="MS PGothic"/>
          <w:sz w:val="15"/>
          <w:szCs w:val="15"/>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ectPr>
          <w:pgSz w:w="11900" w:h="16838" w:orient="portrait"/>
          <w:cols w:equalWidth="0" w:num="1">
            <w:col w:w="11340"/>
          </w:cols>
          <w:pgMar w:left="320" w:top="226" w:right="2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80-0812659</w:t>
      </w:r>
    </w:p>
    <w:p>
      <w:pPr>
        <w:spacing w:after="0" w:line="58" w:lineRule="exact"/>
        <w:rPr>
          <w:sz w:val="24"/>
          <w:szCs w:val="24"/>
          <w:color w:val="auto"/>
        </w:rPr>
      </w:pPr>
    </w:p>
    <w:p>
      <w:pPr>
        <w:sectPr>
          <w:pgSz w:w="11900" w:h="16838" w:orient="portrait"/>
          <w:cols w:equalWidth="0" w:num="2">
            <w:col w:w="7620" w:space="720"/>
            <w:col w:w="3000"/>
          </w:cols>
          <w:pgMar w:left="320" w:top="226"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sectPr>
          <w:pgSz w:w="11900" w:h="16838" w:orient="portrait"/>
          <w:cols w:equalWidth="0" w:num="2">
            <w:col w:w="6980" w:space="720"/>
            <w:col w:w="3640"/>
          </w:cols>
          <w:pgMar w:left="320" w:top="226"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44"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6"/>
          <w:szCs w:val="16"/>
          <w:color w:val="auto"/>
        </w:rPr>
        <w:t>(646) 710-3417</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12" w:lineRule="exact"/>
        <w:rPr>
          <w:sz w:val="24"/>
          <w:szCs w:val="24"/>
          <w:color w:val="auto"/>
        </w:rPr>
      </w:pPr>
    </w:p>
    <w:p>
      <w:pPr>
        <w:ind w:right="420" w:firstLine="395"/>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 w:lineRule="exact"/>
        <w:rPr>
          <w:sz w:val="24"/>
          <w:szCs w:val="24"/>
          <w:color w:val="auto"/>
        </w:rPr>
      </w:pPr>
    </w:p>
    <w:p>
      <w:pPr>
        <w:ind w:right="180" w:firstLine="395"/>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8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August 2, 2024, 35,418,308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9"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7"/>
              </w:rPr>
              <w:t>PART I. FINANCIAL INFORMATION</w:t>
            </w:r>
          </w:p>
        </w:tc>
        <w:tc>
          <w:tcPr>
            <w:tcW w:w="534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0000FF"/>
            </w:tcBorders>
            <w:gridSpan w:val="12"/>
            <w:vMerge w:val="continue"/>
          </w:tcPr>
          <w:p>
            <w:pPr>
              <w:spacing w:after="0"/>
              <w:rPr>
                <w:sz w:val="17"/>
                <w:szCs w:val="17"/>
                <w:color w:val="auto"/>
              </w:rPr>
            </w:pPr>
          </w:p>
        </w:tc>
        <w:tc>
          <w:tcPr>
            <w:tcW w:w="5340" w:type="dxa"/>
            <w:vAlign w:val="bottom"/>
            <w:gridSpan w:val="11"/>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380" w:type="dxa"/>
            <w:vAlign w:val="bottom"/>
            <w:gridSpan w:val="3"/>
          </w:tcPr>
          <w:p>
            <w:pPr>
              <w:spacing w:after="0"/>
              <w:rPr>
                <w:sz w:val="21"/>
                <w:szCs w:val="21"/>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Financial Statements (Unaudited)</w:t>
            </w:r>
          </w:p>
        </w:tc>
        <w:tc>
          <w:tcPr>
            <w:tcW w:w="5080" w:type="dxa"/>
            <w:vAlign w:val="bottom"/>
            <w:gridSpan w:val="9"/>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7"/>
              </w:rPr>
              <w:t>Consolidated Statements of Comprehensive Income</w:t>
            </w:r>
          </w:p>
        </w:tc>
        <w:tc>
          <w:tcPr>
            <w:tcW w:w="3800" w:type="dxa"/>
            <w:vAlign w:val="bottom"/>
            <w:gridSpan w:val="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580" w:type="dxa"/>
            <w:vAlign w:val="bottom"/>
            <w:tcBorders>
              <w:top w:val="single" w:sz="8" w:color="0000FF"/>
            </w:tcBorders>
            <w:gridSpan w:val="2"/>
          </w:tcPr>
          <w:p>
            <w:pPr>
              <w:spacing w:after="0"/>
              <w:rPr>
                <w:sz w:val="16"/>
                <w:szCs w:val="16"/>
                <w:color w:val="auto"/>
              </w:rPr>
            </w:pPr>
          </w:p>
        </w:tc>
        <w:tc>
          <w:tcPr>
            <w:tcW w:w="3980" w:type="dxa"/>
            <w:vAlign w:val="bottom"/>
            <w:gridSpan w:val="5"/>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4320" w:type="dxa"/>
            <w:vAlign w:val="bottom"/>
            <w:gridSpan w:val="6"/>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191"/>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2.</w:t>
            </w:r>
          </w:p>
        </w:tc>
        <w:tc>
          <w:tcPr>
            <w:tcW w:w="360" w:type="dxa"/>
            <w:vAlign w:val="bottom"/>
            <w:gridSpan w:val="2"/>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3.</w:t>
            </w:r>
          </w:p>
        </w:tc>
        <w:tc>
          <w:tcPr>
            <w:tcW w:w="360" w:type="dxa"/>
            <w:vAlign w:val="bottom"/>
            <w:gridSpan w:val="2"/>
          </w:tcPr>
          <w:p>
            <w:pPr>
              <w:spacing w:after="0"/>
              <w:rPr>
                <w:sz w:val="16"/>
                <w:szCs w:val="16"/>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r>
        <w:trPr>
          <w:trHeight w:val="191"/>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8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w w:val="97"/>
              </w:rPr>
              <w:t>PART II. OTHER INFORMATION</w:t>
            </w:r>
          </w:p>
        </w:tc>
        <w:tc>
          <w:tcPr>
            <w:tcW w:w="5600" w:type="dxa"/>
            <w:vAlign w:val="bottom"/>
            <w:gridSpan w:val="12"/>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p>
        </w:tc>
        <w:tc>
          <w:tcPr>
            <w:tcW w:w="360" w:type="dxa"/>
            <w:vAlign w:val="bottom"/>
            <w:gridSpan w:val="2"/>
          </w:tcPr>
          <w:p>
            <w:pPr>
              <w:spacing w:after="0"/>
              <w:rPr>
                <w:sz w:val="21"/>
                <w:szCs w:val="21"/>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2.</w:t>
            </w:r>
          </w:p>
        </w:tc>
        <w:tc>
          <w:tcPr>
            <w:tcW w:w="280" w:type="dxa"/>
            <w:vAlign w:val="bottom"/>
            <w:tcBorders>
              <w:bottom w:val="single" w:sz="8" w:color="0000FF"/>
            </w:tcBorders>
          </w:tcPr>
          <w:p>
            <w:pPr>
              <w:spacing w:after="0"/>
              <w:rPr>
                <w:sz w:val="16"/>
                <w:szCs w:val="16"/>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8"/>
              </w:rPr>
              <w:t>Unregistered Sales of Equity Securities and Use of Proceeds</w:t>
            </w:r>
          </w:p>
        </w:tc>
        <w:tc>
          <w:tcPr>
            <w:tcW w:w="3380" w:type="dxa"/>
            <w:vAlign w:val="bottom"/>
            <w:gridSpan w:val="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0" w:type="dxa"/>
            <w:vAlign w:val="bottom"/>
          </w:tcPr>
          <w:p>
            <w:pPr>
              <w:spacing w:after="0"/>
              <w:rPr>
                <w:sz w:val="1"/>
                <w:szCs w:val="1"/>
                <w:color w:val="auto"/>
              </w:rPr>
            </w:pPr>
          </w:p>
        </w:tc>
      </w:tr>
      <w:tr>
        <w:trPr>
          <w:trHeight w:val="191"/>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gridSpan w:val="2"/>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2"/>
          </w:tcPr>
          <w:p>
            <w:pPr>
              <w:spacing w:after="0"/>
              <w:rPr>
                <w:sz w:val="16"/>
                <w:szCs w:val="16"/>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660" w:type="dxa"/>
            <w:vAlign w:val="bottom"/>
            <w:gridSpan w:val="1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6.</w:t>
            </w:r>
          </w:p>
        </w:tc>
        <w:tc>
          <w:tcPr>
            <w:tcW w:w="360" w:type="dxa"/>
            <w:vAlign w:val="bottom"/>
            <w:gridSpan w:val="2"/>
          </w:tcPr>
          <w:p>
            <w:pPr>
              <w:spacing w:after="0"/>
              <w:rPr>
                <w:sz w:val="16"/>
                <w:szCs w:val="16"/>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Exhibits</w:t>
            </w:r>
          </w:p>
        </w:tc>
        <w:tc>
          <w:tcPr>
            <w:tcW w:w="6040" w:type="dxa"/>
            <w:vAlign w:val="bottom"/>
            <w:gridSpan w:val="1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social and ethical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our continued expansion internationally; foreign exchange risk; risks related to regulatory and tax challenges;</w:t>
      </w:r>
    </w:p>
    <w:p>
      <w:pPr>
        <w:spacing w:after="0" w:line="255" w:lineRule="auto"/>
        <w:rPr>
          <w:sz w:val="20"/>
          <w:szCs w:val="20"/>
          <w:color w:val="auto"/>
        </w:rPr>
      </w:pPr>
      <w:r>
        <w:rPr>
          <w:rFonts w:ascii="Times New Roman" w:cs="Times New Roman" w:eastAsia="Times New Roman" w:hAnsi="Times New Roman"/>
          <w:sz w:val="16"/>
          <w:szCs w:val="16"/>
          <w:i w:val="1"/>
          <w:iCs w:val="1"/>
          <w:color w:val="auto"/>
        </w:rPr>
        <w:t>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social and ethical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 “Risk Factors” in our most recently filed Annual Report on</w:t>
      </w:r>
    </w:p>
    <w:p>
      <w:pPr>
        <w:spacing w:after="0" w:line="8"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i w:val="1"/>
          <w:iCs w:val="1"/>
          <w:color w:val="auto"/>
        </w:rPr>
        <w:t>Form 10-K, which was filed with the Securities and Exchange Commission (the “SEC”) on February 26, 2024 (our “2023 Form 10-K”) and in our consolidated financial statements, related notes, and the other information appearing elsewhere in the 2023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222"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and “Backgrid”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4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74,871</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$4,616 and $6,335</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91,139</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68,534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100,944</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292,573</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64,300</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383,325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1,003,866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203,463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42,649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432,331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22,949</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483,454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508,921</w:t>
            </w:r>
          </w:p>
        </w:tc>
        <w:tc>
          <w:tcPr>
            <w:tcW w:w="0" w:type="dxa"/>
            <w:vAlign w:val="bottom"/>
          </w:tcPr>
          <w:p>
            <w:pPr>
              <w:spacing w:after="0"/>
              <w:rPr>
                <w:sz w:val="1"/>
                <w:szCs w:val="1"/>
                <w:color w:val="auto"/>
              </w:rPr>
            </w:pPr>
          </w:p>
        </w:tc>
      </w:tr>
      <w:tr>
        <w:trPr>
          <w:trHeight w:val="19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73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40,286 and 39,982 shares issued and 35,359 and</w:t>
            </w:r>
          </w:p>
        </w:tc>
        <w:tc>
          <w:tcPr>
            <w:tcW w:w="44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35,572 shares outstanding as of June 30, 2024 and December 31, 2023, respectively</w:t>
            </w:r>
          </w:p>
        </w:tc>
        <w:tc>
          <w:tcPr>
            <w:tcW w:w="4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Treasury stock, at cost; 4,927 and 4,410 shares as of June 30, 2024 and December 31, 2023</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(228,213)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341,072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342,653</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520,412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527,094</w:t>
            </w:r>
          </w:p>
        </w:tc>
        <w:tc>
          <w:tcPr>
            <w:tcW w:w="0" w:type="dxa"/>
            <w:vAlign w:val="bottom"/>
          </w:tcPr>
          <w:p>
            <w:pPr>
              <w:spacing w:after="0"/>
              <w:rPr>
                <w:sz w:val="1"/>
                <w:szCs w:val="1"/>
                <w:color w:val="auto"/>
              </w:rPr>
            </w:pPr>
          </w:p>
        </w:tc>
      </w:tr>
      <w:tr>
        <w:trPr>
          <w:trHeight w:val="202"/>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1,003,866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960" w:type="dxa"/>
            <w:vAlign w:val="bottom"/>
            <w:gridSpan w:val="5"/>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6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208,840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560" w:type="dxa"/>
            <w:vAlign w:val="bottom"/>
            <w:gridSpan w:val="3"/>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424,120</w:t>
            </w:r>
          </w:p>
        </w:tc>
        <w:tc>
          <w:tcPr>
            <w:tcW w:w="0" w:type="dxa"/>
            <w:vAlign w:val="bottom"/>
          </w:tcPr>
          <w:p>
            <w:pPr>
              <w:spacing w:after="0"/>
              <w:rPr>
                <w:sz w:val="1"/>
                <w:szCs w:val="1"/>
                <w:color w:val="auto"/>
              </w:rPr>
            </w:pPr>
          </w:p>
        </w:tc>
      </w:tr>
      <w:tr>
        <w:trPr>
          <w:trHeight w:val="197"/>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84,416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162,579</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95,919</w:t>
            </w:r>
          </w:p>
        </w:tc>
        <w:tc>
          <w:tcPr>
            <w:tcW w:w="0" w:type="dxa"/>
            <w:vAlign w:val="bottom"/>
          </w:tcPr>
          <w:p>
            <w:pPr>
              <w:spacing w:after="0"/>
              <w:rPr>
                <w:sz w:val="1"/>
                <w:szCs w:val="1"/>
                <w:color w:val="auto"/>
              </w:rPr>
            </w:pPr>
          </w:p>
        </w:tc>
      </w:tr>
      <w:tr>
        <w:trPr>
          <w:trHeight w:val="209"/>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29,218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44,624</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38,099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71,914</w:t>
            </w:r>
          </w:p>
        </w:tc>
        <w:tc>
          <w:tcPr>
            <w:tcW w:w="0" w:type="dxa"/>
            <w:vAlign w:val="bottom"/>
          </w:tcPr>
          <w:p>
            <w:pPr>
              <w:spacing w:after="0"/>
              <w:rPr>
                <w:sz w:val="1"/>
                <w:szCs w:val="1"/>
                <w:color w:val="auto"/>
              </w:rPr>
            </w:pPr>
          </w:p>
        </w:tc>
      </w:tr>
      <w:tr>
        <w:trPr>
          <w:trHeight w:val="202"/>
        </w:trPr>
        <w:tc>
          <w:tcPr>
            <w:tcW w:w="6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200,125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396,956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375,036</w:t>
            </w:r>
          </w:p>
        </w:tc>
        <w:tc>
          <w:tcPr>
            <w:tcW w:w="0" w:type="dxa"/>
            <w:vAlign w:val="bottom"/>
          </w:tcPr>
          <w:p>
            <w:pPr>
              <w:spacing w:after="0"/>
              <w:rPr>
                <w:sz w:val="1"/>
                <w:szCs w:val="1"/>
                <w:color w:val="auto"/>
              </w:rPr>
            </w:pPr>
          </w:p>
        </w:tc>
      </w:tr>
      <w:tr>
        <w:trPr>
          <w:trHeight w:val="20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8,715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49,084</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41,940</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8"/>
              </w:rPr>
              <w:t>(4,106)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02"/>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51,381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92,795</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w:t>
            </w:r>
          </w:p>
        </w:tc>
        <w:tc>
          <w:tcPr>
            <w:tcW w:w="0" w:type="dxa"/>
            <w:vAlign w:val="bottom"/>
          </w:tcPr>
          <w:p>
            <w:pPr>
              <w:spacing w:after="0"/>
              <w:rPr>
                <w:sz w:val="1"/>
                <w:szCs w:val="1"/>
                <w:color w:val="auto"/>
              </w:rPr>
            </w:pPr>
          </w:p>
        </w:tc>
      </w:tr>
      <w:tr>
        <w:trPr>
          <w:trHeight w:val="177"/>
        </w:trPr>
        <w:tc>
          <w:tcPr>
            <w:tcW w:w="6600" w:type="dxa"/>
            <w:vAlign w:val="bottom"/>
          </w:tcPr>
          <w:p>
            <w:pPr>
              <w:ind w:left="140"/>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2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50,013</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19,746</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8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82,856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36,406</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36,023</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36,490</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6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4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0"/>
        </w:trPr>
        <w:tc>
          <w:tcPr>
            <w:tcW w:w="6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8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91"/>
        </w:trPr>
        <w:tc>
          <w:tcPr>
            <w:tcW w:w="6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6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50,013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19,746</w:t>
            </w:r>
          </w:p>
        </w:tc>
        <w:tc>
          <w:tcPr>
            <w:tcW w:w="52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82,856</w:t>
            </w:r>
          </w:p>
        </w:tc>
      </w:tr>
      <w:tr>
        <w:trPr>
          <w:trHeight w:val="209"/>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8"/>
              </w:rPr>
              <w:t>(1,780)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w:t>
            </w:r>
          </w:p>
        </w:tc>
      </w:tr>
      <w:tr>
        <w:trPr>
          <w:trHeight w:val="20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8"/>
              </w:rPr>
              <w:t>(1,780)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r>
      <w:tr>
        <w:trPr>
          <w:trHeight w:val="20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49,902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17,966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84,164</w:t>
            </w:r>
          </w:p>
        </w:tc>
      </w:tr>
      <w:tr>
        <w:trPr>
          <w:trHeight w:val="21"/>
        </w:trPr>
        <w:tc>
          <w:tcPr>
            <w:tcW w:w="6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(Loss) / Income</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348,111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541,275</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14,976</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(7,892)</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520,412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(14,020)</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294,232</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476,534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14,943</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(8,147)</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(9,725)</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50,013</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402,728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334,520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519,507</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527,094</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26,126</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(8,855)</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(21,327)</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19,746</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520,412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271,051</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447,482</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23,586</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(12,340)</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(19,387)</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82,856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82,856</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39,884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(204,008)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402,728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334,520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519,507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4"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5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72"/>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82,856</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38,102</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Bargain purchase gain</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(gain) / loss on investments, net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(29,834)</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19,553</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96,589</w:t>
            </w:r>
          </w:p>
        </w:tc>
      </w:tr>
      <w:tr>
        <w:trPr>
          <w:trHeight w:val="74"/>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(66,128)</w:t>
            </w:r>
          </w:p>
        </w:tc>
      </w:tr>
      <w:tr>
        <w:trPr>
          <w:trHeight w:val="74"/>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(19,387)</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4"/>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(50,778)</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(57,929)</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(28,008)</w:t>
            </w:r>
          </w:p>
        </w:tc>
      </w:tr>
      <w:tr>
        <w:trPr>
          <w:trHeight w:val="94"/>
        </w:trPr>
        <w:tc>
          <w:tcPr>
            <w:tcW w:w="85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115,154</w:t>
            </w:r>
          </w:p>
        </w:tc>
      </w:tr>
      <w:tr>
        <w:trPr>
          <w:trHeight w:val="22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8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12,560</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6,795</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Inc. (the “Company” or “Shutterstock”) is a leading global creative platform connecting brands and businesses to high quality content.</w:t>
      </w:r>
    </w:p>
    <w:p>
      <w:pPr>
        <w:spacing w:after="0" w:line="13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48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14"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8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8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right="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90" w:lineRule="exact"/>
        <w:rPr>
          <w:sz w:val="20"/>
          <w:szCs w:val="20"/>
          <w:color w:val="auto"/>
        </w:rPr>
      </w:pPr>
    </w:p>
    <w:p>
      <w:pPr>
        <w:ind w:right="400" w:firstLine="632"/>
        <w:spacing w:after="0" w:line="268" w:lineRule="auto"/>
        <w:rPr>
          <w:sz w:val="20"/>
          <w:szCs w:val="20"/>
          <w:color w:val="auto"/>
        </w:rPr>
      </w:pPr>
      <w:r>
        <w:rPr>
          <w:rFonts w:ascii="Times New Roman" w:cs="Times New Roman" w:eastAsia="Times New Roman" w:hAnsi="Times New Roman"/>
          <w:sz w:val="18"/>
          <w:szCs w:val="18"/>
          <w:color w:val="auto"/>
        </w:rPr>
        <w:t>On February 1, 2024, the Company acquired Backgrid USA, Inc. and Backgrid London, Ltd. (collectively “Backgrid”). Backgrid supplies media organizations with real-time celebrity content. See Note 3 Acquisitions.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2" w:lineRule="exact"/>
        <w:rPr>
          <w:sz w:val="20"/>
          <w:szCs w:val="20"/>
          <w:color w:val="auto"/>
        </w:rPr>
      </w:pPr>
    </w:p>
    <w:p>
      <w:pPr>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interim Consolidated Balance Sheet as of June 30, 2024, and the Consolidated Statements of Operations, Comprehensive Income and Stockholders’ Equity for the three and six months ended June 30, 2024 and 2023, and the Consolidated Statements of Cash Flows for the six months ended June 30, 2024 and 2023 are unaudited. The Consolidated Balance Sheet as of December 31, 2023,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June 30, 2024, and its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consolidated results of operations, comprehensive income, stockholders’ equity and cash flows for the three and six months ended June 30, 2024 and 2023. The financial data and the other financial information disclosed in the notes to the financial statements related to these periods are also unaudited. The results of operations for the six months ended June 30, 2024 are not necessarily indicative of the results to be expected for the fiscal year ending December 31, 2024 or for any other future annual or interim period.</w:t>
      </w:r>
    </w:p>
    <w:p>
      <w:pPr>
        <w:spacing w:after="0" w:line="78"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2023 included in the Company’s Annual Report on Form 10-K, which was filed with the SEC on February 26, 2024.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1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118"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$69.9 million of unbilled receivables of which $38.0 million are recorded in Accounts Receivable and $31.9 million are recorded in Other Assets, as of June 30, 2024.</w:t>
      </w:r>
    </w:p>
    <w:p>
      <w:pPr>
        <w:spacing w:after="0" w:line="90"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recorded bad debt recovery of $1.8 million. As of June 30, 2024 and December 31, 2023, the Company’s allowance for doubtful accounts was approximately $4.6 million and $6.3 million, respectively. The allowance for doubtful accounts is included as a reduction of accounts receivable on the Consolidated Balance Sheets.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June 30, 2024 and December 31, 2023, approximately $12.6 million and $16.0 million of financing receivables, respectively, were included in accounts receivable and other assets on the Consolidated Balance Sheets.</w:t>
      </w:r>
    </w:p>
    <w:p>
      <w:pPr>
        <w:spacing w:after="0" w:line="78" w:lineRule="exact"/>
        <w:rPr>
          <w:sz w:val="20"/>
          <w:szCs w:val="20"/>
          <w:color w:val="auto"/>
        </w:rPr>
      </w:pPr>
    </w:p>
    <w:p>
      <w:pPr>
        <w:ind w:right="860" w:firstLine="395"/>
        <w:spacing w:after="0" w:line="396" w:lineRule="auto"/>
        <w:rPr>
          <w:sz w:val="20"/>
          <w:szCs w:val="20"/>
          <w:color w:val="auto"/>
        </w:rPr>
      </w:pPr>
      <w:r>
        <w:rPr>
          <w:rFonts w:ascii="Times New Roman" w:cs="Times New Roman" w:eastAsia="Times New Roman" w:hAnsi="Times New Roman"/>
          <w:sz w:val="18"/>
          <w:szCs w:val="18"/>
          <w:color w:val="auto"/>
        </w:rPr>
        <w:t xml:space="preserve">In addition, as of June 30, 2024 and December 31, 2023, two customers accounted for approximately 29% of the accounts receivable balance. </w:t>
      </w:r>
      <w:r>
        <w:rPr>
          <w:rFonts w:ascii="Times New Roman" w:cs="Times New Roman" w:eastAsia="Times New Roman" w:hAnsi="Times New Roman"/>
          <w:sz w:val="18"/>
          <w:szCs w:val="18"/>
          <w:b w:val="1"/>
          <w:bCs w:val="1"/>
          <w:i w:val="1"/>
          <w:iCs w:val="1"/>
          <w:color w:val="auto"/>
        </w:rPr>
        <w:t>Chargeback and Sales Refund Allowance</w:t>
      </w:r>
    </w:p>
    <w:p>
      <w:pPr>
        <w:spacing w:after="0" w:line="1"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June 30, 2024 and December 31, 2023, the Company’s combined allowance for chargebacks and sales refunds was $0.4 million, which was included as a component of other current liabilities on the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w:t>
      </w:r>
    </w:p>
    <w:p>
      <w:pPr>
        <w:spacing w:after="0" w:line="200" w:lineRule="exact"/>
        <w:rPr>
          <w:sz w:val="20"/>
          <w:szCs w:val="20"/>
          <w:color w:val="auto"/>
        </w:rPr>
      </w:pPr>
    </w:p>
    <w:p>
      <w:pPr>
        <w:spacing w:after="0" w:line="37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downloaded over a specific period of time, or, on a transactional basis, whereby a customer pays for individual content licenses at the time of download. The Company also generates revenue from tools available through the Company’s platform.</w:t>
      </w:r>
    </w:p>
    <w:p>
      <w:pPr>
        <w:spacing w:after="0" w:line="10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available through the Company’s platform, revenue is recognized on a straight-line basis over the subscription period. The Company expenses contract acquisition costs as incurred, to the extent that the amortization period would otherwise be one year or less.</w:t>
      </w:r>
    </w:p>
    <w:p>
      <w:pPr>
        <w:spacing w:after="0" w:line="10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also reports revenue net of return and chargeback allowances. These allowances are based off historical trends when available.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360" w:firstLine="395"/>
        <w:spacing w:after="0" w:line="366" w:lineRule="auto"/>
        <w:rPr>
          <w:sz w:val="20"/>
          <w:szCs w:val="20"/>
          <w:color w:val="auto"/>
        </w:rPr>
      </w:pPr>
      <w:r>
        <w:rPr>
          <w:rFonts w:ascii="Times New Roman" w:cs="Times New Roman" w:eastAsia="Times New Roman" w:hAnsi="Times New Roman"/>
          <w:sz w:val="18"/>
          <w:szCs w:val="18"/>
          <w:color w:val="auto"/>
        </w:rPr>
        <w:t xml:space="preserve">The Company had no assets or liabilities requiring fair value hierarchy disclosures as of June 30, 2024 or December 31, 2023, except as noted below. </w:t>
      </w:r>
      <w:r>
        <w:rPr>
          <w:rFonts w:ascii="Times New Roman" w:cs="Times New Roman" w:eastAsia="Times New Roman" w:hAnsi="Times New Roman"/>
          <w:sz w:val="18"/>
          <w:szCs w:val="18"/>
          <w:i w:val="1"/>
          <w:iCs w:val="1"/>
          <w:color w:val="auto"/>
        </w:rPr>
        <w:t>Other Fair Value Measurements</w:t>
      </w: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37"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 The Company used the measurement alternative and the investment in ZCool was reported at cost, adjusted for impairments or any observable price changes in ordinary transactions with identical or similar investments.</w:t>
      </w:r>
    </w:p>
    <w:p>
      <w:pPr>
        <w:spacing w:after="0" w:line="80"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On March 27, 2024, ZCool was acquired by Meitu, and the Company’s Preferred Shares in ZCool were exchanged for $18.4 million of Meitu common shares, resulting in an investment carrying value increase of $3.4 million, which is recorded in Other (expense) /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 being recorded in Other (expense) / income, net in the Consolidated Statement of Operations. Its fair value level hierarchy and amount at June 30, 2024 are as follows:</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As of June 30, 2024</w:t>
            </w:r>
          </w:p>
        </w:tc>
      </w:tr>
      <w:tr>
        <w:trPr>
          <w:trHeight w:val="24"/>
        </w:trPr>
        <w:tc>
          <w:tcPr>
            <w:tcW w:w="9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4"/>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07"/>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15,130</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37"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In connection with its Data, Distribution, and Services business, the Company may receive equity instruments in addition to cash for revenue contract consideration. As of June 30, 2024, the Company has $23.8 million recorded in Other Assets in the Consolidated Balance Sheet from equity instruments received. There were no customer equity instruments recorded at December 31, 2023. The Company estimated the value of these equity instruments based on issuers’ recent market transactions. The Company will use the measurement alternative for fair value since the equity instruments do not have a readily determinable fair value and will report the instruments at cost, adjusted for impairments or any observable price changes in ordinary transactions with identical or similar investments.</w:t>
      </w:r>
    </w:p>
    <w:p>
      <w:pPr>
        <w:spacing w:after="0" w:line="119"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 Company also had a long-term investment in an equity security with no readily determinable fair value totaling $5.0 million. The Company uses the measurement alternative for fair value and the investment’s carrying value is reported at cost, adjusted for impairments or any observable price changes in ordinary transactions with identical or similar investments.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Backgrid</w:t>
      </w:r>
    </w:p>
    <w:p>
      <w:pPr>
        <w:spacing w:after="0" w:line="11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In connection with the acquisition, the Company incurred approximately $1.5 million of transaction costs in total, which are included in general and administrative expenses on the Consolidated Statements of Operations.</w:t>
      </w:r>
    </w:p>
    <w:p>
      <w:pPr>
        <w:spacing w:after="0" w:line="78"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Backgrid supplies media organizations with real-time celebrity content. The Company believes this acquisition expands Shutterstock Editorial’s Newsroom offering of editorial images and footage across celebrity, red carpet and live-events.</w:t>
      </w:r>
    </w:p>
    <w:p>
      <w:pPr>
        <w:spacing w:after="0" w:line="64"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The identifiable intangible assets, trademark and developed technology, have useful lives of approximately 10 years and 5 years, respectively. The goodwill arising from the transaction is primarily attributable to expected operational synergies and is not deductible for income tax purposes.</w:t>
      </w:r>
    </w:p>
    <w:p>
      <w:pPr>
        <w:spacing w:after="0" w:line="64"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Backgrid transaction was accounted for using the acquisition method and, accordingly, the results of the acquired business have been included in the Company’s results of operations from the acquisition date. The fair value of consideration transferred in this business combination has been allocated to the intangible and tangible assets acquired and liabilities assumed at the acquisition date, with the remaining unallocated amount recorded as goodwill. The identifiable intangible assets of this</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acquisition are being amortized on a straight-line basis. The fair value of the trademark and developed technology was determined using the excess earnings and relief-from-royalty methods.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this acquisition has been allocated to the assets acquired and liabilities assumed as follows (in thousands):</w:t>
      </w:r>
    </w:p>
    <w:p>
      <w:pPr>
        <w:spacing w:after="0" w:line="154" w:lineRule="exact"/>
        <w:rPr>
          <w:sz w:val="20"/>
          <w:szCs w:val="20"/>
          <w:color w:val="auto"/>
        </w:rPr>
      </w:pPr>
    </w:p>
    <w:tbl>
      <w:tblPr>
        <w:tblLayout w:type="fixed"/>
        <w:tblInd w:w="780" w:type="dxa"/>
        <w:tblCellMar>
          <w:top w:w="0" w:type="dxa"/>
          <w:left w:w="0" w:type="dxa"/>
          <w:bottom w:w="0" w:type="dxa"/>
          <w:right w:w="0" w:type="dxa"/>
        </w:tblCellMar>
      </w:tblPr>
      <w:tr>
        <w:trPr>
          <w:trHeight w:val="19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Backgrid</w:t>
            </w:r>
          </w:p>
        </w:tc>
      </w:tr>
      <w:tr>
        <w:trPr>
          <w:trHeight w:val="202"/>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1,718</w:t>
            </w: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732</w:t>
            </w:r>
          </w:p>
        </w:tc>
      </w:tr>
      <w:tr>
        <w:trPr>
          <w:trHeight w:val="209"/>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w:t>
            </w:r>
          </w:p>
        </w:tc>
      </w:tr>
      <w:tr>
        <w:trPr>
          <w:trHeight w:val="212"/>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name</w:t>
            </w:r>
          </w:p>
        </w:tc>
        <w:tc>
          <w:tcPr>
            <w:tcW w:w="2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300</w:t>
            </w: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Developed technology</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900</w:t>
            </w:r>
          </w:p>
        </w:tc>
      </w:tr>
      <w:tr>
        <w:trPr>
          <w:trHeight w:val="202"/>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1,200</w:t>
            </w:r>
          </w:p>
        </w:tc>
      </w:tr>
      <w:tr>
        <w:trPr>
          <w:trHeight w:val="206"/>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19,843</w:t>
            </w:r>
          </w:p>
        </w:tc>
      </w:tr>
      <w:tr>
        <w:trPr>
          <w:trHeight w:val="20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23,570</w:t>
            </w:r>
          </w:p>
        </w:tc>
      </w:tr>
      <w:tr>
        <w:trPr>
          <w:trHeight w:val="35"/>
        </w:trPr>
        <w:tc>
          <w:tcPr>
            <w:tcW w:w="8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1"/>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r>
      <w:tr>
        <w:trPr>
          <w:trHeight w:val="209"/>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2"/>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r>
      <w:tr>
        <w:trPr>
          <w:trHeight w:val="23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21,148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Giphy, Inc.</w:t>
      </w:r>
    </w:p>
    <w:p>
      <w:pPr>
        <w:spacing w:after="0" w:line="111"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On May 22, 2023, the Company entered into a Stock Purchase Agreement with Meta Platforms, Inc. (“Meta”) dated May 22, 2023 (the “Purchase Agreement”). On June 23, 2023, the Company completed its acquisition of all of the outstanding shares of Giphy, Inc. (“Giphy”) from Meta. The consideration paid by the Company pursuant to the Purchase Agreement was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pacing w:after="0" w:line="6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 (ii) nonrecurring items, totaling $87.9 million, comprised of one-time employment inducement bonuses and the cash value of unvested Meta equity awards (collectively, the “Giphy Retention Compensation”) and certain costs related to technology and integration expenses, totaling $30 million to be paid in $1.25 million monthly installments through May 2025.</w:t>
      </w:r>
    </w:p>
    <w:p>
      <w:pPr>
        <w:spacing w:after="0" w:line="224"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Giphy Retention Compensation will be paid to the individuals for being employees of the Company subsequent to the completion of the acquisition. Accordingly, it was determined that the payments by the Company are for future service requirements and will be reflected as operating expenses, less any amounts earned by the employees prior to the acquisition, in the Company’s Statements of Operations as incurred. The Giphy Retention Compensation is reflected as a reduction of the purchase price and has been funded into an escrow account.</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Giphy purchase price was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r>
      <w:tr>
        <w:trPr>
          <w:trHeight w:val="20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 and other working capital 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on closing</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57,750</w:t>
            </w:r>
          </w:p>
        </w:tc>
      </w:tr>
      <w:tr>
        <w:trPr>
          <w:trHeight w:val="92"/>
        </w:trPr>
        <w:tc>
          <w:tcPr>
            <w:tcW w:w="9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1"/>
        </w:trPr>
        <w:tc>
          <w:tcPr>
            <w:tcW w:w="9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Fair value of Giphy Retention Compensation contingent consideration</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(98,723)</w:t>
            </w:r>
          </w:p>
        </w:tc>
      </w:tr>
      <w:tr>
        <w:trPr>
          <w:trHeight w:val="211"/>
        </w:trPr>
        <w:tc>
          <w:tcPr>
            <w:tcW w:w="97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Fair value of consideration attributable to pre-combination service</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34,972</w:t>
            </w:r>
          </w:p>
        </w:tc>
      </w:tr>
      <w:tr>
        <w:trPr>
          <w:trHeight w:val="92"/>
        </w:trPr>
        <w:tc>
          <w:tcPr>
            <w:tcW w:w="97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r>
      <w:tr>
        <w:trPr>
          <w:trHeight w:val="204"/>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1 - This amount consists of $123.5 million of Giphy Retention Compensation, adjusted for $18.9 million of income tax obligations associated with the receipt of the Giphy Retention Compensation and $5.9 million for the time value of money.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 Relates to the cash value of replaced unvested Meta equity awards attributable to pre-combination services.</w:t>
      </w:r>
    </w:p>
    <w:p>
      <w:pPr>
        <w:spacing w:after="0" w:line="120"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Upon closing of the acquisition, the Company also entered into an agreement with Meta whereby the Company will provide Meta with access to Giphy content that is displayed through an API for a period of two years. The Company determined that the API arrangement represents a transaction separate from the business combination and was priced below market. Therefore, the Company allocated $30 million of the purchase price to these services, which represents the step-up to fair market value. This amount has been recognized in deferred revenue and will be recognized as revenue over-time as the API is provided.</w:t>
      </w:r>
    </w:p>
    <w:p>
      <w:pPr>
        <w:spacing w:after="0" w:line="49"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developed technology and the trade name have weighted average useful lives of approximately 7 years and 15 years, respectively. The fair value of the developed technology was determined using the cost to recreate method, and the fair value of the trade name was determined using the relief-from-royalty method.</w:t>
      </w:r>
    </w:p>
    <w:p>
      <w:pPr>
        <w:spacing w:after="0" w:line="75"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The Giphy transaction was accounted for using the acquisition method and, accordingly, the results of the acquired business have been included in the Company’s results of operations from the acquisition date. The fair value of consideration transferred in this business combination has been allocated to the intangible and tangible assets acquired and liabilities assumed at the acquisition date, with the excess of the fair value of the net assets acquired over the net consideration received recorded as a bargain purchase gain. The identifiable intangible assets of these acquisitions are being amortized on a straight-line basis.</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this acquisition has been allocated to the assets acquired and liabilities assumed as follows (in thousands):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Giphy</w:t>
            </w:r>
          </w:p>
        </w:tc>
      </w:tr>
      <w:tr>
        <w:trPr>
          <w:trHeight w:val="202"/>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r>
      <w:tr>
        <w:trPr>
          <w:trHeight w:val="212"/>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09"/>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 of use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2"/>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9"/>
        </w:trPr>
        <w:tc>
          <w:tcPr>
            <w:tcW w:w="9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212"/>
        </w:trPr>
        <w:tc>
          <w:tcPr>
            <w:tcW w:w="9680" w:type="dxa"/>
            <w:vAlign w:val="bottom"/>
            <w:shd w:val="clear" w:color="auto" w:fill="CCEEFF"/>
          </w:tcPr>
          <w:p>
            <w:pPr>
              <w:ind w:left="340"/>
              <w:spacing w:after="0" w:line="212" w:lineRule="exact"/>
              <w:rPr>
                <w:sz w:val="20"/>
                <w:szCs w:val="20"/>
                <w:color w:val="auto"/>
              </w:rPr>
            </w:pPr>
            <w:r>
              <w:rPr>
                <w:rFonts w:ascii="Times New Roman" w:cs="Times New Roman" w:eastAsia="Times New Roman" w:hAnsi="Times New Roman"/>
                <w:sz w:val="16"/>
                <w:szCs w:val="16"/>
                <w:color w:val="auto"/>
              </w:rPr>
              <w:t>Developed technology</w:t>
            </w:r>
            <w:r>
              <w:rPr>
                <w:rFonts w:ascii="Times New Roman" w:cs="Times New Roman" w:eastAsia="Times New Roman" w:hAnsi="Times New Roman"/>
                <w:sz w:val="20"/>
                <w:szCs w:val="20"/>
                <w:color w:val="auto"/>
                <w:vertAlign w:val="superscript"/>
              </w:rPr>
              <w:t>2</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r>
      <w:tr>
        <w:trPr>
          <w:trHeight w:val="202"/>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40,500</w:t>
            </w:r>
          </w:p>
        </w:tc>
      </w:tr>
      <w:tr>
        <w:trPr>
          <w:trHeight w:val="212"/>
        </w:trPr>
        <w:tc>
          <w:tcPr>
            <w:tcW w:w="968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Deferred tax asset</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09"/>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w:t>
            </w:r>
          </w:p>
        </w:tc>
      </w:tr>
      <w:tr>
        <w:trPr>
          <w:trHeight w:val="20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50,299</w:t>
            </w:r>
          </w:p>
        </w:tc>
      </w:tr>
      <w:tr>
        <w:trPr>
          <w:trHeight w:val="53"/>
        </w:trPr>
        <w:tc>
          <w:tcPr>
            <w:tcW w:w="9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1"/>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09"/>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Lease liability</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0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r>
      <w:tr>
        <w:trPr>
          <w:trHeight w:val="202"/>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44,260</w:t>
            </w:r>
          </w:p>
        </w:tc>
      </w:tr>
      <w:tr>
        <w:trPr>
          <w:trHeight w:val="20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6"/>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50,261</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2"/>
          <w:szCs w:val="12"/>
          <w:color w:val="auto"/>
        </w:rPr>
        <w:t xml:space="preserve">1 - </w:t>
      </w:r>
      <w:r>
        <w:rPr>
          <w:rFonts w:ascii="Times New Roman" w:cs="Times New Roman" w:eastAsia="Times New Roman" w:hAnsi="Times New Roman"/>
          <w:sz w:val="14"/>
          <w:szCs w:val="14"/>
          <w:color w:val="auto"/>
        </w:rPr>
        <w:t>During the three months ended September 30, 2023, the Company revised its preliminary allocation of the Giphy purchase price to the assets acquired and liabilities assumed by $9.9 million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associated with additional information analyzed related to the deferred income tax balances. The measurement and allocation of the purchase price is preliminary and will be finalized within the allowable measurement period once the Company finalizes its assessment of fair value of intangible assets, income tax balances and other assets acquired and liabilities assumed.</w:t>
      </w:r>
    </w:p>
    <w:p>
      <w:pPr>
        <w:spacing w:after="0" w:line="8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2 - During the three months ended December 31, 2023, the Company revised its preliminary allocation of the Giphy purchase price to the assets acquired and liabilities assumed by $1.6 million associated with additional information analyzed related to the valuation of the Developed Technology asset. The measurement and allocation of the purchase price is preliminary and will be finalized within the allowable measurement period once the Company finalizes its assessment of fair value of intangible assets, income tax balances and other assets acquired and liabilities assumed.</w:t>
      </w:r>
    </w:p>
    <w:p>
      <w:pPr>
        <w:spacing w:after="0" w:line="200" w:lineRule="exact"/>
        <w:rPr>
          <w:sz w:val="20"/>
          <w:szCs w:val="20"/>
          <w:color w:val="auto"/>
        </w:rPr>
      </w:pPr>
    </w:p>
    <w:p>
      <w:pPr>
        <w:spacing w:after="0" w:line="20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recognized a non-taxable bargain purchase gain of $50.3 million, representing the excess of the fair value of the net assets acquired in addition to the net consideration to be received from Meta. The bargain purchase gain is the result of the CMA’s regulatory order requiring Meta’s divestiture of Giphy and the Giphy Retention Compensation payments. In connection with the acquisition, the Company incurred approximately $3.0 million of transaction costs, which are included in general and administrative expenses on the Consolidated Statements of Operations.</w:t>
      </w:r>
    </w:p>
    <w:p>
      <w:pPr>
        <w:spacing w:after="0" w:line="78"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As of June 30, 2024, Shutterstock’s receivable of $43.7 million, is against an escrow fully funded by Meta. $31.5 million and $12.2 million are included within Prepaid expenses and other current assets and Other assets, respectively,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(in thousands) reflects the results of operations of the Company for the three and six months ended June 30, 2024 and 2023, respectively, as if the Backgrid acquisition had been completed on January 1, 2023, and as if the Giphy acquisition had been completed on January 1, 2022, after giving effect to certain purchase accounting adjustments, primarily related to Giphy Retention Compensation - non-recurring, intangible assets and transaction costs.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2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53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208,840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424,120</w:t>
            </w:r>
          </w:p>
        </w:tc>
      </w:tr>
      <w:tr>
        <w:trPr>
          <w:trHeight w:val="209"/>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217,626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441,692</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51,381</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36,950</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92,795</w:t>
            </w:r>
          </w:p>
        </w:tc>
      </w:tr>
      <w:tr>
        <w:trPr>
          <w:trHeight w:val="212"/>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15,793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44,557</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80" w:type="dxa"/>
            <w:vAlign w:val="bottom"/>
          </w:tcPr>
          <w:p>
            <w:pPr>
              <w:spacing w:after="0"/>
              <w:rPr>
                <w:sz w:val="16"/>
                <w:szCs w:val="16"/>
                <w:color w:val="auto"/>
              </w:rPr>
            </w:pPr>
          </w:p>
        </w:tc>
        <w:tc>
          <w:tcPr>
            <w:tcW w:w="18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7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308,473</w:t>
            </w:r>
          </w:p>
        </w:tc>
      </w:tr>
      <w:tr>
        <w:trPr>
          <w:trHeight w:val="209"/>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10,829</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w:t>
            </w:r>
          </w:p>
        </w:tc>
      </w:tr>
      <w:tr>
        <w:trPr>
          <w:trHeight w:val="202"/>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338,455</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(274,155)</w:t>
            </w:r>
          </w:p>
        </w:tc>
      </w:tr>
      <w:tr>
        <w:trPr>
          <w:trHeight w:val="202"/>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63,069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r>
      <w:tr>
        <w:trPr>
          <w:trHeight w:val="21"/>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300" w:firstLine="395"/>
        <w:spacing w:after="0" w:line="289" w:lineRule="auto"/>
        <w:rPr>
          <w:sz w:val="20"/>
          <w:szCs w:val="20"/>
          <w:color w:val="auto"/>
        </w:rPr>
      </w:pPr>
      <w:r>
        <w:rPr>
          <w:rFonts w:ascii="Times New Roman" w:cs="Times New Roman" w:eastAsia="Times New Roman" w:hAnsi="Times New Roman"/>
          <w:sz w:val="16"/>
          <w:szCs w:val="16"/>
          <w:color w:val="auto"/>
        </w:rPr>
        <w:t>Depreciation expense related to property and equipment was $10.4 million and $9.1 million for the three months ended June 30, 2024 and 2023, respectively, and $20.7 million and $18.2 million for the six months ended June 30, 2024 and 2023, respectively. Cost of revenues included depreciation expense of $10.0 million and $8.7 million for the three months ended June 30, 2024 and 2023, respectively, and $19.9 million and $17.3 million for the six months ended June 30, 2024 and 2023, respectively. General and administrative expense included depreciation expense of $0.4 million for the three months ended June 30, 2024 and 2023, and $0.8 million and $0.9 million for the six months ended June 30, 2024 and 2023,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$9.6 million and $11.3 million for the three months ended June 30,</w:t>
      </w:r>
    </w:p>
    <w:p>
      <w:pPr>
        <w:spacing w:after="0" w:line="44" w:lineRule="exact"/>
        <w:rPr>
          <w:sz w:val="20"/>
          <w:szCs w:val="20"/>
          <w:color w:val="auto"/>
        </w:rPr>
      </w:pPr>
    </w:p>
    <w:p>
      <w:pPr>
        <w:ind w:right="460"/>
        <w:spacing w:after="0" w:line="248" w:lineRule="auto"/>
        <w:rPr>
          <w:sz w:val="20"/>
          <w:szCs w:val="20"/>
          <w:color w:val="auto"/>
        </w:rPr>
      </w:pPr>
      <w:r>
        <w:rPr>
          <w:rFonts w:ascii="Times New Roman" w:cs="Times New Roman" w:eastAsia="Times New Roman" w:hAnsi="Times New Roman"/>
          <w:sz w:val="18"/>
          <w:szCs w:val="18"/>
          <w:color w:val="auto"/>
        </w:rPr>
        <w:t>2024 and 2023, respectively, and $18.6 million and $21.6 million for the six months ended June 30, 2024 and 2023, respectively. Capitalized amounts are included as a component of property and equipment under computer equipment and software on the Consolidated Balance Sheets.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$9.8 million and $8.4 million for the three months ended</w:t>
      </w:r>
    </w:p>
    <w:p>
      <w:pPr>
        <w:spacing w:after="0" w:line="2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June 30, 2024 and 2023, respectively, and $19.4 million and $16.8 million for the six months ended June 30, 2024 and 2023, respectively. Depreciation expense related to capitalized internal-use software is included in cost of revenue in the Consolidated Statements of Operations.</w:t>
      </w:r>
    </w:p>
    <w:p>
      <w:pPr>
        <w:spacing w:after="0" w:line="81"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As of June 30, 2024 and December 31, 2023, the Company had capitalized internal-use software of $59.5 million and $60.3 million, respectively, net of accumulated depreciation, which was included in property and equipment, net.</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six months ended June 30, 2024.</w:t>
      </w:r>
    </w:p>
    <w:p>
      <w:pPr>
        <w:spacing w:after="0" w:line="64" w:lineRule="exact"/>
        <w:rPr>
          <w:sz w:val="20"/>
          <w:szCs w:val="20"/>
          <w:color w:val="auto"/>
        </w:rPr>
      </w:pPr>
    </w:p>
    <w:p>
      <w:pPr>
        <w:ind w:right="3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six months ended June 30, 2024 (in thousands):</w:t>
      </w:r>
    </w:p>
    <w:p>
      <w:pPr>
        <w:spacing w:after="0" w:line="1"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163" w:hanging="1163"/>
        <w:spacing w:after="0"/>
        <w:tabs>
          <w:tab w:leader="none" w:pos="116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383,325</w:t>
      </w:r>
    </w:p>
    <w:p>
      <w:pPr>
        <w:spacing w:after="0" w:line="26" w:lineRule="exact"/>
        <w:rPr>
          <w:rFonts w:ascii="Times New Roman" w:cs="Times New Roman" w:eastAsia="Times New Roman" w:hAnsi="Times New Roman"/>
          <w:sz w:val="16"/>
          <w:szCs w:val="16"/>
          <w:color w:val="auto"/>
        </w:rPr>
      </w:pPr>
    </w:p>
    <w:p>
      <w:pPr>
        <w:ind w:left="12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19,843</w:t>
      </w:r>
    </w:p>
    <w:p>
      <w:pPr>
        <w:spacing w:after="0" w:line="26" w:lineRule="exact"/>
        <w:rPr>
          <w:rFonts w:ascii="Times New Roman" w:cs="Times New Roman" w:eastAsia="Times New Roman" w:hAnsi="Times New Roman"/>
          <w:sz w:val="16"/>
          <w:szCs w:val="16"/>
          <w:color w:val="auto"/>
        </w:rPr>
      </w:pPr>
    </w:p>
    <w:p>
      <w:pPr>
        <w:ind w:left="138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19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31" w:lineRule="exact"/>
        <w:rPr>
          <w:sz w:val="20"/>
          <w:szCs w:val="20"/>
          <w:color w:val="auto"/>
        </w:rPr>
      </w:pPr>
    </w:p>
    <w:p>
      <w:pPr>
        <w:ind w:left="1163" w:hanging="1163"/>
        <w:spacing w:after="0"/>
        <w:tabs>
          <w:tab w:leader="none" w:pos="11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402,774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9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42545</wp:posOffset>
            </wp:positionV>
            <wp:extent cx="1119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77" w:space="720"/>
            <w:col w:w="1743"/>
          </w:cols>
          <w:pgMar w:left="320" w:top="12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June 30, 2024 and December 31, 2023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0"/>
                <w:szCs w:val="10"/>
                <w:color w:val="auto"/>
              </w:rPr>
            </w:pPr>
          </w:p>
        </w:tc>
        <w:tc>
          <w:tcPr>
            <w:tcW w:w="900" w:type="dxa"/>
            <w:vAlign w:val="bottom"/>
          </w:tcPr>
          <w:p>
            <w:pPr>
              <w:jc w:val="center"/>
              <w:ind w:right="124"/>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89,734</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(26,982)</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116,296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67,424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37,731</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311,845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164,508</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Amortization expense was $11.0 million and $10.1 million for the three months ended June 30, 2024 and 2023, respectively, and $22.0 million and</w:t>
      </w:r>
    </w:p>
    <w:p>
      <w:pPr>
        <w:spacing w:after="0" w:line="2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$19.9 million for the six months ended June 30, 2024 and 2023, respectively. Cost of revenue included amortization expense of $10.0 million and $9.4 million for the three months ended June 30, 2024 and 2023, respectively, and $20.0 million and $18.6 million for the six months ended June 30, 2024 and 2023, respectively. General and administrative expense included amortization expense of $1.0 million and $0.7 million for the three months ended June 30, 2024 and 2023, respectively, and $2.0 million and $1.3 million for the six months ended June 30, 2024 and 2023, respectively.</w:t>
      </w:r>
    </w:p>
    <w:p>
      <w:pPr>
        <w:spacing w:after="0" w:line="84"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$16.1 million for the remaining six months of 2024, $27.6 million in 2025, $25.3 million in 2026, $19.1 million in 2027, $16.5 million in 2028, $15.4 million in 2029 and $44.5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7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75,752</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23,702</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11,804</w:t>
            </w:r>
          </w:p>
        </w:tc>
      </w:tr>
      <w:tr>
        <w:trPr>
          <w:trHeight w:val="20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20,185</w:t>
            </w:r>
          </w:p>
        </w:tc>
      </w:tr>
      <w:tr>
        <w:trPr>
          <w:trHeight w:val="22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96,910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131,443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compensation-related accrued expenses included amounts due to Giphy employees for compensation earned pre-acquisition and severance costs associated with workforce optimizations. Approximately $1.2 million and $7.7 million of severance costs associated with workforce optimization is included within accrued expenses as of June 30, 2024 and December 31, 2023,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1"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the Company’s option, revolving loans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an unused commitment fee ranging from 0.150% to 0.225%, determined based on the Company’s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the Company paid debt issuance costs of approximately $0.6 million.</w:t>
      </w:r>
    </w:p>
    <w:p>
      <w:pPr>
        <w:spacing w:after="0" w:line="91" w:lineRule="exact"/>
        <w:rPr>
          <w:sz w:val="20"/>
          <w:szCs w:val="20"/>
          <w:color w:val="auto"/>
        </w:rPr>
      </w:pPr>
    </w:p>
    <w:p>
      <w:pPr>
        <w:jc w:val="both"/>
        <w:ind w:right="60" w:firstLine="395"/>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 Company had $30 million of outstanding borrowings under the Credit Facility. As of June 30, 2024, the Company had a remaining borrowing capacity of $68 million, net of standby letters of credit. For the three and six months ended June 30, 2024, the Company recognized interest expense of $0.6 million and $1.1 million, respectively.</w:t>
      </w:r>
    </w:p>
    <w:p>
      <w:pPr>
        <w:spacing w:after="0" w:line="75"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June 30, 2024, the Company was in compliance with these covenants.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273,000 and 194,000 shares of common stock during the three months ended June 30, 2024 and 2023,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As of June 30, 2024, the Company has repurchased approximately 4.9 million shares of common stock under the 2023 Share Repurchase Program at an average per-share cost of $50.49. During the three and six months ended June 30, 2024, the Company repurchased approximately 517,000 shares of common stock at an average cost of $39.83 under the 2023 Share Repurchase Program. During the three and six months ended June 30, 2023, the Company repurchased approximately 80,400 shares of its common stock at an average cost of $49.78 under the 2023 Share Repurchase Program. As of June 30, 2024, the Company had $51.2 million of remaining authorization for purchases under the 2023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The Company declared and paid cash dividends of $0.30 and $0.60 per share of common stock, or $10.7 million and $21.3 million during the three and six months ended June 30, 2024, respectively, and $0.27 and $0.54 per share of common stock, or $9.7 million and $19.4 million, during the three and six months ended June 30, 2023, respectively.</w:t>
      </w:r>
    </w:p>
    <w:p>
      <w:pPr>
        <w:spacing w:after="0" w:line="180" w:lineRule="exact"/>
        <w:rPr>
          <w:sz w:val="20"/>
          <w:szCs w:val="20"/>
          <w:color w:val="auto"/>
        </w:rPr>
      </w:pPr>
    </w:p>
    <w:p>
      <w:pPr>
        <w:ind w:right="380" w:firstLine="395"/>
        <w:spacing w:after="0" w:line="250" w:lineRule="auto"/>
        <w:rPr>
          <w:sz w:val="20"/>
          <w:szCs w:val="20"/>
          <w:color w:val="auto"/>
        </w:rPr>
      </w:pPr>
      <w:r>
        <w:rPr>
          <w:rFonts w:ascii="Times New Roman" w:cs="Times New Roman" w:eastAsia="Times New Roman" w:hAnsi="Times New Roman"/>
          <w:sz w:val="18"/>
          <w:szCs w:val="18"/>
          <w:color w:val="auto"/>
        </w:rPr>
        <w:t>On July 22, 2024, the Company’s Board of Directors declared a quarterly cash dividend of $0.30 per share of outstanding common stock payable on September 12, 2024 to stockholders of record at the close of business on August 29, 2024.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00" w:lineRule="exact"/>
        <w:rPr>
          <w:sz w:val="20"/>
          <w:szCs w:val="20"/>
          <w:color w:val="auto"/>
        </w:rPr>
      </w:pPr>
    </w:p>
    <w:p>
      <w:pPr>
        <w:ind w:right="40" w:firstLine="395"/>
        <w:spacing w:after="0" w:line="233"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 At the Annual Meeting held on June 6, 2024, the Company’s stockholders approved the Amended and Restated 2022 Omnibus Equity Incentive Plan (the “2022 Amended and Restated Plan”). Awards granted subsequent to June 6, 2024 were granted under the 2022 Amended and Restated Plan.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and six months ended June 30, 2024 and 2023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4"/>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6,669</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7,929</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13,968</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13,336</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14,976</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14,943</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26,126</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23,586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six months ended June 30, 2024 and 2023, substantially all of the Company’s non-cash equity-based compensation expense related to RSUs.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900"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2024, no options to purchase shares of its common stock were granted. As of June 30, 2024, there were approximately 299,000 options vested and exercisable with a weighted average exercise price of $34.14.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2024, the Company had RSU grants, net of forfeitures, of approximately 1,519,000. As of June 30, 2024, there are approximately 2,956,000 non-vested RSUs outstanding with a weighted average grant-date fair value of $53.13. As of June 30, 2024, the total unrecognized non-cash equity-based compensation expense related to the non-vested RSUs was approximately $108.3 million, which is expected to be recognized through 2028.</w:t>
      </w:r>
    </w:p>
    <w:p>
      <w:pPr>
        <w:spacing w:after="0" w:line="78"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2024 and 2023, shares of common stock with an aggregate value of $8.9 million and $12.3 million were withheld upon vesting of RSUs and paid in connection with related remittance of employee withholding taxes to taxing authorities.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7"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55" w:lineRule="exact"/>
        <w:rPr>
          <w:sz w:val="20"/>
          <w:szCs w:val="20"/>
          <w:color w:val="auto"/>
        </w:rPr>
      </w:pPr>
    </w:p>
    <w:p>
      <w:pPr>
        <w:jc w:val="both"/>
        <w:ind w:right="1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and six months ended June 30, 2024 and 2023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0"/>
        </w:trPr>
        <w:tc>
          <w:tcPr>
            <w:tcW w:w="5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37"/>
        </w:trPr>
        <w:tc>
          <w:tcPr>
            <w:tcW w:w="5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186,963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380,947</w:t>
            </w:r>
          </w:p>
        </w:tc>
      </w:tr>
      <w:tr>
        <w:trPr>
          <w:trHeight w:val="20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90,587</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43,173</w:t>
            </w:r>
          </w:p>
        </w:tc>
      </w:tr>
      <w:tr>
        <w:trPr>
          <w:trHeight w:val="231"/>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208,840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424,120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Deferred revenue reported on the balance sheet represents unfulfilled performance obligations for which the Company has either received payment or has outstanding receivables. The June 30, 2024 deferred revenue balance will be earned as content is downloaded or upon the expiration of subscription-based products, and nearly all is expected to be earned within the next twelve months. $131.1 million of total revenue recognized for the six months ended June 30, 2024 was reflected in deferred revenue as of December 31, 2023. In addition, as of June 30, 2024, the Company has approximately $91.8 million of contracted but unsatisfied performance obligations relating primarily to our data deal offerings, which are not included as a component of deferred revenue and that the Company expects to recognize over a five year period.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(Expense) /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and six months ended June 30, 2024 and 2023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420" w:type="dxa"/>
            <w:vAlign w:val="bottom"/>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3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551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(493)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unrealized gain / (loss) on investments, and other</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668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02"/>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 income, net</w:t>
            </w: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w w:val="99"/>
              </w:rPr>
              <w:t>726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1"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The Company’s effective tax rates yielded a net expense of 78.1% and 2.7% for the three months ended June 30, 2024 and 2023, respectively, and a net expense of 46.6% and 10.7% for the six months ended June 30, 2024 and 2023, respectively.</w:t>
      </w:r>
    </w:p>
    <w:p>
      <w:pPr>
        <w:spacing w:after="0" w:line="64" w:lineRule="exact"/>
        <w:rPr>
          <w:sz w:val="20"/>
          <w:szCs w:val="20"/>
          <w:color w:val="auto"/>
        </w:rPr>
      </w:pPr>
    </w:p>
    <w:p>
      <w:pPr>
        <w:ind w:right="140" w:firstLine="395"/>
        <w:spacing w:after="0" w:line="293" w:lineRule="auto"/>
        <w:rPr>
          <w:sz w:val="20"/>
          <w:szCs w:val="20"/>
          <w:color w:val="auto"/>
        </w:rPr>
      </w:pPr>
      <w:r>
        <w:rPr>
          <w:rFonts w:ascii="Times New Roman" w:cs="Times New Roman" w:eastAsia="Times New Roman" w:hAnsi="Times New Roman"/>
          <w:sz w:val="16"/>
          <w:szCs w:val="16"/>
          <w:color w:val="auto"/>
        </w:rPr>
        <w:t>During the three and six months ended June 30, 2024, the net effect of discrete items increased the effective tax rate by 59.7% and 27.6%, respectively. The discrete items for the three and six months ended June 30, 2024 relate to shortfalls on equity award vestings and a one-time charge of $6.3 million related to the reversal of a deferred tax asset resulting from the expiration of equity awards granted to the Company’s Founder and Executive Chairman. Excluding discrete items, the Company’s effective tax rate would have been 18.4% and 19.0% for the three and six months ended June 30, 2024, respectively.</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During the three and six months ended June 30, 2023, the net effect of discrete items decreased the effective tax rate by 13.6% and 7.1%,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discrete items for the three and six months ended June 30, 2023, relate to the non-taxable bargain purchase gain associated with the acquisition of Giphy.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Excluding discrete items, the Company’s effective tax rate would have been 16.3% and 17.8% for the three and six months ended June 30, 2023, respectively.</w:t>
      </w:r>
    </w:p>
    <w:p>
      <w:pPr>
        <w:spacing w:after="0" w:line="114"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64"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uncertain tax positions recorded by the Company were not significant. To the extent the remaining uncertain tax positions are ultimately recognized, the Company’s effective tax rate may be impacted in future periods.</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six months ended June 30, 2024 and 2023.</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six months ended June 30, 2024 and 2023, the Company paid net cash taxes of $12.6 million and $6.8 million,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2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six months ended June 30,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50,013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35,697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36,047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35,644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35,952</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06"/>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35,982</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36,406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36,490</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230,547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195,342</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117,447</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95,048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111,331</w:t>
            </w:r>
          </w:p>
        </w:tc>
        <w:tc>
          <w:tcPr>
            <w:tcW w:w="0" w:type="dxa"/>
            <w:vAlign w:val="bottom"/>
          </w:tcPr>
          <w:p>
            <w:pPr>
              <w:spacing w:after="0"/>
              <w:rPr>
                <w:sz w:val="1"/>
                <w:szCs w:val="1"/>
                <w:color w:val="auto"/>
              </w:rPr>
            </w:pP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424,120</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50% and 43% of consolidated revenue for the six months ended June 30, 2024 and 2023, respectively. No other country accounts for more than 10% of the Company’s revenue in any period presented.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46,531</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63,069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r>
      <w:tr>
        <w:trPr>
          <w:trHeight w:val="21"/>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80" w:firstLine="395"/>
        <w:spacing w:after="0" w:line="303"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67% and 68% of total long-lived tangible assets as of June 30, 2024 and December 31, 2023, respectively. Ireland, included in Europe in the above table, accounted for 22% and 21% of total long-lived tangible assets as of June 30, 2024 and December 31, 2023, respectively. No other country accounts for more than 10% of the Company’s long-lived tangible assets in any period presented.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1"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As of June 30, 2024, the Company had total non-lease obligations in the amount of approximately $68.7 million, which consisted primarily of minimum royalty guarantees and unconditional purchase obligations related to contracts for infrastructure and other business services. As of June 30, 2024, the Company’s non-lease obligations for the remainder of 2024 and for the years ending December 31, 2025, and 2026 were approximately $28.7 million, $34.3 million, and $5.7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5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occurrence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Employment Agreements</w:t>
      </w:r>
    </w:p>
    <w:p>
      <w:pPr>
        <w:spacing w:after="0" w:line="152" w:lineRule="exact"/>
        <w:rPr>
          <w:sz w:val="20"/>
          <w:szCs w:val="20"/>
          <w:color w:val="auto"/>
        </w:rPr>
      </w:pPr>
    </w:p>
    <w:p>
      <w:pPr>
        <w:ind w:right="40" w:firstLine="395"/>
        <w:spacing w:after="0" w:line="282"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six months ended June 30, 2024, the Company made no material payments for losses on customer indemnification claims and recorded no liabilities related to indemnification for loss contingencies, before considering any insurance recoveries.</w:t>
      </w:r>
    </w:p>
    <w:p>
      <w:pPr>
        <w:spacing w:after="0" w:line="86"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4"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or in the event of a change in control or otherwise, with or without cause.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Envato Acquisition</w:t>
      </w:r>
    </w:p>
    <w:p>
      <w:pPr>
        <w:spacing w:after="0" w:line="100" w:lineRule="exact"/>
        <w:rPr>
          <w:sz w:val="20"/>
          <w:szCs w:val="20"/>
          <w:color w:val="auto"/>
        </w:rPr>
      </w:pPr>
    </w:p>
    <w:p>
      <w:pPr>
        <w:ind w:right="80" w:firstLine="395"/>
        <w:spacing w:after="0" w:line="237" w:lineRule="auto"/>
        <w:rPr>
          <w:sz w:val="20"/>
          <w:szCs w:val="20"/>
          <w:color w:val="auto"/>
        </w:rPr>
      </w:pPr>
      <w:r>
        <w:rPr>
          <w:rFonts w:ascii="Times New Roman" w:cs="Times New Roman" w:eastAsia="Times New Roman" w:hAnsi="Times New Roman"/>
          <w:sz w:val="18"/>
          <w:szCs w:val="18"/>
          <w:color w:val="auto"/>
        </w:rPr>
        <w:t>On July 22, 2024, the Company completed its previously announced acquisition of Envato Pty Ltd. (“Envato”) pursuant to a Share Purchase Agreement (the “Purchase Agreement”) entered into on May 1, 2024, pursuant to which the Company purchased all of the issued and outstanding capital stock of Envato. The aggregate consideration paid by the Company, after customary working capital and other adjustments in accordance with the terms of the Purchase Agreement, was $250 million. We are currently in the process of valuing the assets acquired and liabilities assumed in the acquisition.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Credit Facility</w:t>
      </w:r>
    </w:p>
    <w:p>
      <w:pPr>
        <w:spacing w:after="0" w:line="231"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The Envato acquisition was funded through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of $125.0 million and (ii) senior unsecured revolving credit facility (the “Revolver”) in an aggregate principal amount of $250.0 million. The A&amp;R Credit Agreement provides for a letter of credit subfacility and a swingline facility.</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w:t>
      </w:r>
    </w:p>
    <w:p>
      <w:pPr>
        <w:jc w:val="both"/>
        <w:ind w:right="80"/>
        <w:spacing w:after="0" w:line="233" w:lineRule="auto"/>
        <w:rPr>
          <w:sz w:val="20"/>
          <w:szCs w:val="20"/>
          <w:color w:val="auto"/>
        </w:rPr>
      </w:pPr>
      <w:r>
        <w:rPr>
          <w:rFonts w:ascii="Times New Roman" w:cs="Times New Roman" w:eastAsia="Times New Roman" w:hAnsi="Times New Roman"/>
          <w:sz w:val="18"/>
          <w:szCs w:val="18"/>
          <w:color w:val="auto"/>
        </w:rPr>
        <w:t>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w:t>
      </w:r>
    </w:p>
    <w:p>
      <w:pPr>
        <w:spacing w:after="0" w:line="206" w:lineRule="exact"/>
        <w:rPr>
          <w:sz w:val="20"/>
          <w:szCs w:val="20"/>
          <w:color w:val="auto"/>
        </w:rPr>
      </w:pPr>
    </w:p>
    <w:p>
      <w:pPr>
        <w:ind w:right="220" w:firstLine="395"/>
        <w:spacing w:after="0" w:line="253" w:lineRule="auto"/>
        <w:rPr>
          <w:sz w:val="20"/>
          <w:szCs w:val="20"/>
          <w:color w:val="auto"/>
        </w:rPr>
      </w:pPr>
      <w:r>
        <w:rPr>
          <w:rFonts w:ascii="Times New Roman" w:cs="Times New Roman" w:eastAsia="Times New Roman" w:hAnsi="Times New Roman"/>
          <w:sz w:val="18"/>
          <w:szCs w:val="18"/>
          <w:color w:val="auto"/>
        </w:rPr>
        <w:t>On July 22, 2024, the Company borrowed $280 million under the A&amp;R Credit Agreement, of which $125 million was funded from the Term Loan and $155 million funded from the Revolver.</w:t>
      </w:r>
    </w:p>
    <w:p>
      <w:pPr>
        <w:spacing w:after="0" w:line="195"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The A&amp;R Credit Agreement contains customary affirmative and negative covenants, including, without limitation, covenants limiting the ability of the Company and its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A&amp;R Credit Agreement. The Company is also required to maintain compliance with a consolidated leverage ratio and a consolidated interest coverage ratio, in each case, determined in accordance with the terms of the A&amp;R Credit Agreement.</w:t>
      </w:r>
    </w:p>
    <w:p>
      <w:pPr>
        <w:spacing w:after="0" w:line="200" w:lineRule="exact"/>
        <w:rPr>
          <w:sz w:val="20"/>
          <w:szCs w:val="20"/>
          <w:color w:val="auto"/>
        </w:rPr>
      </w:pPr>
    </w:p>
    <w:p>
      <w:pPr>
        <w:spacing w:after="0" w:line="2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95"/>
        <w:spacing w:after="0" w:line="234" w:lineRule="auto"/>
        <w:rPr>
          <w:sz w:val="20"/>
          <w:szCs w:val="20"/>
          <w:color w:val="auto"/>
        </w:rPr>
      </w:pPr>
      <w:r>
        <w:rPr>
          <w:rFonts w:ascii="Times New Roman" w:cs="Times New Roman" w:eastAsia="Times New Roman" w:hAnsi="Times New Roman"/>
          <w:sz w:val="18"/>
          <w:szCs w:val="18"/>
          <w:color w:val="auto"/>
        </w:rPr>
        <w:t>The A&amp;R Credit Agreement also contains customary events of default that include, among other things, certain payment defaults, cross defaults to other indebtedness, inaccuracy of representations and warranties, covenant defaults, change of control defaults, judgment defaults, and bankruptcy and insolvency defaults. If an event of default exists, the Administrative Agent on behalf of the lenders may require immediate payment of all obligations under the A&amp;R Credit Agreement and may exercise certain other rights and remedies provided for under the A&amp;R Credit Agreement, the other loan documents and applicable law. Under certain circumstances, a default interest rate will apply to certain obligations during the existence of an event of default under the A&amp;R Credit Agreement at a per annum rate equal to 2.00% above the applicable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2023 Form 10-K.</w:t>
      </w:r>
    </w:p>
    <w:p>
      <w:pPr>
        <w:spacing w:after="0" w:line="11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2023 Form 10-K for additional discussion of the risks and uncertainties that could cause our actual results to differ materially from those expressed or implied in our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10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04"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Over 1.9 million active, paying customers contributed to our revenue for the twelve-month period ended June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8" w:lineRule="exact"/>
        <w:rPr>
          <w:sz w:val="20"/>
          <w:szCs w:val="20"/>
          <w:color w:val="auto"/>
        </w:rPr>
      </w:pPr>
    </w:p>
    <w:p>
      <w:pPr>
        <w:ind w:left="1040" w:right="160" w:hanging="324"/>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90" w:lineRule="exact"/>
        <w:rPr>
          <w:rFonts w:ascii="Times New Roman" w:cs="Times New Roman" w:eastAsia="Times New Roman" w:hAnsi="Times New Roman"/>
          <w:sz w:val="18"/>
          <w:szCs w:val="18"/>
          <w:color w:val="auto"/>
        </w:rPr>
      </w:pPr>
    </w:p>
    <w:p>
      <w:pPr>
        <w:ind w:left="1040" w:hanging="324"/>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340" w:hanging="324"/>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90" w:lineRule="exact"/>
        <w:rPr>
          <w:rFonts w:ascii="Times New Roman" w:cs="Times New Roman" w:eastAsia="Times New Roman" w:hAnsi="Times New Roman"/>
          <w:sz w:val="18"/>
          <w:szCs w:val="18"/>
          <w:color w:val="auto"/>
        </w:rPr>
      </w:pPr>
    </w:p>
    <w:p>
      <w:pPr>
        <w:ind w:left="1040" w:right="360" w:hanging="324"/>
        <w:spacing w:after="0" w:line="268" w:lineRule="auto"/>
        <w:tabs>
          <w:tab w:leader="none" w:pos="10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104"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and Offset. Shutterstock, our flagship brand, includes various content types such as image, footage, music and editorial.</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firstLine="395"/>
        <w:spacing w:after="0" w:line="248"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w:t>
      </w:r>
    </w:p>
    <w:p>
      <w:pPr>
        <w:spacing w:after="0" w:line="108"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On February 1, 2024, we acquired Backgrid USA, Inc. and Backgrid London, Ltd. (collectively “Backgrid”). Backgrid supplies media organizations with real-time celebrity content.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11" w:lineRule="exact"/>
        <w:rPr>
          <w:sz w:val="20"/>
          <w:szCs w:val="20"/>
          <w:color w:val="auto"/>
        </w:rPr>
      </w:pPr>
    </w:p>
    <w:p>
      <w:pPr>
        <w:ind w:right="8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17" w:lineRule="exact"/>
        <w:rPr>
          <w:sz w:val="20"/>
          <w:szCs w:val="20"/>
          <w:color w:val="auto"/>
        </w:rPr>
      </w:pPr>
    </w:p>
    <w:p>
      <w:pPr>
        <w:ind w:right="16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75"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users to personalize casual conversations with GIFs, and generates billions of monthly impressions through over 14,000 API partners. We believe customers in all industries will look to use Giphy in marketing campaigns as another advertising outlet.</w:t>
      </w:r>
    </w:p>
    <w:p>
      <w:pPr>
        <w:spacing w:after="0" w:line="75"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Backgrid USA, Inc. and Backgrid London LTD</w:t>
      </w:r>
    </w:p>
    <w:p>
      <w:pPr>
        <w:spacing w:after="0" w:line="137"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Backgrid supplies media organizations with real-time celebrity content. The Company believes this acquisition expands Shutterstock Editorial’s Newsroom offering of editorial images and footage across celebrity, red carpet and live-events.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Envato Pty Ltd.</w:t>
      </w:r>
    </w:p>
    <w:p>
      <w:pPr>
        <w:spacing w:after="0" w:line="111"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July 22, 2024, the Company completed its previously announced acquisition of Envato Pty Ltd. (“Envato”) pursuant to a Share Purchase Agreement (the “Purchase Agreement”) entered into on May 1, 2024, pursuant to which the Company purchased all of the issued and outstanding capital stock of Envato. The aggregate consideration paid by the Company, after customary working capital and other adjustments in accordance with the terms of the Purchase Agreement, was $250 million. We are currently in the process of valuing the assets acquired and liabilities assumed in the acquisition.</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addition of Envato:</w:t>
      </w:r>
    </w:p>
    <w:p>
      <w:pPr>
        <w:spacing w:after="0" w:line="109" w:lineRule="exact"/>
        <w:rPr>
          <w:sz w:val="20"/>
          <w:szCs w:val="20"/>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Complements Shutterstock’s existing offering with Envato Elements, a leading unlimited multi-asset subscription offering,</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Shutterstock’s reach within faster growing audiences such as freelancers, hobbyists, small businesses and agencies,</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Shutterstock’s Content revenue from video, audio, graphics, fonts and templates,</w:t>
      </w:r>
    </w:p>
    <w:p>
      <w:pPr>
        <w:spacing w:after="0" w:line="108" w:lineRule="exact"/>
        <w:rPr>
          <w:rFonts w:ascii="Times New Roman" w:cs="Times New Roman" w:eastAsia="Times New Roman" w:hAnsi="Times New Roman"/>
          <w:sz w:val="18"/>
          <w:szCs w:val="18"/>
          <w:color w:val="auto"/>
        </w:rPr>
      </w:pPr>
    </w:p>
    <w:p>
      <w:pPr>
        <w:ind w:left="640" w:right="140" w:hanging="319"/>
        <w:spacing w:after="0" w:line="268"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Bolsters Shutterstock’s content library with 10 million images, 6 million videos, 1 million audio clips, 0.5 million templates and 0.2 million graphics &amp; fonts, and</w:t>
      </w:r>
    </w:p>
    <w:p>
      <w:pPr>
        <w:spacing w:after="0" w:line="64"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diversifies Shutterstock into new content types including code &amp; web themes, product mock-ups, fonts and templates (e.g. Slides, PowerPoint, Keynote, WordPress, video, designs for social posts, gaming, podcasts and print-on-demand).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4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4"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These metrics exclude the respective counts and revenues from Giphy and Backgrid.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20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1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our Studios business, revenue that is not derived from or associated with content licenses and revenue associated with our data deal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and sales channel mix and customer utilization of our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at the end of the period. We exclude content from this collection metric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 We believe that our large selection of high-quality content enables us to attract and retain customers and drives our network effect.</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key operating metrics, which are unaudited, for the three and six months ended June 30, 2024 and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4"/>
          </w:tcPr>
          <w:p>
            <w:pPr>
              <w:ind w:left="32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340" w:type="dxa"/>
            <w:vAlign w:val="bottom"/>
          </w:tcPr>
          <w:p>
            <w:pPr>
              <w:spacing w:after="0"/>
              <w:rPr>
                <w:sz w:val="14"/>
                <w:szCs w:val="14"/>
                <w:color w:val="auto"/>
              </w:rPr>
            </w:pPr>
          </w:p>
        </w:tc>
        <w:tc>
          <w:tcPr>
            <w:tcW w:w="2560" w:type="dxa"/>
            <w:vAlign w:val="bottom"/>
            <w:gridSpan w:val="3"/>
          </w:tcPr>
          <w:p>
            <w:pPr>
              <w:jc w:val="right"/>
              <w:ind w:right="643"/>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66"/>
        </w:trPr>
        <w:tc>
          <w:tcPr>
            <w:tcW w:w="53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6"/>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5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490,000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490,000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556,000</w:t>
            </w: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80.3</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164.2</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r>
      <w:tr>
        <w:trPr>
          <w:trHeight w:val="92"/>
        </w:trPr>
        <w:tc>
          <w:tcPr>
            <w:tcW w:w="5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434</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434</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33.4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68.4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5.09</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5.03</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34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837</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837</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160" w:lineRule="exact"/>
        <w:rPr>
          <w:sz w:val="20"/>
          <w:szCs w:val="20"/>
          <w:color w:val="auto"/>
        </w:rPr>
      </w:pPr>
    </w:p>
    <w:p>
      <w:pPr>
        <w:ind w:right="340" w:firstLine="5"/>
        <w:spacing w:after="0" w:line="209" w:lineRule="auto"/>
        <w:tabs>
          <w:tab w:leader="none" w:pos="8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These metrics exclude the respective counts and revenues from our acquisitions of Giphy and Backgrid.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25"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2023 Form 10-K, under “Management’s Discussion and Analysis of Financial Condition and Results of Operations—Critical Accounting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2023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product offerings through two primary channels:</w:t>
      </w:r>
    </w:p>
    <w:p>
      <w:pPr>
        <w:spacing w:after="0" w:line="10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The majority of our customers license image, video, music and 3D content for commercial purposes either directly through our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2"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Distribution, and Services: </w:t>
      </w:r>
      <w:r>
        <w:rPr>
          <w:rFonts w:ascii="Times New Roman" w:cs="Times New Roman" w:eastAsia="Times New Roman" w:hAnsi="Times New Roman"/>
          <w:sz w:val="18"/>
          <w:szCs w:val="18"/>
          <w:color w:val="auto"/>
        </w:rPr>
        <w:t>Our Data, Distribution, and Services offering addresses customer demand for products and services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image, footage music and 3D model licenses. We have seen increased demand for access to our metadata for machine learning and generative artificial intelligence model training. We offer ethically sourced and licenseable metadata at unique scales and quality. Our metadata customer base ranges from large technology and media companies to smaller start-up organizations.</w:t>
      </w:r>
    </w:p>
    <w:p>
      <w:pPr>
        <w:spacing w:after="0" w:line="77"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used to personalize casual conversations with GIFs, and generates billions of monthly impressions through over 14,000 API partners. We believe customers in all industries will look to use Giphy in marketing campaigns as another advertising outlet.</w:t>
      </w:r>
    </w:p>
    <w:p>
      <w:pPr>
        <w:spacing w:after="0" w:line="11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six months ended June 30, 2024 and 2023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60" w:type="dxa"/>
            <w:vAlign w:val="bottom"/>
          </w:tcPr>
          <w:p>
            <w:pPr>
              <w:spacing w:after="0"/>
              <w:rPr>
                <w:sz w:val="14"/>
                <w:szCs w:val="14"/>
                <w:color w:val="auto"/>
              </w:rPr>
            </w:pPr>
          </w:p>
        </w:tc>
      </w:tr>
      <w:tr>
        <w:trPr>
          <w:trHeight w:val="185"/>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66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0"/>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37"/>
        </w:trPr>
        <w:tc>
          <w:tcPr>
            <w:tcW w:w="5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186,963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380,947</w:t>
            </w:r>
          </w:p>
        </w:tc>
      </w:tr>
      <w:tr>
        <w:trPr>
          <w:trHeight w:val="20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90,587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43,173</w:t>
            </w:r>
          </w:p>
        </w:tc>
      </w:tr>
      <w:tr>
        <w:trPr>
          <w:trHeight w:val="23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424,120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01" w:lineRule="exact"/>
        <w:rPr>
          <w:sz w:val="20"/>
          <w:szCs w:val="20"/>
          <w:color w:val="auto"/>
        </w:rPr>
      </w:pPr>
    </w:p>
    <w:p>
      <w:pPr>
        <w:ind w:right="4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Bargain Purchase Gain. </w:t>
      </w:r>
      <w:r>
        <w:rPr>
          <w:rFonts w:ascii="Times New Roman" w:cs="Times New Roman" w:eastAsia="Times New Roman" w:hAnsi="Times New Roman"/>
          <w:sz w:val="18"/>
          <w:szCs w:val="18"/>
          <w:color w:val="auto"/>
        </w:rPr>
        <w:t>A bargain purchase gain is recognized subsequent to an acquisition, if the fair value of the net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exceeds the net consideration.</w:t>
      </w:r>
    </w:p>
    <w:p>
      <w:pPr>
        <w:spacing w:after="0" w:line="98" w:lineRule="exact"/>
        <w:rPr>
          <w:sz w:val="20"/>
          <w:szCs w:val="20"/>
          <w:color w:val="auto"/>
        </w:rPr>
      </w:pPr>
    </w:p>
    <w:p>
      <w:pPr>
        <w:ind w:right="3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Other (expense) / income,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unrealized gains and losses on investments and interest income and expense.</w:t>
      </w:r>
    </w:p>
    <w:p>
      <w:pPr>
        <w:spacing w:after="0" w:line="98"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208,840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424,120</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162,579</w:t>
            </w:r>
          </w:p>
        </w:tc>
      </w:tr>
      <w:tr>
        <w:trPr>
          <w:trHeight w:val="21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95,919</w:t>
            </w:r>
          </w:p>
        </w:tc>
      </w:tr>
      <w:tr>
        <w:trPr>
          <w:trHeight w:val="20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44,624</w:t>
            </w:r>
          </w:p>
        </w:tc>
      </w:tr>
      <w:tr>
        <w:trPr>
          <w:trHeight w:val="21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71,914</w:t>
            </w:r>
          </w:p>
        </w:tc>
      </w:tr>
      <w:tr>
        <w:trPr>
          <w:trHeight w:val="202"/>
        </w:trPr>
        <w:tc>
          <w:tcPr>
            <w:tcW w:w="5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375,036</w:t>
            </w:r>
          </w:p>
        </w:tc>
      </w:tr>
      <w:tr>
        <w:trPr>
          <w:trHeight w:val="20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49,084</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41,940</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92,795</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9,939</w:t>
            </w:r>
          </w:p>
        </w:tc>
      </w:tr>
      <w:tr>
        <w:trPr>
          <w:trHeight w:val="202"/>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82,856</w:t>
            </w:r>
          </w:p>
        </w:tc>
      </w:tr>
      <w:tr>
        <w:trPr>
          <w:trHeight w:val="21"/>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5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040" w:type="dxa"/>
            <w:vAlign w:val="bottom"/>
            <w:gridSpan w:val="2"/>
          </w:tcPr>
          <w:p>
            <w:pPr>
              <w:spacing w:after="0"/>
              <w:rPr>
                <w:sz w:val="2"/>
                <w:szCs w:val="2"/>
                <w:color w:val="auto"/>
              </w:rPr>
            </w:pPr>
          </w:p>
        </w:tc>
        <w:tc>
          <w:tcPr>
            <w:tcW w:w="156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9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9"/>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9"/>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2"/>
        </w:trPr>
        <w:tc>
          <w:tcPr>
            <w:tcW w:w="5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206"/>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1560" w:type="dxa"/>
            <w:vAlign w:val="bottom"/>
            <w:gridSpan w:val="3"/>
          </w:tcPr>
          <w:p>
            <w:pPr>
              <w:jc w:val="right"/>
              <w:ind w:right="10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2"/>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2"/>
        </w:trPr>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1"/>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2024 and 2023</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6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7"/>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9"/>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208,840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84,416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48,392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29,218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38,099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200,125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9"/>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41,940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2"/>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51,381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11,567</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2"/>
        </w:trPr>
        <w:tc>
          <w:tcPr>
            <w:tcW w:w="5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50,013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(46,388)</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Revenue increased by $11.2 million, or 5%, to $220.1 million for the three months ended June 30, 2024, compared to the same period in 2023. On a constant currency basis, revenue increased approximately 6% in the three months ended June 30, 2024, compared to the same period in 2023.</w:t>
      </w:r>
    </w:p>
    <w:p>
      <w:pPr>
        <w:spacing w:after="0" w:line="104"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Company’s Content revenues decreased by 9%, to $170.0 million in the three months ended June 30, 2024, compared to the same period in 2023. The decline in our Content revenues was driven by weakness in new customer acquisition.</w:t>
      </w:r>
    </w:p>
    <w:p>
      <w:pPr>
        <w:spacing w:after="0" w:line="104"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2024 and 2023, we delivered 33.4 million and 38.5 million paid downloads, respectively, and our revenue per download was $5.09 and $4.71 for the three months ended June 30, 2024 and 2023, respectively. During the three months ended June 30, 2024, the decline in paid downloads is attributed to the decline in the Content business.</w:t>
      </w:r>
    </w:p>
    <w:p>
      <w:pPr>
        <w:spacing w:after="0" w:line="101"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The Company’s Data, Distribution, and Services revenues increased by 129%, to $50.1 million in the three months ended June 30, 2024, compared to the same period in 2023. The increase in Data, Distribution, and Services revenues was driven by growth in our data offering, which grew 119% in the three months ended June 30, 2024 compared to the same period in 2023.</w:t>
      </w:r>
    </w:p>
    <w:p>
      <w:pPr>
        <w:spacing w:after="0" w:line="114" w:lineRule="exact"/>
        <w:rPr>
          <w:sz w:val="20"/>
          <w:szCs w:val="20"/>
          <w:color w:val="auto"/>
        </w:rPr>
      </w:pPr>
    </w:p>
    <w:p>
      <w:pPr>
        <w:ind w:right="44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$23.9 million, or 25%, to $120.1 million, revenue from Europe decreased by $5.0 million, or 9%, to $53.4 million and revenue from outside Europe and North America decreased by $7.7 million, or 14%, to $46.6 million, in the three months ended June 30, 2024 compared to the same period in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10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increased by $6.8 million to $91.3 million in the three months ended June 30, 2024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This increase was driven by: (i) higher costs associated with website hosting, hardware and software licenses; (ii) increased depreciation and amortization expense driven by our recent acquisitions; and (iii) increased royalty and content costs. We expect that our cost of revenue will continue to fluctuate in-line with changes in revenue.</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$3.5 million, or 7%, to $51.9 million in the three months ended June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2023. As a percentage of revenue, sales and marketing expenses increased to 24% for the three months ended June 30, 2024, from 23% for the same period in 2023. This was driven by a $3.2 million increase in employee-related costs (of which there was a $1.1 million increase from recurring Giphy Retention Compensation expenses and a $0.5 million decrease from non-recurring Giphy Retention Compensation expenses), and a $0.5 million increase in outside consultant expenses, partially offset by a $1.5 million decrease in marketing spend for brand</w:t>
      </w:r>
    </w:p>
    <w:p>
      <w:pPr>
        <w:spacing w:after="0" w:line="200" w:lineRule="exact"/>
        <w:rPr>
          <w:sz w:val="20"/>
          <w:szCs w:val="20"/>
          <w:color w:val="auto"/>
        </w:rPr>
      </w:pPr>
    </w:p>
    <w:p>
      <w:pPr>
        <w:spacing w:after="0" w:line="31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and performance-based marketing. We expect sales and marketing expenses to continue to fluctuate as we optimize our sales channels and invest in new customer acquisition, products and geographies.</w:t>
      </w:r>
    </w:p>
    <w:p>
      <w:pPr>
        <w:spacing w:after="0" w:line="62" w:lineRule="exact"/>
        <w:rPr>
          <w:sz w:val="20"/>
          <w:szCs w:val="20"/>
          <w:color w:val="auto"/>
        </w:rPr>
      </w:pPr>
    </w:p>
    <w:p>
      <w:pPr>
        <w:ind w:right="240" w:firstLine="395"/>
        <w:spacing w:after="0" w:line="287" w:lineRule="auto"/>
        <w:rPr>
          <w:sz w:val="20"/>
          <w:szCs w:val="20"/>
          <w:color w:val="auto"/>
        </w:rPr>
      </w:pPr>
      <w:r>
        <w:rPr>
          <w:rFonts w:ascii="Times New Roman" w:cs="Times New Roman" w:eastAsia="Times New Roman" w:hAnsi="Times New Roman"/>
          <w:sz w:val="16"/>
          <w:szCs w:val="16"/>
          <w:i w:val="1"/>
          <w:iCs w:val="1"/>
          <w:color w:val="auto"/>
        </w:rPr>
        <w:t>Product Development</w:t>
      </w:r>
      <w:r>
        <w:rPr>
          <w:rFonts w:ascii="Times New Roman" w:cs="Times New Roman" w:eastAsia="Times New Roman" w:hAnsi="Times New Roman"/>
          <w:sz w:val="16"/>
          <w:szCs w:val="16"/>
          <w:color w:val="auto"/>
        </w:rPr>
        <w:t>. Product development expenses decreased by $9.4 million to $19.9 million in the three months ended June 30, 2024 compared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same period in 2023. The decrease in product development was driven by an $8.6 million decrease in employee-related costs (of which there was a</w:t>
      </w:r>
    </w:p>
    <w:p>
      <w:pPr>
        <w:spacing w:after="0" w:line="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$1.2 million increase from recurring Giphy Retention Compensation expenses and a $7.8 million decrease from non-recurring Giphy Retention Compensation expenses), and a $0.9 million decrease in outside consultant expenses.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2" w:lineRule="exact"/>
        <w:rPr>
          <w:sz w:val="20"/>
          <w:szCs w:val="20"/>
          <w:color w:val="auto"/>
        </w:rPr>
      </w:pPr>
    </w:p>
    <w:p>
      <w:pPr>
        <w:ind w:right="24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$1.7 million to $36.4 million in the three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This decrease was driven by a $3.4 million decrease in employee-related costs (of which there was a $0.4 million increase from recurring Giphy Retention Compensation expenses and a $2.0 million decrease from non-recurring Giphy Retention Compensation expenses), offset by a $1.0 million increase in professional fees. In the second quarter of 2024, our transaction related acquisition costs were $3.1 million, compared to transaction related acquisition costs of $3.0 million in the second quarter of 2023.</w:t>
      </w:r>
    </w:p>
    <w:p>
      <w:pPr>
        <w:spacing w:after="0" w:line="80" w:lineRule="exact"/>
        <w:rPr>
          <w:sz w:val="20"/>
          <w:szCs w:val="20"/>
          <w:color w:val="auto"/>
        </w:rPr>
      </w:pPr>
    </w:p>
    <w:p>
      <w:pPr>
        <w:ind w:right="3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In the three months ended June 30, 2023, we recognized a bargain purchase gain of $41.9 million related to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Giphy, which represents the excess of the fair value of the net assets acquired in addition to the net negative purchase price.</w:t>
      </w:r>
    </w:p>
    <w:p>
      <w:pPr>
        <w:spacing w:after="0" w:line="59"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In the three months ended June 30, 2024, other (expense) / income, net was driven by $3.6 million of unrealized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investment in Meitu, Inc. In addition, other (expense) / income, net had $1.3 million of interest income, $1.3 million of unfavorable unrealized foreign currency losses and $0.6 million of interest expense related to our credit facility. During the three months ended June 30, 2023, other (expense) / income, net substantially consisted of $0.7 million of interest income and $0.6 million of favorable unrealized foreign currency fluctuations, partially offset by $0.5 million of interest expense related to our credit facility.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right="5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increased by $11.6 million for the three months ended June 30, 2024, compared to the same period in 2023.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78.1% and 2.7% for the three months ended June 30, 2024 and 2023, respectively.</w:t>
      </w:r>
    </w:p>
    <w:p>
      <w:pPr>
        <w:spacing w:after="0" w:line="61"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2024, the net effect of discrete items increased the effective tax rate by 59.7%. The discrete items for the three months ended June 30, 2024 relate to shortfalls on equity award vestings and a one-time charge of $6.3 million related to the reversal of a deferred tax asset resulting from the expiration of equity awards granted to the Company’s Founder and Executive Chairman. Excluding discrete items, our effective tax rate would have been 18.4% for the three months ended June 30, 2024.</w:t>
      </w:r>
    </w:p>
    <w:p>
      <w:pPr>
        <w:spacing w:after="0" w:line="78"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2023, the net effect of discrete items decreased the effective tax rate by 13.6%. The discrete items for the three months ended June 30, 2023 relate to the non-taxable bargain purchase gain associated with the acquisition of Giphy. Excluding discrete items, our effective tax rate would have been 16.3% for the three months ended June 30, 2023.</w:t>
      </w:r>
    </w:p>
    <w:p>
      <w:pPr>
        <w:spacing w:after="0" w:line="11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2023</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6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424,120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162,579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95,919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71,914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2"/>
        </w:trPr>
        <w:tc>
          <w:tcPr>
            <w:tcW w:w="5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396,956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375,036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21,920</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49,084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41,940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(41,940)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2"/>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92,795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(55,845)</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9,939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02"/>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82,856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(63,110)</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 meaningful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Revenue increased by $10.2 million, or 2%, to $434.4 million in the six months ended June 30, 2024 compared to the same period in 2023. On a constant currency basis, revenue increased approximately 3% in the six months ended June 30, 2024, compared to the same period in 2023.</w:t>
      </w:r>
    </w:p>
    <w:p>
      <w:pPr>
        <w:spacing w:after="0" w:line="104"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Company’s Content revenues decreased by 10%, to $343.8 million in the six months ended June 30, 2024, compared to the same period in 2023. On a constant currency basis, revenue decreased approximately 9% in the six months ended June 30, 2024, compared to the same period in 2023. The decline in our Content revenues was driven by weakness in new customer acquisition.</w:t>
      </w:r>
    </w:p>
    <w:p>
      <w:pPr>
        <w:spacing w:after="0" w:line="114"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2024 and 2023, we delivered 68.4 million and 81.2 million paid downloads, respectively, and our revenue per download was $5.03 and $4.56 for the six months ended June 30, 2024 and 2023, respectively. During the six months ended June 30, 2024, the decline in paid downloads is attributed to the decline in the Content business.</w:t>
      </w:r>
    </w:p>
    <w:p>
      <w:pPr>
        <w:spacing w:after="0" w:line="101"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The Company’s Data, Distribution, and Services revenues increased by 110%, to $90.6 million in the six months ended June 30, 2024, compared to the same period in 2023. Foreign currency fluctuations did not have a significant impact on the Company’s Data, Distribution, and Services revenues in the six months ended June 30, 2024. The increase in Data, Distribution, and Services revenues was driven by growth in our data offering, which grew 96% in the six months ended June 30, 2024.</w:t>
      </w:r>
    </w:p>
    <w:p>
      <w:pPr>
        <w:spacing w:after="0" w:line="7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$35.2 million, or 18%, to $230.5 million, revenue from Europe decreased by $8.7 million, or 7%, to $108.8 million and revenue from outside Europe and North America decreased by $16.3 million, or 15%, to $95.0 million, in the six months ended June 30, 2024 compared to the same period in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24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$16.9 million, or 10%, to $179.5 million in the six months ended June 30,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This increase was driven by: (i) increased depreciation and amortization expense driven by our recent acquisitions; (ii) increased royalty and content costs; (iii) higher costs associated with website hosting, hardware and software licenses; and (iv) a net increase in Giphy Retention Compensation, recurring and non-recurring expenses. We expect that our cost of revenue will continue to fluctuate in line with changes in revenue.</w:t>
      </w:r>
    </w:p>
    <w:p>
      <w:pPr>
        <w:spacing w:after="0" w:line="75" w:lineRule="exact"/>
        <w:rPr>
          <w:sz w:val="20"/>
          <w:szCs w:val="20"/>
          <w:color w:val="auto"/>
        </w:rPr>
      </w:pPr>
    </w:p>
    <w:p>
      <w:pPr>
        <w:ind w:right="5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$12.2 million, or 13%, to $108.1 million in the six months ended 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As a percent of revenue, sales and marketing expenses</w:t>
      </w:r>
    </w:p>
    <w:p>
      <w:pPr>
        <w:spacing w:after="0" w:line="200" w:lineRule="exact"/>
        <w:rPr>
          <w:sz w:val="20"/>
          <w:szCs w:val="20"/>
          <w:color w:val="auto"/>
        </w:rPr>
      </w:pPr>
    </w:p>
    <w:p>
      <w:pPr>
        <w:spacing w:after="0" w:line="29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increased to 25% for the six months ended June 30, 2024, from 23% for the same period in 2023. This increase was driven by a $6.4 million increase in employee-related costs (of which there was a $2.3 million increase from recurring Giphy Retention Compensation expenses and a $0.3 million decrease from non-recurring Giphy Retention Compensation expenses), and a $4.0 million increase in performance marketing spend. We expect sales and marketing expenses to continue to fluctuate as we optimize our sales channels and invest in new customer acquisition, products and geographies.</w:t>
      </w:r>
    </w:p>
    <w:p>
      <w:pPr>
        <w:spacing w:after="0" w:line="76"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decreased by $3.7 million, or 8%, to $40.9 million in the six months ended June 30,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This decrease in product development was driven by a $3.5 million decrease in employee-related costs (of which there was a $3.9 million increase from recurring Giphy Retention Compensation expenses and a $3.4 million decrease from non-recurring Giphy Retention Compensation expenses) for the six months ended June 30, 2024 compared to the same period in 2023.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by $3.4 million, or 5%, to $68.5 million in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This decrease was driven by a $2.0 million decrease in employee-related costs (of which there was a $0.9 million increase from recurring Giphy Retention Compensation expenses and a $0.4 million decrease from non-recurring Giphy Retention Compensation expenses), a $2.8 million decrease in bad debt expense, and a $1.5 million decrease in other expenses, related to severance expenses incurred in 2023. The decrease was partially offset by a $3.3 million increase in professional fees. In the six months ended June 30, 2024, our transaction related acquisition costs were $4.9 million, compared to transaction related acquisition costs of $3.0 million in the six months ended June 30, 2023.</w:t>
      </w:r>
    </w:p>
    <w:p>
      <w:pPr>
        <w:spacing w:after="0" w:line="80" w:lineRule="exact"/>
        <w:rPr>
          <w:sz w:val="20"/>
          <w:szCs w:val="20"/>
          <w:color w:val="auto"/>
        </w:rPr>
      </w:pPr>
    </w:p>
    <w:p>
      <w:pPr>
        <w:ind w:right="4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In the six months ended June 30, 2023, we recognized a bargain purchase gain of $41.9 million related to the acquisition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Giphy, which represents the excess of the fair value of the net assets acquired in addition to the net negative purchase price.</w:t>
      </w:r>
    </w:p>
    <w:p>
      <w:pPr>
        <w:spacing w:after="0" w:line="59"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Other (Expense) / Income, Net. </w:t>
      </w:r>
      <w:r>
        <w:rPr>
          <w:rFonts w:ascii="Times New Roman" w:cs="Times New Roman" w:eastAsia="Times New Roman" w:hAnsi="Times New Roman"/>
          <w:sz w:val="18"/>
          <w:szCs w:val="18"/>
          <w:color w:val="auto"/>
        </w:rPr>
        <w:t>During the six months ended June 30, 2024, other (expense) / income, net substantially consisted of $1.9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unfavorable unrealized foreign currency fluctuations and $1.1 million of interest expense related to our credit facility, partially offset by $2.4 million of interest income. During the six months ended June 30, 2023 other (expense) / income, net consisted of $1.7 million of favorable unrealized foreign currency fluctuations and $0.8 million of interest income, partially offset by $0.7 million of interest expense related to our credit facility. As we increase the volume of business transacted in foreign currencies resulting from international expansion and as currency rates fluctuate, we expect foreign currency gains and losses to continue to fluctuate.</w:t>
      </w:r>
    </w:p>
    <w:p>
      <w:pPr>
        <w:spacing w:after="0" w:line="80" w:lineRule="exact"/>
        <w:rPr>
          <w:sz w:val="20"/>
          <w:szCs w:val="20"/>
          <w:color w:val="auto"/>
        </w:rPr>
      </w:pPr>
    </w:p>
    <w:p>
      <w:pPr>
        <w:ind w:right="56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by $7.3 million for the six months ended June 30, 2024 as compared to the same period in 2023.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for the six months ended June 30, 2024 and 2023 were 46.6% and 10.7%, respectively.</w:t>
      </w:r>
    </w:p>
    <w:p>
      <w:pPr>
        <w:spacing w:after="0" w:line="61" w:lineRule="exact"/>
        <w:rPr>
          <w:sz w:val="20"/>
          <w:szCs w:val="20"/>
          <w:color w:val="auto"/>
        </w:rPr>
      </w:pPr>
    </w:p>
    <w:p>
      <w:pPr>
        <w:jc w:val="both"/>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2024, the net effect of discrete items increased the effective tax rate by 27.6%. The discrete items for the six months ended June 30, 2024 relate to shortfalls on equity award vestings and a one-time charge of $6.3 million related to the reversal of a deferred tax asset resulting from the expiration of equity awards granted to the Company’s Founder and Executive Chairman. Excluding discrete items, our effective tax rate would have been 19.0% for the six months ended June 30, 2024.</w:t>
      </w:r>
    </w:p>
    <w:p>
      <w:pPr>
        <w:spacing w:after="0" w:line="78" w:lineRule="exact"/>
        <w:rPr>
          <w:sz w:val="20"/>
          <w:szCs w:val="20"/>
          <w:color w:val="auto"/>
        </w:rPr>
      </w:pPr>
    </w:p>
    <w:p>
      <w:pPr>
        <w:jc w:val="both"/>
        <w:ind w:right="240" w:firstLine="395"/>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2023, the net effect of discrete items decreased the effective tax rate by 7.1%. The discrete items for the six months ended June 30, 2023 relate to the non-taxable bargain purchase gain associated with the acquisition of Giphy. Excluding discrete items, our effective tax rate would have been 17.8% for the six months ended June 30, 2023.</w:t>
      </w:r>
    </w:p>
    <w:p>
      <w:pPr>
        <w:spacing w:after="0" w:line="75" w:lineRule="exact"/>
        <w:rPr>
          <w:sz w:val="20"/>
          <w:szCs w:val="20"/>
          <w:color w:val="auto"/>
        </w:rPr>
      </w:pPr>
    </w:p>
    <w:p>
      <w:pPr>
        <w:jc w:val="both"/>
        <w:ind w:right="24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Our operating results have in the past fluctuated from quarter to quarter as a result of a variety of factors, including the effects of some seasonal trends in customer behavior, timing of acquisitions and the timing of revenue recognition associated with data deal partnerships. For example, for the Content business,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4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As of June 30, 2024, we had cash and cash equivalents totaling $74.9 million which consisted primarily of bank balances. Since inception, we have financed our operations primarily through cash flows generated from operations. In addition, if necessary, we have the ability to draw on our credit facility, which was obtained on May 6, 2022.</w:t>
      </w:r>
    </w:p>
    <w:p>
      <w:pPr>
        <w:spacing w:after="0" w:line="75"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and content acquisitions. In addition,our capital allocation strategies also include funding business combinations and asset acquisitions that enhance our strategic position, cash dividend payments, principle and interest payments under our credit facilities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$0.60 per share of common stock, or $21.3 million during the six months ended June 30, 2024.</w:t>
      </w:r>
    </w:p>
    <w:p>
      <w:pPr>
        <w:spacing w:after="0" w:line="8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On July 22, 2024, our Board of Directors declared a quarterly cash dividend of $0.30 per share of outstanding common stock payable on September 12, 2024 to stockholders of record at the close of business on August 29, 2024.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“2023 Share Repurchase Program”), providing authorization to repurchase up to $100 million of our common stock.</w:t>
      </w:r>
    </w:p>
    <w:p>
      <w:pPr>
        <w:spacing w:after="0" w:line="64"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We expect to fund future repurchases, if any, through a combination of cash on hand, cash generated by operations and future financing transactions, if appropriate. Accordingly, our 2023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7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As of June 30, 2024, we have repurchased approximately 4.9 million shares of our common stock under the 2023 Share Repurchase Program at an average per-share cost of $50.49. During the six months ended June 30, 2024, we repurchased approximately 517,000 shares of our common stock at an average cost of $39.83. During the three and six months ended June 30, 2023, we repurchased approximately 80,400 shares of common stock at an average cost of $49.78 under the 2023 Share Repurchase Program. As of June 30, 2024, we had $51 million of remaining authorization for repurchases under the 2023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0"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As of June 30, 2024 and December 31, 2023, we had $30 million of outstanding borrowings under the Credit Facility. As of June 30, 2024, we had a remaining borrowing capacity of $68 million, net of standby letters of credit.</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June 30, 2024, we are in compliance with these covenants.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Credit Facility</w:t>
      </w:r>
    </w:p>
    <w:p>
      <w:pPr>
        <w:spacing w:after="0" w:line="231" w:lineRule="exact"/>
        <w:rPr>
          <w:sz w:val="20"/>
          <w:szCs w:val="20"/>
          <w:color w:val="auto"/>
        </w:rPr>
      </w:pPr>
    </w:p>
    <w:p>
      <w:pPr>
        <w:ind w:right="40" w:firstLine="395"/>
        <w:spacing w:after="0" w:line="236" w:lineRule="auto"/>
        <w:rPr>
          <w:sz w:val="20"/>
          <w:szCs w:val="20"/>
          <w:color w:val="auto"/>
        </w:rPr>
      </w:pPr>
      <w:r>
        <w:rPr>
          <w:rFonts w:ascii="Times New Roman" w:cs="Times New Roman" w:eastAsia="Times New Roman" w:hAnsi="Times New Roman"/>
          <w:sz w:val="18"/>
          <w:szCs w:val="18"/>
          <w:color w:val="auto"/>
        </w:rPr>
        <w:t>The Envato acquisition was funded through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of $125.0 million and (ii) senior unsecured revolving credit facility (the “Revolver”) in an aggregate principal amount of $250.0 million. The A&amp;R Credit Agreement provides for a letter of credit subfacility and a swingline facility.</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w:t>
      </w:r>
    </w:p>
    <w:p>
      <w:pPr>
        <w:jc w:val="both"/>
        <w:ind w:right="120"/>
        <w:spacing w:after="0" w:line="233" w:lineRule="auto"/>
        <w:rPr>
          <w:sz w:val="20"/>
          <w:szCs w:val="20"/>
          <w:color w:val="auto"/>
        </w:rPr>
      </w:pPr>
      <w:r>
        <w:rPr>
          <w:rFonts w:ascii="Times New Roman" w:cs="Times New Roman" w:eastAsia="Times New Roman" w:hAnsi="Times New Roman"/>
          <w:sz w:val="18"/>
          <w:szCs w:val="18"/>
          <w:color w:val="auto"/>
        </w:rPr>
        <w:t>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w:t>
      </w:r>
    </w:p>
    <w:p>
      <w:pPr>
        <w:spacing w:after="0" w:line="206" w:lineRule="exact"/>
        <w:rPr>
          <w:sz w:val="20"/>
          <w:szCs w:val="20"/>
          <w:color w:val="auto"/>
        </w:rPr>
      </w:pPr>
    </w:p>
    <w:p>
      <w:pPr>
        <w:ind w:right="260" w:firstLine="395"/>
        <w:spacing w:after="0" w:line="253" w:lineRule="auto"/>
        <w:rPr>
          <w:sz w:val="20"/>
          <w:szCs w:val="20"/>
          <w:color w:val="auto"/>
        </w:rPr>
      </w:pPr>
      <w:r>
        <w:rPr>
          <w:rFonts w:ascii="Times New Roman" w:cs="Times New Roman" w:eastAsia="Times New Roman" w:hAnsi="Times New Roman"/>
          <w:sz w:val="18"/>
          <w:szCs w:val="18"/>
          <w:color w:val="auto"/>
        </w:rPr>
        <w:t>On July 22, 2024, the Company borrowed $280 million under the A&amp;R Credit Agreement, of which $125 million was funded from the Term Loan and $155 million funded from the Revolver.</w:t>
      </w:r>
    </w:p>
    <w:p>
      <w:pPr>
        <w:spacing w:after="0" w:line="195" w:lineRule="exact"/>
        <w:rPr>
          <w:sz w:val="20"/>
          <w:szCs w:val="20"/>
          <w:color w:val="auto"/>
        </w:rPr>
      </w:pPr>
    </w:p>
    <w:p>
      <w:pPr>
        <w:ind w:right="40" w:firstLine="395"/>
        <w:spacing w:after="0" w:line="236" w:lineRule="auto"/>
        <w:rPr>
          <w:sz w:val="20"/>
          <w:szCs w:val="20"/>
          <w:color w:val="auto"/>
        </w:rPr>
      </w:pPr>
      <w:r>
        <w:rPr>
          <w:rFonts w:ascii="Times New Roman" w:cs="Times New Roman" w:eastAsia="Times New Roman" w:hAnsi="Times New Roman"/>
          <w:sz w:val="18"/>
          <w:szCs w:val="18"/>
          <w:color w:val="auto"/>
        </w:rPr>
        <w:t>The A&amp;R Credit Agreement contains customary affirmative and negative covenants, including, without limitation, covenants limiting the ability of the Company and its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A&amp;R Credit Agreement. The Company is also required to maintain compliance with a consolidated leverage ratio and a consolidated interest coverage ratio, in each case, determined in accordance with the terms of the A&amp;R Credit Agreement</w:t>
      </w:r>
    </w:p>
    <w:p>
      <w:pPr>
        <w:spacing w:after="0" w:line="206" w:lineRule="exact"/>
        <w:rPr>
          <w:sz w:val="20"/>
          <w:szCs w:val="20"/>
          <w:color w:val="auto"/>
        </w:rPr>
      </w:pPr>
    </w:p>
    <w:p>
      <w:pPr>
        <w:ind w:right="100" w:firstLine="395"/>
        <w:spacing w:after="0" w:line="232" w:lineRule="auto"/>
        <w:rPr>
          <w:sz w:val="20"/>
          <w:szCs w:val="20"/>
          <w:color w:val="auto"/>
        </w:rPr>
      </w:pPr>
      <w:r>
        <w:rPr>
          <w:rFonts w:ascii="Times New Roman" w:cs="Times New Roman" w:eastAsia="Times New Roman" w:hAnsi="Times New Roman"/>
          <w:sz w:val="18"/>
          <w:szCs w:val="18"/>
          <w:color w:val="auto"/>
        </w:rPr>
        <w:t>The A&amp;R Credit Agreement also contains customary events of default that include, among other things, certain payment defaults, cross defaults to other indebtedness, inaccuracy of representations and warranties, covenant defaults, change of control defaults, judgment defaults, and bankruptcy and insolvency defaults. If an event of default exists, the Administrative Agent on behalf of the lenders may require immediate payment of all obligations under the A&amp;R Credit Agreement and may exercise certain other rights and remedies provided for under the A&amp;R Credit Agreement, the other loan documents and applicable law. Under certain circumstances, a default interest rate will apply to certain obligations during the existence of an event of default under the A&amp;R Credit Agreement at a per annum rate equal to 2.00% above the applicable interest rate.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4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As of June 30, 2024, we had approximately $69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June 30, 2024, we had approximately $42 million in operating lease obligations with lease payments extending through 2029.</w:t>
      </w:r>
    </w:p>
    <w:p>
      <w:pPr>
        <w:spacing w:after="0" w:line="7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See Note 14 to our Unaudited Consolidated Financial Statements included in Part I, Item 1 of this Quarterly Report on Form 10-Q for information regarding our existing capital commitments as of June 30, 2024.</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six months ended June 30, 2024 and 2023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16"/>
                <w:szCs w:val="16"/>
                <w:color w:val="auto"/>
                <w:w w:val="99"/>
              </w:rPr>
              <w:t>96,589</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8"/>
              </w:rPr>
              <w:t>(66,128)</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6"/>
                <w:szCs w:val="16"/>
                <w:color w:val="auto"/>
                <w:w w:val="98"/>
              </w:rPr>
              <w:t>(57,929)</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1"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$36.3 million for the six months ended June 30, 2024, compared to Net cash provided by operating activities of $96.6 million for the six months ended June 30, 2023. In the six months ended June 30, 2024, operating cash flows included the recurring and non-recurring payments made to the Giphy workforce, the reimbursement of which is reflected in Investing Activities on the Statement of Cash Flows.</w:t>
      </w:r>
    </w:p>
    <w:p>
      <w:pPr>
        <w:spacing w:after="0" w:line="11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Operating cash flows for the six months ended June 30, 2023 were favorably impacted from an increase in operating income and changes in the timing of cash collections from data deal customers, which had large receivable balances at the end of 2022, and lower payments pertaining to operating expenses, which can cause operating cash flow to fluctuate from period to period. In addition, operating cash flows for the six months ended June 30, 2023 were unfavorably impacted by the recurring and non-recurring payments made to the Giphy workforce, the reimbursement of which is reflected in Investing Activities on the Statement of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2024 was $8.2 million, consisting primarily of (i) capital expenditures of $23.5 million for internal-use software and website development costs and purchases of software and equipment, (ii) $19.5 million used in the acquisition of Backgrid, net of cash acquired, and (iii) $1.8 million paid to acquire the rights to distribute certain digital content into perpetuity. These cash outflows were partially offset by (i) $36.5 million of Giphy Retention Compensation, as reimbursed by the Giphy seller.</w:t>
      </w:r>
    </w:p>
    <w:p>
      <w:pPr>
        <w:spacing w:after="0" w:line="7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in the six months ended June 30, 2023 was $66.1 million, consisting primarily of (i) $53.7 million used in the acquisition of Giphy, net of cash acquired, (ii) capital expenditures of $22.9 million for internal-use software and website development costs and purchases of software and equipment, and (iii) $5.3 million paid to acquire the rights to distribute certain digital content in perpetuity. These cash outflows were partially offset by (i) $15.8 million of Giphy Retention Compensation, as reimbursed by the Giphy seller.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2024 was $50.8 million, consisting of (i) $21.3 million, related to the payment of the quarterly cash dividend; (ii) $20.6 million paid in connection with the repurchase of common stock under our 2023 Share Repurchase Program; and (iii) $8.9 million paid in the settlement of tax withholding obligations related to employee stock-based compensation awards.</w:t>
      </w:r>
    </w:p>
    <w:p>
      <w:pPr>
        <w:spacing w:after="0" w:line="75"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2023 was $57.9 million, consisting of (i) $50.0 million used for the repayment of our Credit Facility; (ii) $19.4 million related to the payment of the quarterly cash dividend; (iii) $14.5 million paid in settlement of tax withholding obligations related to employee stock-based compensation awards; and (iv) $4.0 million paid in connection with the repurchase of common stock under the 2023 Share Repurchase Program. These amounts were partially offset by $30.0 million proceeds received from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7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shd w:val="clear" w:color="auto" w:fill="CCEEFF"/>
          </w:tcPr>
          <w:p>
            <w:pPr>
              <w:spacing w:after="0"/>
              <w:rPr>
                <w:sz w:val="17"/>
                <w:szCs w:val="17"/>
                <w:color w:val="auto"/>
              </w:rPr>
            </w:pPr>
          </w:p>
        </w:tc>
        <w:tc>
          <w:tcPr>
            <w:tcW w:w="2700" w:type="dxa"/>
            <w:vAlign w:val="bottom"/>
            <w:gridSpan w:val="4"/>
            <w:shd w:val="clear" w:color="auto" w:fill="CCEEFF"/>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4"/>
        </w:trPr>
        <w:tc>
          <w:tcPr>
            <w:tcW w:w="50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1"/>
        </w:trPr>
        <w:tc>
          <w:tcPr>
            <w:tcW w:w="50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35,897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39,058</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69,018</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86,192</w:t>
            </w: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62,072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60,055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118,049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129,819</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36,184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33,351</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47,430</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84,219</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amount for the six months ended June 30, 2024 is updated to correct an error in the calculation of adjusted net income previously presented for the three months ended March 31, 2024.</w:t>
      </w:r>
    </w:p>
    <w:p>
      <w:pPr>
        <w:spacing w:after="0" w:line="106"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125"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1"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80"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months ended June 30, 2024, the Company also incurred $5.1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 xml:space="preserve">We define adjusted net income as net income adjusted for the impact of non-cash equity-based compensation, the amortization of acquisition-related intangible assets, Giphy Retention Compensation Expense - non-recurring, unrealized gains and losses on investments, severance costs associated with strategic workforce optimizations, and the estimated tax impact of such adjustments. We define adjusted net income per diluted common share as </w:t>
      </w:r>
      <w:r>
        <w:rPr>
          <w:rFonts w:ascii="Times New Roman" w:cs="Times New Roman" w:eastAsia="Times New Roman" w:hAnsi="Times New Roman"/>
          <w:sz w:val="15"/>
          <w:szCs w:val="15"/>
          <w:color w:val="auto"/>
        </w:rPr>
        <w:t>adjusted net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divided by weighted average diluted shares.</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00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5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65"/>
        </w:trPr>
        <w:tc>
          <w:tcPr>
            <w:tcW w:w="5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82,856</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23,586</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(1)(2)</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w:t>
            </w:r>
          </w:p>
        </w:tc>
      </w:tr>
      <w:tr>
        <w:trPr>
          <w:trHeight w:val="211"/>
        </w:trPr>
        <w:tc>
          <w:tcPr>
            <w:tcW w:w="5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(3)</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(3,884)</w:t>
            </w:r>
          </w:p>
        </w:tc>
      </w:tr>
      <w:tr>
        <w:trPr>
          <w:trHeight w:val="211"/>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(41,940)</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17,191</w:t>
            </w:r>
          </w:p>
        </w:tc>
      </w:tr>
      <w:tr>
        <w:trPr>
          <w:trHeight w:val="212"/>
        </w:trPr>
        <w:tc>
          <w:tcPr>
            <w:tcW w:w="5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(4)</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w:t>
            </w:r>
          </w:p>
        </w:tc>
      </w:tr>
      <w:tr>
        <w:trPr>
          <w:trHeight w:val="211"/>
        </w:trPr>
        <w:tc>
          <w:tcPr>
            <w:tcW w:w="5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04"/>
        </w:trPr>
        <w:tc>
          <w:tcPr>
            <w:tcW w:w="53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0"/>
                <w:szCs w:val="20"/>
                <w:color w:val="auto"/>
                <w:vertAlign w:val="superscript"/>
              </w:rPr>
              <w:t>(4)</w:t>
            </w:r>
          </w:p>
        </w:tc>
        <w:tc>
          <w:tcPr>
            <w:tcW w:w="88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35,897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39,058</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86,192</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5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53"/>
        </w:trPr>
        <w:tc>
          <w:tcPr>
            <w:tcW w:w="5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8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35,982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right="80" w:hanging="315"/>
        <w:spacing w:after="0" w:line="271" w:lineRule="auto"/>
        <w:tabs>
          <w:tab w:leader="none" w:pos="3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of non-cash equity-based compensation includes a $6.3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59" w:lineRule="exact"/>
        <w:rPr>
          <w:rFonts w:ascii="Times New Roman" w:cs="Times New Roman" w:eastAsia="Times New Roman" w:hAnsi="Times New Roman"/>
          <w:sz w:val="14"/>
          <w:szCs w:val="14"/>
          <w:color w:val="auto"/>
        </w:rPr>
      </w:pPr>
    </w:p>
    <w:p>
      <w:pPr>
        <w:ind w:left="320" w:hanging="315"/>
        <w:spacing w:after="0" w:line="271" w:lineRule="auto"/>
        <w:tabs>
          <w:tab w:leader="none" w:pos="3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$8.2 million and $7.7 million are included in cost of revenue for the three months ended June 30, 2024 and 2023, respectively, and $16.4 million and $15.3 million are included in cost of revenue for the six months ended June 30, 2024 and 2023, respectively. The remainder of acquisition-related amortization expense is included in general and administrative expense in the Statement of Operations.</w:t>
      </w:r>
    </w:p>
    <w:p>
      <w:pPr>
        <w:spacing w:after="0" w:line="73" w:lineRule="exact"/>
        <w:rPr>
          <w:rFonts w:ascii="Times New Roman" w:cs="Times New Roman" w:eastAsia="Times New Roman" w:hAnsi="Times New Roman"/>
          <w:sz w:val="14"/>
          <w:szCs w:val="14"/>
          <w:color w:val="auto"/>
        </w:rPr>
      </w:pPr>
    </w:p>
    <w:p>
      <w:pPr>
        <w:ind w:left="320" w:right="360" w:hanging="315"/>
        <w:spacing w:after="0" w:line="287" w:lineRule="auto"/>
        <w:tabs>
          <w:tab w:leader="none" w:pos="3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the six months ended June 30, 2024 is updated to correct an error in the calculation of adjusted net income previously presented for the three months ended March 31, 2024. Other consists of unrealized gains and losses on investments and severance costs associated with strategic workforce optimizations.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45" w:lineRule="exact"/>
        <w:rPr>
          <w:sz w:val="20"/>
          <w:szCs w:val="20"/>
          <w:color w:val="auto"/>
        </w:rPr>
      </w:pPr>
    </w:p>
    <w:p>
      <w:pPr>
        <w:ind w:right="380" w:firstLine="395"/>
        <w:spacing w:after="0" w:line="230"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unrealized gains and losses on investments, interest income and expense and income taxes. We define adjusted EBITDA margin as the ratio of adjusted EBITDA to revenue.</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5"/>
        </w:trPr>
        <w:tc>
          <w:tcPr>
            <w:tcW w:w="5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50,013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19,746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82,856</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 expense,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(109)</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12,935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17,204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9,939</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21,433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19,206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42,696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38,102</w:t>
            </w:r>
          </w:p>
        </w:tc>
      </w:tr>
      <w:tr>
        <w:trPr>
          <w:trHeight w:val="202"/>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37,206</w:t>
            </w:r>
          </w:p>
        </w:tc>
        <w:tc>
          <w:tcPr>
            <w:tcW w:w="120" w:type="dxa"/>
            <w:vAlign w:val="bottom"/>
          </w:tcPr>
          <w:p>
            <w:pPr>
              <w:spacing w:after="0"/>
              <w:rPr>
                <w:sz w:val="17"/>
                <w:szCs w:val="17"/>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70,412</w:t>
            </w:r>
          </w:p>
        </w:tc>
        <w:tc>
          <w:tcPr>
            <w:tcW w:w="100" w:type="dxa"/>
            <w:vAlign w:val="bottom"/>
          </w:tcPr>
          <w:p>
            <w:pPr>
              <w:spacing w:after="0"/>
              <w:rPr>
                <w:sz w:val="17"/>
                <w:szCs w:val="17"/>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78,378</w:t>
            </w:r>
          </w:p>
        </w:tc>
        <w:tc>
          <w:tcPr>
            <w:tcW w:w="100" w:type="dxa"/>
            <w:vAlign w:val="bottom"/>
          </w:tcPr>
          <w:p>
            <w:pPr>
              <w:spacing w:after="0"/>
              <w:rPr>
                <w:sz w:val="17"/>
                <w:szCs w:val="17"/>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130,788</w:t>
            </w:r>
          </w:p>
        </w:tc>
      </w:tr>
      <w:tr>
        <w:trPr>
          <w:trHeight w:val="265"/>
        </w:trPr>
        <w:tc>
          <w:tcPr>
            <w:tcW w:w="5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14,976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14,943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23,586</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(41,940)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(41,940)</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4,715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17,191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11,544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17,191</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(1,662)</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 / (gain) on investment</w:t>
            </w: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1,856</w:t>
            </w: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62,072</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60,055</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118,049</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129,819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9"/>
        </w:trPr>
        <w:tc>
          <w:tcPr>
            <w:tcW w:w="5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220,053</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208,840</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434,368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424,120</w:t>
            </w: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margin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product offering) on a Constant Currency Basis</w:t>
      </w:r>
    </w:p>
    <w:p>
      <w:pPr>
        <w:spacing w:after="0" w:line="58"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49"/>
        </w:trPr>
        <w:tc>
          <w:tcPr>
            <w:tcW w:w="5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220,053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208,840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434,368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424,120</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169,951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186,963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343,781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380,947</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50,102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21,877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90,587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43,173</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110 %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306 %</w:t>
            </w:r>
          </w:p>
        </w:tc>
        <w:tc>
          <w:tcPr>
            <w:tcW w:w="0" w:type="dxa"/>
            <w:vAlign w:val="bottom"/>
          </w:tcPr>
          <w:p>
            <w:pPr>
              <w:spacing w:after="0"/>
              <w:rPr>
                <w:sz w:val="1"/>
                <w:szCs w:val="1"/>
                <w:color w:val="auto"/>
              </w:rPr>
            </w:pPr>
          </w:p>
        </w:tc>
      </w:tr>
      <w:tr>
        <w:trPr>
          <w:trHeight w:val="159"/>
        </w:trPr>
        <w:tc>
          <w:tcPr>
            <w:tcW w:w="50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129 %</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228 %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110 %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306 %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basis</w:t>
            </w: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37" w:lineRule="exact"/>
        <w:rPr>
          <w:sz w:val="20"/>
          <w:szCs w:val="20"/>
          <w:color w:val="auto"/>
        </w:rPr>
      </w:pPr>
    </w:p>
    <w:p>
      <w:pPr>
        <w:jc w:val="both"/>
        <w:ind w:right="40" w:firstLine="395"/>
        <w:spacing w:after="0" w:line="268"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and cash received related to Giphy Retention Compensation in connection with the acquisition of Giphy.</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to adjusted free cash flow for each of the periods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29,814</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96,589</w:t>
            </w:r>
          </w:p>
        </w:tc>
      </w:tr>
      <w:tr>
        <w:trPr>
          <w:trHeight w:val="212"/>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 (used in) investing activities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(66,128)</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 provided by financing activities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12,738</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(50,778)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(57,929)</w:t>
            </w:r>
          </w:p>
        </w:tc>
      </w:tr>
      <w:tr>
        <w:trPr>
          <w:trHeight w:val="265"/>
        </w:trPr>
        <w:tc>
          <w:tcPr>
            <w:tcW w:w="5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96,589</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(22,870)</w:t>
            </w:r>
          </w:p>
        </w:tc>
      </w:tr>
      <w:tr>
        <w:trPr>
          <w:trHeight w:val="212"/>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w:t>
            </w:r>
          </w:p>
        </w:tc>
      </w:tr>
      <w:tr>
        <w:trPr>
          <w:trHeight w:val="209"/>
        </w:trPr>
        <w:tc>
          <w:tcPr>
            <w:tcW w:w="5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15,752</w:t>
            </w:r>
          </w:p>
        </w:tc>
      </w:tr>
      <w:tr>
        <w:trPr>
          <w:trHeight w:val="231"/>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84,219</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28% and 30% for the six months ended June 30, 2024 and 2023,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six months ended June 30, 2024,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800" w:type="dxa"/>
            <w:vAlign w:val="bottom"/>
            <w:tcBorders>
              <w:bottom w:val="single" w:sz="8" w:color="auto"/>
            </w:tcBorders>
          </w:tcPr>
          <w:p>
            <w:pPr>
              <w:spacing w:after="0"/>
              <w:rPr>
                <w:sz w:val="14"/>
                <w:szCs w:val="14"/>
                <w:color w:val="auto"/>
              </w:rPr>
            </w:pPr>
          </w:p>
        </w:tc>
      </w:tr>
      <w:tr>
        <w:trPr>
          <w:trHeight w:val="123"/>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2"/>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2"/>
              <w:spacing w:after="0" w:line="123"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rPr>
              <w:t>30,143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35,402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60,852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71,377</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66,001</w:t>
            </w:r>
          </w:p>
        </w:tc>
      </w:tr>
      <w:tr>
        <w:trPr>
          <w:trHeight w:val="21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11,560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22,740</w:t>
            </w:r>
          </w:p>
        </w:tc>
      </w:tr>
      <w:tr>
        <w:trPr>
          <w:trHeight w:val="211"/>
        </w:trPr>
        <w:tc>
          <w:tcPr>
            <w:tcW w:w="324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159,941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145,108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313,472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295,974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31"/>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208,840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424,120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borrowed under our Credit Facility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our consolidated leverage ratio or (ii) the Term Secured Overnight Financing Rate (for interest periods of 1, 3 or 6 months) plus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ranging from 1.125% to 1.5%, determined based on our consolidated leverage ratio. A hypothetical 10% change in interest rates would not have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impact on our interest expense as of June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June 30,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0"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38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36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50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2023 Form 10-K, which could materially affect our business, financial condition or future results. During the three months ended June 30, 2024, there were no material changes to these risk factors as described in our 2023 Form 10-K.</w:t>
      </w:r>
    </w:p>
    <w:p>
      <w:pPr>
        <w:sectPr>
          <w:pgSz w:w="11900" w:h="16838" w:orient="portrait"/>
          <w:cols w:equalWidth="0" w:num="1">
            <w:col w:w="11340"/>
          </w:cols>
          <w:pgMar w:left="320" w:top="121" w:right="239" w:bottom="1440" w:gutter="0" w:footer="0" w:header="0"/>
        </w:sectPr>
      </w:pPr>
    </w:p>
    <w:p>
      <w:pPr>
        <w:spacing w:after="0" w:line="38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44"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1760" w:type="dxa"/>
            <w:vAlign w:val="bottom"/>
          </w:tcPr>
          <w:p>
            <w:pPr>
              <w:spacing w:after="0"/>
              <w:rPr>
                <w:sz w:val="16"/>
                <w:szCs w:val="16"/>
                <w:color w:val="auto"/>
              </w:rPr>
            </w:pPr>
          </w:p>
        </w:tc>
        <w:tc>
          <w:tcPr>
            <w:tcW w:w="538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w w:val="99"/>
              </w:rPr>
              <w:t>ISSUER PURCHASES OF EQUITY SECURITIES</w:t>
            </w:r>
          </w:p>
        </w:tc>
        <w:tc>
          <w:tcPr>
            <w:tcW w:w="0" w:type="dxa"/>
            <w:vAlign w:val="bottom"/>
          </w:tcPr>
          <w:p>
            <w:pPr>
              <w:spacing w:after="0"/>
              <w:rPr>
                <w:sz w:val="1"/>
                <w:szCs w:val="1"/>
                <w:color w:val="auto"/>
              </w:rPr>
            </w:pPr>
          </w:p>
        </w:tc>
      </w:tr>
      <w:tr>
        <w:trPr>
          <w:trHeight w:val="57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380" w:type="dxa"/>
            <w:vAlign w:val="bottom"/>
          </w:tcPr>
          <w:p>
            <w:pPr>
              <w:jc w:val="center"/>
              <w:ind w:left="1150"/>
              <w:spacing w:after="0"/>
              <w:rPr>
                <w:sz w:val="20"/>
                <w:szCs w:val="20"/>
                <w:color w:val="auto"/>
              </w:rPr>
            </w:pPr>
            <w:r>
              <w:rPr>
                <w:rFonts w:ascii="Times New Roman" w:cs="Times New Roman" w:eastAsia="Times New Roman" w:hAnsi="Times New Roman"/>
                <w:sz w:val="14"/>
                <w:szCs w:val="14"/>
                <w:b w:val="1"/>
                <w:bCs w:val="1"/>
                <w:color w:val="auto"/>
                <w:w w:val="99"/>
              </w:rPr>
              <w:t>(a) Total Number of Shares (or</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 Average Price Paid Per</w:t>
            </w:r>
          </w:p>
        </w:tc>
        <w:tc>
          <w:tcPr>
            <w:tcW w:w="0" w:type="dxa"/>
            <w:vAlign w:val="bottom"/>
          </w:tcPr>
          <w:p>
            <w:pPr>
              <w:spacing w:after="0"/>
              <w:rPr>
                <w:sz w:val="1"/>
                <w:szCs w:val="1"/>
                <w:color w:val="auto"/>
              </w:rPr>
            </w:pPr>
          </w:p>
        </w:tc>
      </w:tr>
      <w:tr>
        <w:trPr>
          <w:trHeight w:val="185"/>
        </w:trPr>
        <w:tc>
          <w:tcPr>
            <w:tcW w:w="1760" w:type="dxa"/>
            <w:vAlign w:val="bottom"/>
            <w:vMerge w:val="continue"/>
          </w:tcPr>
          <w:p>
            <w:pPr>
              <w:spacing w:after="0"/>
              <w:rPr>
                <w:sz w:val="16"/>
                <w:szCs w:val="16"/>
                <w:color w:val="auto"/>
              </w:rPr>
            </w:pPr>
          </w:p>
        </w:tc>
        <w:tc>
          <w:tcPr>
            <w:tcW w:w="3380" w:type="dxa"/>
            <w:vAlign w:val="bottom"/>
          </w:tcPr>
          <w:p>
            <w:pPr>
              <w:jc w:val="center"/>
              <w:ind w:left="1150"/>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 (or 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(c) Total Number of Shares (or</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 Maximum Number (o</w:t>
            </w:r>
          </w:p>
        </w:tc>
        <w:tc>
          <w:tcPr>
            <w:tcW w:w="0" w:type="dxa"/>
            <w:vAlign w:val="bottom"/>
          </w:tcPr>
          <w:p>
            <w:pPr>
              <w:spacing w:after="0"/>
              <w:rPr>
                <w:sz w:val="1"/>
                <w:szCs w:val="1"/>
                <w:color w:val="auto"/>
              </w:rPr>
            </w:pPr>
          </w:p>
        </w:tc>
      </w:tr>
      <w:tr>
        <w:trPr>
          <w:trHeight w:val="143"/>
        </w:trPr>
        <w:tc>
          <w:tcPr>
            <w:tcW w:w="1940" w:type="dxa"/>
            <w:vAlign w:val="bottom"/>
            <w:vMerge w:val="continue"/>
          </w:tcPr>
          <w:p>
            <w:pPr>
              <w:spacing w:after="0"/>
              <w:rPr>
                <w:sz w:val="12"/>
                <w:szCs w:val="12"/>
                <w:color w:val="auto"/>
              </w:rPr>
            </w:pPr>
          </w:p>
        </w:tc>
        <w:tc>
          <w:tcPr>
            <w:tcW w:w="1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32"/>
        </w:trPr>
        <w:tc>
          <w:tcPr>
            <w:tcW w:w="1940" w:type="dxa"/>
            <w:vAlign w:val="bottom"/>
          </w:tcPr>
          <w:p>
            <w:pPr>
              <w:jc w:val="center"/>
              <w:ind w:right="30"/>
              <w:spacing w:after="0" w:line="132" w:lineRule="exact"/>
              <w:rPr>
                <w:sz w:val="20"/>
                <w:szCs w:val="20"/>
                <w:color w:val="auto"/>
              </w:rPr>
            </w:pPr>
            <w:r>
              <w:rPr>
                <w:rFonts w:ascii="Times New Roman" w:cs="Times New Roman" w:eastAsia="Times New Roman" w:hAnsi="Times New Roman"/>
                <w:sz w:val="14"/>
                <w:szCs w:val="14"/>
                <w:b w:val="1"/>
                <w:bCs w:val="1"/>
                <w:color w:val="auto"/>
                <w:w w:val="99"/>
              </w:rPr>
              <w:t>Units) Purchased as Part of</w:t>
            </w:r>
          </w:p>
        </w:tc>
        <w:tc>
          <w:tcPr>
            <w:tcW w:w="1740" w:type="dxa"/>
            <w:vAlign w:val="bottom"/>
          </w:tcPr>
          <w:p>
            <w:pPr>
              <w:jc w:val="right"/>
              <w:spacing w:after="0" w:line="132" w:lineRule="exact"/>
              <w:rPr>
                <w:sz w:val="20"/>
                <w:szCs w:val="20"/>
                <w:color w:val="auto"/>
              </w:rPr>
            </w:pPr>
            <w:r>
              <w:rPr>
                <w:rFonts w:ascii="Times New Roman" w:cs="Times New Roman" w:eastAsia="Times New Roman" w:hAnsi="Times New Roman"/>
                <w:sz w:val="14"/>
                <w:szCs w:val="14"/>
                <w:b w:val="1"/>
                <w:bCs w:val="1"/>
                <w:color w:val="auto"/>
              </w:rPr>
              <w:t>Shares (or Units) That May</w:t>
            </w:r>
          </w:p>
        </w:tc>
        <w:tc>
          <w:tcPr>
            <w:tcW w:w="0" w:type="dxa"/>
            <w:vAlign w:val="bottom"/>
          </w:tcPr>
          <w:p>
            <w:pPr>
              <w:spacing w:after="0"/>
              <w:rPr>
                <w:sz w:val="1"/>
                <w:szCs w:val="1"/>
                <w:color w:val="auto"/>
              </w:rPr>
            </w:pPr>
          </w:p>
        </w:tc>
      </w:tr>
      <w:tr>
        <w:trPr>
          <w:trHeight w:val="145"/>
        </w:trPr>
        <w:tc>
          <w:tcPr>
            <w:tcW w:w="194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7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Be Purchased Under the Pl</w:t>
            </w:r>
          </w:p>
        </w:tc>
        <w:tc>
          <w:tcPr>
            <w:tcW w:w="0" w:type="dxa"/>
            <w:vAlign w:val="bottom"/>
          </w:tcPr>
          <w:p>
            <w:pPr>
              <w:spacing w:after="0"/>
              <w:rPr>
                <w:sz w:val="1"/>
                <w:szCs w:val="1"/>
                <w:color w:val="auto"/>
              </w:rPr>
            </w:pPr>
          </w:p>
        </w:tc>
      </w:tr>
      <w:tr>
        <w:trPr>
          <w:trHeight w:val="197"/>
        </w:trPr>
        <w:tc>
          <w:tcPr>
            <w:tcW w:w="1940" w:type="dxa"/>
            <w:vAlign w:val="bottom"/>
          </w:tcPr>
          <w:p>
            <w:pPr>
              <w:jc w:val="center"/>
              <w:ind w:right="10"/>
              <w:spacing w:after="0" w:line="197" w:lineRule="exact"/>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(1)</w:t>
            </w:r>
          </w:p>
        </w:tc>
        <w:tc>
          <w:tcPr>
            <w:tcW w:w="1740" w:type="dxa"/>
            <w:vAlign w:val="bottom"/>
          </w:tcPr>
          <w:p>
            <w:pPr>
              <w:jc w:val="right"/>
              <w:ind w:right="210"/>
              <w:spacing w:after="0" w:line="197" w:lineRule="exact"/>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560" w:space="100"/>
            <w:col w:w="3680"/>
          </w:cols>
          <w:pgMar w:left="320" w:top="121" w:right="239" w:bottom="1440" w:gutter="0" w:footer="0" w:header="0"/>
          <w:type w:val="continuous"/>
        </w:sectPr>
      </w:pPr>
    </w:p>
    <w:tbl>
      <w:tblPr>
        <w:tblLayout w:type="fixed"/>
        <w:tblInd w:w="400" w:type="dxa"/>
        <w:tblCellMar>
          <w:top w:w="0" w:type="dxa"/>
          <w:left w:w="0" w:type="dxa"/>
          <w:bottom w:w="0" w:type="dxa"/>
          <w:right w:w="0" w:type="dxa"/>
        </w:tblCellMar>
      </w:tblPr>
      <w:tr>
        <w:trPr>
          <w:trHeight w:val="204"/>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1 - 30, 2024</w:t>
            </w:r>
          </w:p>
        </w:tc>
        <w:tc>
          <w:tcPr>
            <w:tcW w:w="1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9"/>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1 - 31, 2024</w:t>
            </w:r>
          </w:p>
        </w:tc>
        <w:tc>
          <w:tcPr>
            <w:tcW w:w="1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200,044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200,044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1 - 30, 2024</w:t>
            </w:r>
          </w:p>
        </w:tc>
        <w:tc>
          <w:tcPr>
            <w:tcW w:w="1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317,000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12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6"/>
        </w:trPr>
        <w:tc>
          <w:tcPr>
            <w:tcW w:w="3100" w:type="dxa"/>
            <w:vAlign w:val="bottom"/>
          </w:tcPr>
          <w:p>
            <w:pPr>
              <w:spacing w:after="0"/>
              <w:rPr>
                <w:sz w:val="17"/>
                <w:szCs w:val="17"/>
                <w:color w:val="auto"/>
              </w:rPr>
            </w:pPr>
          </w:p>
        </w:tc>
        <w:tc>
          <w:tcPr>
            <w:tcW w:w="1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517,044</w:t>
            </w:r>
          </w:p>
        </w:tc>
        <w:tc>
          <w:tcPr>
            <w:tcW w:w="900" w:type="dxa"/>
            <w:vAlign w:val="bottom"/>
            <w:gridSpan w:val="2"/>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12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517,044</w:t>
            </w:r>
          </w:p>
        </w:tc>
        <w:tc>
          <w:tcPr>
            <w:tcW w:w="7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51,202,</w:t>
            </w:r>
          </w:p>
        </w:tc>
      </w:tr>
      <w:tr>
        <w:trPr>
          <w:trHeight w:val="20"/>
        </w:trPr>
        <w:tc>
          <w:tcPr>
            <w:tcW w:w="3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right="380" w:hanging="315"/>
        <w:spacing w:after="0" w:line="268" w:lineRule="auto"/>
        <w:tabs>
          <w:tab w:leader="none" w:pos="3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purchased shares of our common stock in open market purchases pursuant to share repurchases authorized by our Board of Directors. In June 2023, our Board of Directors authorized the repurchase of up to $100 million of our common stock. As of June 30, 2024, $51.2 million remained available for purchase under this authorization.</w:t>
      </w:r>
    </w:p>
    <w:p>
      <w:pPr>
        <w:spacing w:after="0" w:line="200" w:lineRule="exact"/>
        <w:rPr>
          <w:sz w:val="20"/>
          <w:szCs w:val="20"/>
          <w:color w:val="auto"/>
        </w:rPr>
      </w:pPr>
    </w:p>
    <w:p>
      <w:pPr>
        <w:spacing w:after="0" w:line="21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27" w:lineRule="exact"/>
        <w:rPr>
          <w:sz w:val="20"/>
          <w:szCs w:val="20"/>
          <w:color w:val="auto"/>
        </w:rPr>
      </w:pPr>
    </w:p>
    <w:p>
      <w:pPr>
        <w:ind w:right="120" w:firstLine="395"/>
        <w:spacing w:after="0" w:line="241" w:lineRule="auto"/>
        <w:rPr>
          <w:sz w:val="20"/>
          <w:szCs w:val="20"/>
          <w:color w:val="auto"/>
        </w:rPr>
      </w:pPr>
      <w:r>
        <w:rPr>
          <w:rFonts w:ascii="Times New Roman" w:cs="Times New Roman" w:eastAsia="Times New Roman" w:hAnsi="Times New Roman"/>
          <w:sz w:val="18"/>
          <w:szCs w:val="18"/>
          <w:color w:val="auto"/>
        </w:rPr>
        <w:t>On May 28, 2024, during an open trading window, Jon Oringer, our Founder and Executive Chairman of the Board, entered into a written plan for the sale of the Company’s common stock intended to satisfy the affirmative defense conditions of Rule 10b5-1(c) (the “2024 Oringer Plan”). The 2024 Oringer Plan expires in August 2025, and includes the potential sale of up to 225,000 shares monthly of our common stock.</w:t>
      </w:r>
    </w:p>
    <w:p>
      <w:pPr>
        <w:spacing w:after="0" w:line="205" w:lineRule="exact"/>
        <w:rPr>
          <w:sz w:val="20"/>
          <w:szCs w:val="20"/>
          <w:color w:val="auto"/>
        </w:rPr>
      </w:pPr>
    </w:p>
    <w:p>
      <w:pPr>
        <w:ind w:right="240" w:firstLine="395"/>
        <w:spacing w:after="0" w:line="241" w:lineRule="auto"/>
        <w:rPr>
          <w:sz w:val="20"/>
          <w:szCs w:val="20"/>
          <w:color w:val="auto"/>
        </w:rPr>
      </w:pPr>
      <w:r>
        <w:rPr>
          <w:rFonts w:ascii="Times New Roman" w:cs="Times New Roman" w:eastAsia="Times New Roman" w:hAnsi="Times New Roman"/>
          <w:sz w:val="18"/>
          <w:szCs w:val="18"/>
          <w:color w:val="auto"/>
        </w:rPr>
        <w:t>Except as disclosed above, during the quarter ended June 30, 2024,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21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6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60" w:type="dxa"/>
            <w:vAlign w:val="bottom"/>
            <w:gridSpan w:val="4"/>
          </w:tcPr>
          <w:p>
            <w:pPr>
              <w:ind w:left="3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82"/>
        </w:trPr>
        <w:tc>
          <w:tcPr>
            <w:tcW w:w="9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2.1</w:t>
            </w:r>
          </w:p>
        </w:tc>
        <w:tc>
          <w:tcPr>
            <w:tcW w:w="10040" w:type="dxa"/>
            <w:vAlign w:val="bottom"/>
            <w:gridSpan w:val="6"/>
          </w:tcPr>
          <w:p>
            <w:pPr>
              <w:spacing w:after="0" w:line="182" w:lineRule="exact"/>
              <w:rPr>
                <w:sz w:val="20"/>
                <w:szCs w:val="20"/>
                <w:color w:val="auto"/>
              </w:rPr>
            </w:pPr>
            <w:r>
              <w:rPr>
                <w:rFonts w:ascii="Times New Roman" w:cs="Times New Roman" w:eastAsia="Times New Roman" w:hAnsi="Times New Roman"/>
                <w:sz w:val="16"/>
                <w:szCs w:val="16"/>
                <w:color w:val="auto"/>
                <w:w w:val="98"/>
              </w:rPr>
              <w:t>Stock Purchase Agreement among Shutterstock, Inc., Garnett-Saunders Pty Ltd, Draconis Holdings Pty Ltd, Ta’eed Felah Pty Ltd and Shutterstock AUS EMU</w:t>
            </w:r>
          </w:p>
        </w:tc>
      </w:tr>
      <w:tr>
        <w:trPr>
          <w:trHeight w:val="207"/>
        </w:trPr>
        <w:tc>
          <w:tcPr>
            <w:tcW w:w="960" w:type="dxa"/>
            <w:vAlign w:val="bottom"/>
          </w:tcPr>
          <w:p>
            <w:pPr>
              <w:spacing w:after="0"/>
              <w:rPr>
                <w:sz w:val="17"/>
                <w:szCs w:val="17"/>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Pty Ltd., dated May 1, 2024</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Amended and Restated 2022 Omnibus Equity Incentive Plan</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Shutterstock, Inc. Form of Amended and Restated 2022 Omnibus Equity Incentive Plan Restricted Stock Unit Award Agreement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Shutterstock, Inc. Form of Amended and Restated 2022 Omnibus Equity Incentive Plan Performance Stock Unit Award Agreement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Amendment to the Employment Agreement, dated June 28, 2024, by and between Shutterstock, Inc. and Paul J. Hennessy</w:t>
            </w:r>
          </w:p>
        </w:tc>
      </w:tr>
      <w:tr>
        <w:trPr>
          <w:trHeight w:val="176"/>
        </w:trPr>
        <w:tc>
          <w:tcPr>
            <w:tcW w:w="96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31.1#</w:t>
            </w:r>
          </w:p>
        </w:tc>
        <w:tc>
          <w:tcPr>
            <w:tcW w:w="10040" w:type="dxa"/>
            <w:vAlign w:val="bottom"/>
            <w:gridSpan w:val="6"/>
          </w:tcPr>
          <w:p>
            <w:pPr>
              <w:spacing w:after="0" w:line="176" w:lineRule="exact"/>
              <w:rPr>
                <w:sz w:val="20"/>
                <w:szCs w:val="20"/>
                <w:color w:val="auto"/>
              </w:rPr>
            </w:pPr>
            <w:r>
              <w:rPr>
                <w:rFonts w:ascii="Times New Roman" w:cs="Times New Roman" w:eastAsia="Times New Roman" w:hAnsi="Times New Roman"/>
                <w:sz w:val="16"/>
                <w:szCs w:val="16"/>
                <w:color w:val="0000FF"/>
                <w:w w:val="99"/>
              </w:rPr>
              <w:t>Certification of Chief Executive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and Chief Financial Officer pursuant to 18 U.S.C. Section 1350, as adopted pursuant to Section 906 of the Sarbanes-</w:t>
            </w:r>
          </w:p>
        </w:tc>
      </w:tr>
      <w:tr>
        <w:trPr>
          <w:trHeight w:val="138"/>
        </w:trPr>
        <w:tc>
          <w:tcPr>
            <w:tcW w:w="960" w:type="dxa"/>
            <w:vAlign w:val="bottom"/>
          </w:tcPr>
          <w:p>
            <w:pPr>
              <w:spacing w:after="0"/>
              <w:rPr>
                <w:sz w:val="11"/>
                <w:szCs w:val="11"/>
                <w:color w:val="auto"/>
              </w:rPr>
            </w:pPr>
          </w:p>
        </w:tc>
        <w:tc>
          <w:tcPr>
            <w:tcW w:w="9940" w:type="dxa"/>
            <w:vAlign w:val="bottom"/>
            <w:tcBorders>
              <w:top w:val="single" w:sz="8" w:color="0000FF"/>
            </w:tcBorders>
            <w:gridSpan w:val="5"/>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10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860" w:type="dxa"/>
            <w:vAlign w:val="bottom"/>
            <w:gridSpan w:val="4"/>
          </w:tcPr>
          <w:p>
            <w:pPr>
              <w:spacing w:after="0" w:line="20" w:lineRule="exact"/>
              <w:rPr>
                <w:sz w:val="1"/>
                <w:szCs w:val="1"/>
                <w:color w:val="auto"/>
              </w:rPr>
            </w:pPr>
          </w:p>
        </w:tc>
      </w:tr>
      <w:tr>
        <w:trPr>
          <w:trHeight w:val="177"/>
        </w:trPr>
        <w:tc>
          <w:tcPr>
            <w:tcW w:w="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10040" w:type="dxa"/>
            <w:vAlign w:val="bottom"/>
            <w:gridSpan w:val="6"/>
          </w:tcPr>
          <w:p>
            <w:pPr>
              <w:spacing w:after="0" w:line="178" w:lineRule="exact"/>
              <w:rPr>
                <w:sz w:val="20"/>
                <w:szCs w:val="20"/>
                <w:color w:val="auto"/>
              </w:rPr>
            </w:pPr>
            <w:r>
              <w:rPr>
                <w:rFonts w:ascii="Times New Roman" w:cs="Times New Roman" w:eastAsia="Times New Roman" w:hAnsi="Times New Roman"/>
                <w:sz w:val="16"/>
                <w:szCs w:val="16"/>
                <w:color w:val="auto"/>
                <w:w w:val="99"/>
              </w:rPr>
              <w:t>XBRL Instance Document - the instance document does not appear in the Interactive Data File because its XBRL tags are embedded within the Inline XBRL</w:t>
            </w:r>
          </w:p>
        </w:tc>
      </w:tr>
      <w:tr>
        <w:trPr>
          <w:trHeight w:val="207"/>
        </w:trPr>
        <w:tc>
          <w:tcPr>
            <w:tcW w:w="960" w:type="dxa"/>
            <w:vAlign w:val="bottom"/>
          </w:tcPr>
          <w:p>
            <w:pPr>
              <w:spacing w:after="0"/>
              <w:rPr>
                <w:sz w:val="17"/>
                <w:szCs w:val="17"/>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960" w:hanging="958"/>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5" w:lineRule="exact"/>
        <w:rPr>
          <w:sz w:val="20"/>
          <w:szCs w:val="20"/>
          <w:color w:val="auto"/>
        </w:rPr>
      </w:pPr>
    </w:p>
    <w:p>
      <w:pPr>
        <w:ind w:left="540" w:hanging="220"/>
        <w:spacing w:after="0"/>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12"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134620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400" w:top="121" w:right="49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440" w:type="dxa"/>
            <w:vAlign w:val="bottom"/>
          </w:tcPr>
          <w:p>
            <w:pPr>
              <w:spacing w:after="0"/>
              <w:rPr>
                <w:sz w:val="18"/>
                <w:szCs w:val="18"/>
                <w:color w:val="auto"/>
              </w:rPr>
            </w:pP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Dated: August 6, 2024</w:t>
            </w:r>
          </w:p>
        </w:tc>
        <w:tc>
          <w:tcPr>
            <w:tcW w:w="264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Jarrod Yahes</w:t>
            </w:r>
          </w:p>
        </w:tc>
      </w:tr>
      <w:tr>
        <w:trPr>
          <w:trHeight w:val="202"/>
        </w:trPr>
        <w:tc>
          <w:tcPr>
            <w:tcW w:w="3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Jarrod Yahes</w:t>
            </w:r>
          </w:p>
        </w:tc>
      </w:tr>
      <w:tr>
        <w:trPr>
          <w:trHeight w:val="210"/>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Dated: August 6, 2024</w:t>
            </w:r>
          </w:p>
        </w:tc>
        <w:tc>
          <w:tcPr>
            <w:tcW w:w="264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bl>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21"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June 30, 2024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June 30, 2024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2024-08-06T06:30:04Z</dcterms:created>
  <dcterms:modified xsi:type="dcterms:W3CDTF">2024-08-06T06:30:04Z</dcterms:modified>
</cp:coreProperties>
</file>