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6" w:lineRule="exact"/>
        <w:rPr>
          <w:rFonts w:ascii="MS PGothic" w:cs="MS PGothic" w:eastAsia="MS PGothic" w:hAnsi="MS PGothic"/>
          <w:sz w:val="15"/>
          <w:szCs w:val="15"/>
          <w:color w:val="auto"/>
        </w:rPr>
      </w:pPr>
    </w:p>
    <w:p>
      <w:pPr>
        <w:ind w:left="40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3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April 25, 2025, 35,253,704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4"/>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80" w:type="dxa"/>
            <w:vAlign w:val="bottom"/>
            <w:tcBorders>
              <w:bottom w:val="single" w:sz="8" w:color="0000FF"/>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4"/>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3"/>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8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3"/>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3"/>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proposed merger with Getty Images Holdings, Inc. (the “Merger”),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proposed Merger;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25, 2025 (our “2024 Form 10-K”) and in our consolidated financial statements, related notes, and the other information appearing elsewhere in the 2024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4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8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112,231</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$3,577 and $3,101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1,324,218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777,038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40,422 and 40,395 shares issued and 34,901 and</w:t>
            </w:r>
          </w:p>
        </w:tc>
        <w:tc>
          <w:tcPr>
            <w:tcW w:w="4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34,874 shares outstanding as of March 31, 2025 and December 31, 2024, respectively</w:t>
            </w:r>
          </w:p>
        </w:tc>
        <w:tc>
          <w:tcPr>
            <w:tcW w:w="4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shares as of March 31, 2025 and December 31, 2024</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547,180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1,324,218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2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0" w:type="dxa"/>
            <w:vAlign w:val="bottom"/>
          </w:tcPr>
          <w:p>
            <w:pPr>
              <w:spacing w:after="0"/>
              <w:rPr>
                <w:sz w:val="1"/>
                <w:szCs w:val="1"/>
                <w:color w:val="auto"/>
              </w:rPr>
            </w:pPr>
          </w:p>
        </w:tc>
      </w:tr>
      <w:tr>
        <w:trPr>
          <w:trHeight w:val="197"/>
        </w:trPr>
        <w:tc>
          <w:tcPr>
            <w:tcW w:w="8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c>
          <w:tcPr>
            <w:tcW w:w="0" w:type="dxa"/>
            <w:vAlign w:val="bottom"/>
          </w:tcPr>
          <w:p>
            <w:pPr>
              <w:spacing w:after="0"/>
              <w:rPr>
                <w:sz w:val="1"/>
                <w:szCs w:val="1"/>
                <w:color w:val="auto"/>
              </w:rPr>
            </w:pPr>
          </w:p>
        </w:tc>
      </w:tr>
      <w:tr>
        <w:trPr>
          <w:trHeight w:val="209"/>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0" w:type="dxa"/>
            <w:vAlign w:val="bottom"/>
          </w:tcPr>
          <w:p>
            <w:pPr>
              <w:spacing w:after="0"/>
              <w:rPr>
                <w:sz w:val="1"/>
                <w:szCs w:val="1"/>
                <w:color w:val="auto"/>
              </w:rPr>
            </w:pPr>
          </w:p>
        </w:tc>
      </w:tr>
      <w:tr>
        <w:trPr>
          <w:trHeight w:val="202"/>
        </w:trPr>
        <w:tc>
          <w:tcPr>
            <w:tcW w:w="8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197,569</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202"/>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177"/>
        </w:trPr>
        <w:tc>
          <w:tcPr>
            <w:tcW w:w="806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auto"/>
            </w:tcBorders>
          </w:tcPr>
          <w:p>
            <w:pPr>
              <w:jc w:val="right"/>
              <w:ind w:right="2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16,121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vMerge w:val="continue"/>
          </w:tcPr>
          <w:p>
            <w:pPr>
              <w:spacing w:after="0"/>
              <w:rPr>
                <w:sz w:val="15"/>
                <w:szCs w:val="15"/>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36,066</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8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8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1"/>
        </w:trPr>
        <w:tc>
          <w:tcPr>
            <w:tcW w:w="8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16,121</w:t>
            </w:r>
          </w:p>
        </w:tc>
      </w:tr>
      <w:tr>
        <w:trPr>
          <w:trHeight w:val="209"/>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 / (loss)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8"/>
              </w:rPr>
              <w:t>(1,464)</w:t>
            </w:r>
          </w:p>
        </w:tc>
      </w:tr>
      <w:tr>
        <w:trPr>
          <w:trHeight w:val="20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 (loss)</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(1,464)</w:t>
            </w:r>
          </w:p>
        </w:tc>
      </w:tr>
      <w:tr>
        <w:trPr>
          <w:trHeight w:val="202"/>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14,657</w:t>
            </w:r>
          </w:p>
        </w:tc>
      </w:tr>
      <w:tr>
        <w:trPr>
          <w:trHeight w:val="21"/>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485,736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343,389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547,180</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348,111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541,275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16,121</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on investments, net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(20,182)</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r>
      <w:tr>
        <w:trPr>
          <w:trHeight w:val="20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(28,679)</w:t>
            </w:r>
          </w:p>
        </w:tc>
      </w:tr>
      <w:tr>
        <w:trPr>
          <w:trHeight w:val="94"/>
        </w:trPr>
        <w:tc>
          <w:tcPr>
            <w:tcW w:w="85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 paid for income taxes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 with Getty Images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January 6, 2025, the Company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40" w:lineRule="exact"/>
        <w:rPr>
          <w:sz w:val="20"/>
          <w:szCs w:val="20"/>
          <w:color w:val="auto"/>
        </w:rPr>
      </w:pPr>
    </w:p>
    <w:p>
      <w:pPr>
        <w:ind w:left="640" w:right="160" w:hanging="319"/>
        <w:spacing w:after="0" w:line="268" w:lineRule="auto"/>
        <w:tabs>
          <w:tab w:leader="none" w:pos="6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6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208"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35" w:lineRule="exact"/>
        <w:rPr>
          <w:sz w:val="20"/>
          <w:szCs w:val="20"/>
          <w:color w:val="auto"/>
        </w:rPr>
      </w:pPr>
    </w:p>
    <w:p>
      <w:pPr>
        <w:ind w:right="80" w:firstLine="395"/>
        <w:spacing w:after="0" w:line="293" w:lineRule="auto"/>
        <w:rPr>
          <w:sz w:val="20"/>
          <w:szCs w:val="20"/>
          <w:color w:val="auto"/>
        </w:rPr>
      </w:pPr>
      <w:r>
        <w:rPr>
          <w:rFonts w:ascii="Times New Roman" w:cs="Times New Roman" w:eastAsia="Times New Roman" w:hAnsi="Times New Roman"/>
          <w:sz w:val="16"/>
          <w:szCs w:val="16"/>
          <w:color w:val="auto"/>
        </w:rPr>
        <w:t>The Merger is subject to the satisfaction of customary closing conditions, further described below, including receipt of required regulatory approvals, the approval of Shutterstock stockholders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88" w:lineRule="exact"/>
        <w:rPr>
          <w:sz w:val="20"/>
          <w:szCs w:val="20"/>
          <w:color w:val="auto"/>
        </w:rPr>
      </w:pPr>
    </w:p>
    <w:p>
      <w:pPr>
        <w:ind w:left="640" w:right="6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Merger Agreement by Shutterstock stockholders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and the Getty Images stockholder approval, which condition was subsequently satisfied by the Getty Images stockholder written consent;</w:t>
      </w:r>
    </w:p>
    <w:p>
      <w:pPr>
        <w:spacing w:after="0" w:line="64" w:lineRule="exact"/>
        <w:rPr>
          <w:rFonts w:ascii="Times New Roman" w:cs="Times New Roman" w:eastAsia="Times New Roman" w:hAnsi="Times New Roman"/>
          <w:sz w:val="18"/>
          <w:szCs w:val="18"/>
          <w:color w:val="auto"/>
        </w:rPr>
      </w:pPr>
    </w:p>
    <w:p>
      <w:pPr>
        <w:ind w:left="640" w:hanging="319"/>
        <w:spacing w:after="0" w:line="332" w:lineRule="auto"/>
        <w:tabs>
          <w:tab w:leader="none" w:pos="6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108" w:lineRule="exact"/>
        <w:rPr>
          <w:rFonts w:ascii="Times New Roman" w:cs="Times New Roman" w:eastAsia="Times New Roman" w:hAnsi="Times New Roman"/>
          <w:sz w:val="18"/>
          <w:szCs w:val="18"/>
          <w:color w:val="auto"/>
        </w:rPr>
      </w:pPr>
    </w:p>
    <w:p>
      <w:pPr>
        <w:ind w:left="640" w:right="2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108"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64"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64" w:lineRule="exact"/>
        <w:rPr>
          <w:rFonts w:ascii="Times New Roman" w:cs="Times New Roman" w:eastAsia="Times New Roman" w:hAnsi="Times New Roman"/>
          <w:sz w:val="18"/>
          <w:szCs w:val="18"/>
          <w:color w:val="auto"/>
        </w:rPr>
      </w:pPr>
    </w:p>
    <w:p>
      <w:pPr>
        <w:ind w:left="640" w:right="58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8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The interim Consolidated Balance Sheet as of March 31, 2025, and the Consolidated Statements of Operations, Comprehensive Income and Stockholders’ Equity for the three months ended March 31, 2025 and 2024, and the Consolidated Statements of Cash Flows for the three months ended March 31, 2025 and 2024 are unaudited. The Consolidated Balance Sheet as of December 31, 2024,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2025, and its consolidated results of operations, comprehensive income, stockholders’ equity and cash flows for the three months ended March 31, 2025 and 2024. The financial data and the other financial information disclosed in the notes to the financial statements related to these periods are also unaudited. The results of operations for the three months ended March 31, 2025 are not necessarily indicative of the results to be expected for the fiscal year ending December 31, 2025 or for any other future annual or interim period.</w:t>
      </w:r>
    </w:p>
    <w:p>
      <w:pPr>
        <w:spacing w:after="0" w:line="27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2024 included in the Company’s Annual Report on Form 10-K, which was filed with the SEC on February 25, 2025.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$53.8 million of unbilled receivables of which $34.4 million are recorded in Accounts Receivable and $19.4 million are recorded in Other Assets, as of March 31, 2025.</w:t>
      </w:r>
    </w:p>
    <w:p>
      <w:pPr>
        <w:spacing w:after="0" w:line="9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bad debt expense of $0.6 million. As of March 31, 2025 and December 31, 2024, the Company’s allowance for doubtful accounts was approximately $3.6 million and $3.1 million, respectively. The allowance for doubtful accounts is included as a reduction of accounts receivable on the Consolidated Balance Sheets.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March 31, 2025 and December 31, 2024, approximately $13.7 million and $13.3 million of financing receivables, respectively, were included in accounts receivable and other assets on the Consolidated Balance Sheets.</w:t>
      </w:r>
    </w:p>
    <w:p>
      <w:pPr>
        <w:spacing w:after="0" w:line="78"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March 31, 2025 one customer accounted for approximately 15% of the accounts receivable balance. As of December 31, 2024, one customer accounted for approximately 17%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March 31, 2025 and December 31, 2024, the Company’s combined allowance for chargebacks and sales refunds was $0.3 million, which was included as a component of other current liabilities on the Consolidated Balance Sheets.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1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29"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March 31, 2025 or December 31, 2024,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spacing w:after="0" w:line="4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Its fair value level hierarchy and amount at March 31, 2025 are as follows (in thousands):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31,596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ind w:right="160" w:firstLine="395"/>
        <w:spacing w:after="0" w:line="289" w:lineRule="auto"/>
        <w:rPr>
          <w:sz w:val="20"/>
          <w:szCs w:val="20"/>
          <w:color w:val="auto"/>
        </w:rPr>
      </w:pPr>
      <w:r>
        <w:rPr>
          <w:rFonts w:ascii="Times New Roman" w:cs="Times New Roman" w:eastAsia="Times New Roman" w:hAnsi="Times New Roman"/>
          <w:sz w:val="16"/>
          <w:szCs w:val="16"/>
          <w:color w:val="auto"/>
        </w:rPr>
        <w:t>In connection with its Data, Distribution, and Services business, the Company may receive equity instruments in addition to cash for revenue contract consideration. As of March 31, 2025 and December 31, 2024, the Company had $30.5 million and $24.0 million, respectively, recorded in Other Assets in the Consolidated Balance Sheet from equity instruments received. The Company estimated the value of these equity instruments based on issuers’ recent market transactions.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9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As of March 31, 2025 and December 31, 2024, the Company also had a long-term investment in an equity security with no readily determinable fair value totaling $5.0 million. The Company uses the measurement alternative for fair value and the investment’s carrying value is reported at cost, adjusted for impairments or any observable price changes in ordinary transactions with identical or similar investments. Subsequent to March 31, 2025, the issuer of this security raised additional capital at a valuation that would result in the Company not recovering its investment in a liquidation event. Accordingly, the Company expects to record a $5.0 million impairment charge in the second quarter of 2025.</w:t>
      </w:r>
    </w:p>
    <w:p>
      <w:pPr>
        <w:spacing w:after="0" w:line="117" w:lineRule="exact"/>
        <w:rPr>
          <w:sz w:val="20"/>
          <w:szCs w:val="20"/>
          <w:color w:val="auto"/>
        </w:rPr>
      </w:pPr>
    </w:p>
    <w:p>
      <w:pPr>
        <w:ind w:right="9920" w:firstLine="5"/>
        <w:spacing w:after="0" w:line="454" w:lineRule="auto"/>
        <w:tabs>
          <w:tab w:leader="none" w:pos="239"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b w:val="1"/>
          <w:bCs w:val="1"/>
          <w:u w:val="single" w:color="auto"/>
          <w:color w:val="auto"/>
        </w:rPr>
        <w:t>2024 Acquisitions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Envato</w:t>
      </w:r>
    </w:p>
    <w:p>
      <w:pPr>
        <w:spacing w:after="0" w:line="98" w:lineRule="exact"/>
        <w:rPr>
          <w:sz w:val="20"/>
          <w:szCs w:val="20"/>
          <w:color w:val="auto"/>
        </w:rPr>
      </w:pPr>
    </w:p>
    <w:p>
      <w:pPr>
        <w:ind w:right="120" w:firstLine="395"/>
        <w:spacing w:after="0" w:line="234"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(the “Purchase Agreement”) entered into on May 1, 2024, to acquire all of the issued and outstanding capital stock of Envato. The aggregate amount paid by the Company, after customary working capital and other adjustments in accordance with the terms of the Purchase Agreement, was $250.2 million. The consideration was sourced with cash obtained through the A&amp;R Credit Agreement. See Note 9 Debt for more information. In connection with the acquisition, the Company incurred approximately $7.0 million of transaction costs in total, which are included in general and administrative expenses on the Consolidated Statements of Operations.</w:t>
      </w:r>
    </w:p>
    <w:p>
      <w:pPr>
        <w:spacing w:after="0" w:line="197" w:lineRule="exact"/>
        <w:rPr>
          <w:sz w:val="20"/>
          <w:szCs w:val="20"/>
          <w:color w:val="auto"/>
        </w:rPr>
      </w:pPr>
    </w:p>
    <w:p>
      <w:pPr>
        <w:ind w:right="60" w:firstLine="395"/>
        <w:spacing w:after="0" w:line="241" w:lineRule="auto"/>
        <w:rPr>
          <w:sz w:val="20"/>
          <w:szCs w:val="20"/>
          <w:color w:val="auto"/>
        </w:rPr>
      </w:pPr>
      <w:r>
        <w:rPr>
          <w:rFonts w:ascii="Times New Roman" w:cs="Times New Roman" w:eastAsia="Times New Roman" w:hAnsi="Times New Roman"/>
          <w:sz w:val="18"/>
          <w:szCs w:val="18"/>
          <w:color w:val="auto"/>
        </w:rPr>
        <w:t>Envato offers digital creative assets and templates, including Envato Elements, a creative subscription providing unlimited downloads of a diverse array of assets, templates, and more. The Company believes this acquisition complements Shutterstock’s existing offerings and expands its reach with faster growing audiences such as freelancers, hobbyists, small businesses and agencies.</w:t>
      </w:r>
    </w:p>
    <w:p>
      <w:pPr>
        <w:spacing w:after="0" w:line="205" w:lineRule="exact"/>
        <w:rPr>
          <w:sz w:val="20"/>
          <w:szCs w:val="20"/>
          <w:color w:val="auto"/>
        </w:rPr>
      </w:pPr>
    </w:p>
    <w:p>
      <w:pPr>
        <w:jc w:val="both"/>
        <w:ind w:right="300" w:firstLine="395"/>
        <w:spacing w:after="0" w:line="276" w:lineRule="auto"/>
        <w:rPr>
          <w:sz w:val="20"/>
          <w:szCs w:val="20"/>
          <w:color w:val="auto"/>
        </w:rPr>
      </w:pPr>
      <w:r>
        <w:rPr>
          <w:rFonts w:ascii="Times New Roman" w:cs="Times New Roman" w:eastAsia="Times New Roman" w:hAnsi="Times New Roman"/>
          <w:sz w:val="16"/>
          <w:szCs w:val="16"/>
          <w:color w:val="auto"/>
        </w:rPr>
        <w:t>The purchased assets included identifiable intangible assets, comprised of trademarks, developed technology and customer relationships, which have weighted average useful lives of approximately 10 years, 5 years and 6 years, respectively. The fair values of the trademark and developed technology were determined using the relief-from-royalty method, and the fair value of the customer relationships was determined using the excess of earnings method. The goodwill arising from the transaction is primarily attributable to expected operational synergies and is not deductible for income tax purposes.</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50"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104"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104"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The fair values of the trademark and developed technology were determined using the excess earnings and relief-from-royalty methods,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37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Envato and Backgrid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aggregate purchase price for the Envato and Backgrid acquisitions have been allocated to the assets acquired and liabilities assumed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Backgrid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92,309</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7,550</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5,481</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r>
      <w:tr>
        <w:trPr>
          <w:trHeight w:val="20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r>
      <w:tr>
        <w:trPr>
          <w:trHeight w:val="212"/>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31,300</w:t>
            </w:r>
          </w:p>
        </w:tc>
      </w:tr>
      <w:tr>
        <w:trPr>
          <w:trHeight w:val="21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61,900</w:t>
            </w:r>
          </w:p>
        </w:tc>
      </w:tr>
      <w:tr>
        <w:trPr>
          <w:trHeight w:val="20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14,200</w:t>
            </w:r>
          </w:p>
        </w:tc>
      </w:tr>
      <w:tr>
        <w:trPr>
          <w:trHeight w:val="20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107,400</w:t>
            </w:r>
          </w:p>
        </w:tc>
      </w:tr>
      <w:tr>
        <w:trPr>
          <w:trHeight w:val="202"/>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9"/>
                <w:szCs w:val="9"/>
                <w:color w:val="auto"/>
              </w:rPr>
              <w:t>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189,004</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36,956</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36,956</w:t>
            </w:r>
          </w:p>
        </w:tc>
      </w:tr>
      <w:tr>
        <w:trPr>
          <w:trHeight w:val="20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416,298</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439,868</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68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(73,756)</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(166,083)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(168,505)</w:t>
            </w:r>
          </w:p>
        </w:tc>
      </w:tr>
      <w:tr>
        <w:trPr>
          <w:trHeight w:val="23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250,215</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271,363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right="420" w:firstLine="5"/>
        <w:spacing w:after="0" w:line="230" w:lineRule="auto"/>
        <w:tabs>
          <w:tab w:leader="none" w:pos="81"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Envato’s cash includes $63.4 million for the funding of Envato obligations that were triggered upon the closing of the acquisition (the “Envato Seller Obligations”). These obligations are also reported as assumed liabilities within Other liabilities. The Envato Obligations would not have been incurred had the acquisition not closed, and are presented “on-the-line” because they are not</w:t>
      </w:r>
    </w:p>
    <w:p>
      <w:pPr>
        <w:spacing w:after="0" w:line="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4"/>
          <w:szCs w:val="14"/>
          <w:color w:val="auto"/>
        </w:rPr>
        <w:t>reflected in either the acquirer’s or acquiree’s statement of operations. As of March 31,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the Envato Seller Obligations have been settled in full and no additional amounts remain outstanding in Other liabilities.</w:t>
      </w:r>
    </w:p>
    <w:p>
      <w:pPr>
        <w:spacing w:after="0" w:line="90" w:lineRule="exact"/>
        <w:rPr>
          <w:sz w:val="20"/>
          <w:szCs w:val="20"/>
          <w:color w:val="auto"/>
        </w:rPr>
      </w:pPr>
    </w:p>
    <w:p>
      <w:pPr>
        <w:ind w:right="360" w:firstLine="5"/>
        <w:spacing w:after="0" w:line="222" w:lineRule="auto"/>
        <w:tabs>
          <w:tab w:leader="none" w:pos="68"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months ended March 31, 2025, the Company updated its preliminary allocation of the Envato purchase price to the assets acquired and liabilities assumed. This resulted in (i) a $1.6 million increase to goodwill, (ii) a $0.4 million decrease to Deferred tax assets, and (iii) a $1.2 million increase to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months ended March 31, 2025 and 2024, respectively, as if the Envato and Backgrid acquisitions had been completed on January 1, 2023.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2840" w:type="dxa"/>
            <w:vAlign w:val="bottom"/>
            <w:gridSpan w:val="4"/>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4"/>
        </w:trPr>
        <w:tc>
          <w:tcPr>
            <w:tcW w:w="7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1"/>
        </w:trPr>
        <w:tc>
          <w:tcPr>
            <w:tcW w:w="72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shd w:val="clear" w:color="auto" w:fill="CCEEFF"/>
          </w:tcPr>
          <w:p>
            <w:pPr>
              <w:spacing w:after="0"/>
              <w:rPr>
                <w:sz w:val="16"/>
                <w:szCs w:val="16"/>
                <w:color w:val="auto"/>
              </w:rPr>
            </w:pPr>
          </w:p>
        </w:tc>
      </w:tr>
      <w:tr>
        <w:trPr>
          <w:trHeight w:val="18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2"/>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242,620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r>
      <w:tr>
        <w:trPr>
          <w:trHeight w:val="209"/>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94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6"/>
              </w:rPr>
              <w:t>242,620</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264,859</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9"/>
        </w:trPr>
        <w:tc>
          <w:tcPr>
            <w:tcW w:w="7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20,418</w:t>
            </w:r>
          </w:p>
        </w:tc>
        <w:tc>
          <w:tcPr>
            <w:tcW w:w="80" w:type="dxa"/>
            <w:vAlign w:val="bottom"/>
          </w:tcPr>
          <w:p>
            <w:pPr>
              <w:spacing w:after="0"/>
              <w:rPr>
                <w:sz w:val="18"/>
                <w:szCs w:val="18"/>
                <w:color w:val="auto"/>
              </w:rPr>
            </w:pPr>
          </w:p>
        </w:tc>
        <w:tc>
          <w:tcPr>
            <w:tcW w:w="1220" w:type="dxa"/>
            <w:vAlign w:val="bottom"/>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r>
      <w:tr>
        <w:trPr>
          <w:trHeight w:val="212"/>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20,418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29,138</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361,888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351,062</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382,529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(327,850)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(316,129)</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65,624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$10.6 million and $10.3 million for the three months ended March 31, 2025 and 2024, respectively. Of these amounts, $10.3 million and $9.9 million are included in cost of revenue for the three months ended March 31, 2025 and 2024, respectively, and $0.3 million and $0.4 million are included in general and administrative expense for the three months ended March 31, 2025 and 2024, respectively.</w:t>
      </w:r>
    </w:p>
    <w:p>
      <w:pPr>
        <w:spacing w:after="0" w:line="183"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$9.0 million for the three months ended March 31, 2025 and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amounts are included as a component of property and equipment under computer equipment and software on the Consolidated Balance Sheets.</w:t>
      </w:r>
    </w:p>
    <w:p>
      <w:pPr>
        <w:spacing w:after="0" w:line="91"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$10.0 million and $9.6 million for the three months ended March 31, 2025 and 2024, respectively. Depreciation expense related to capitalized internal-use software is included in cost of revenue in the Consolidated Statements of Operations.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capitalized internal-use software of $56.7 million and $57.8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2025.</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three months ended March 31, 2025 (in thousands):</w:t>
      </w:r>
    </w:p>
    <w:p>
      <w:pPr>
        <w:spacing w:after="0" w:line="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Envato measurement 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35495"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980" w:hanging="979"/>
        <w:spacing w:after="0"/>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569,668</w:t>
      </w:r>
    </w:p>
    <w:p>
      <w:pPr>
        <w:spacing w:after="0" w:line="2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1,588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1,164</w:t>
      </w:r>
    </w:p>
    <w:p>
      <w:pPr>
        <w:spacing w:after="0" w:line="40" w:lineRule="exact"/>
        <w:rPr>
          <w:sz w:val="20"/>
          <w:szCs w:val="20"/>
          <w:color w:val="auto"/>
        </w:rPr>
      </w:pPr>
    </w:p>
    <w:p>
      <w:pPr>
        <w:ind w:left="980" w:hanging="979"/>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10026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March 31, 2025 and December 31, 2024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104,217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68,283</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56,039</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177,671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70,623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421,993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238,278</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$12.1 million and $11.0 million for the three months ended March 31, 2025 and 2024, respectively. Of these amounts, $10.5 million and $10.0 million are included in cost of revenue for the three months ended March 31, 2025 and 2024, respectively, and $1.6 million and $1.0 million are included in general and administrative expense for the three months ended March 31, 2025 and 2024, respectively.</w:t>
      </w:r>
    </w:p>
    <w:p>
      <w:pPr>
        <w:spacing w:after="0" w:line="75"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$34.2 million for the remaining nine months of 2025, $43.5 million in 2026, $37.3 million in 2027, $34.5 million in 2028, $27.8 million in 2029, $16.4 million in 2030 and $44.4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6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46,753</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43,171</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27,151</w:t>
            </w: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107,878</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compensation-related accrued expenses included amounts due to Giphy employees for compensation earned pre-acquisition and severance costs associated with workforce optimizations. Approximately $2.6 million and $5.8 million of severance costs associated with workforce optimization is included within accrued expenses as of March 31, 2025 and December 31,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0"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$30.0 million of existing outstanding borrowings and accrued interest.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2025, the Company had a remaining borrowing capacity of $94 million, net of standby letters of credit.</w:t>
      </w:r>
    </w:p>
    <w:p>
      <w:pPr>
        <w:spacing w:after="0" w:line="109"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March 31, 2025, the Company was in compliance with these covenants.</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r>
    </w:tbl>
    <w:p>
      <w:pPr>
        <w:spacing w:after="0" w:line="179"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interest expense of $4.3 million. As of March 31, 2025, unamortized debt issuance cost related to the Term Loan - A&amp;R Credit Agreement is $0.7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27,000 and 31,000 shares of common stock during the three months ended March 31, 2025 and 2024,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has repurchased approximately 5.5 million shares of common stock under the 2023 Share Repurchase Program at an average per-share cost of $48.86. During the three months ended March 31, 2025 and 2024, the Company did not repurchase any shares of common stock. As of March 31, 2025, the Company had $30.2 million of remaining authorization for purchases under the 2023 Share Repurchase Program.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cash dividends of $0.33 and $0.30 per share of common stock, or $11.5 million and $10.7 million during the three months ended March 31, 2025 and 2024, respectively.</w:t>
      </w:r>
    </w:p>
    <w:p>
      <w:pPr>
        <w:spacing w:after="0" w:line="169"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On April 21, 2025, the Company’s Board of Directors declared a quarterly cash dividend of $0.33 per share of outstanding common stock payable on June 19, 2025 to stockholders of record at the close of business on June 5, 2025.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8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months ended March 31, 2025 and 2024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60" w:type="dxa"/>
            <w:vAlign w:val="bottom"/>
            <w:gridSpan w:val="5"/>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three months ended March 31, 2025 and 2024, substantially all of the Company’s non-cash equity-based compensation expense related to RSUs.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no options to purchase shares of its common stock were granted. As of March 31, 2025, there were approximately 264,000 options vested and exercisable with a weighted average exercise price of $32.95.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2025, the Company had RSU grants, net of forfeitures, of approximately 79,000. As of March 31, 2025, there are approximately 2,932,000 non-vested RSUs outstanding with a weighted average grant-date fair value of $45.34. As of March 31, 2025, the total unrecognized non-cash equity-based compensation expense related to the non-vested RSUs was approximately $64.2 million, which is expected to be recognized through 2029.</w:t>
      </w:r>
    </w:p>
    <w:p>
      <w:pPr>
        <w:spacing w:after="0" w:line="7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and 2024, shares of common stock with an aggregate value of $0.5 million and $1.0 million were withheld upon vesting of RSUs and paid in connection with related remittance of employee withholding taxes to taxing authorities.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1, 2025, the Company granted approximately 3,079,000 RSUs with a grant date fair value of $49.5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months ended March 31, 2025 and 2024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173,830</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40,485</w:t>
            </w:r>
          </w:p>
        </w:tc>
      </w:tr>
      <w:tr>
        <w:trPr>
          <w:trHeight w:val="231"/>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Deferred revenue reported on the balance sheet represents unfulfilled performance obligations for which the Company has either received payment or has outstanding receivables. The March 31, 2025 deferred revenue balance will be earned as content is downloaded or upon the expiration of subscription-based products, and nearly all is expected to be earned within the next twelve months. $101.2 million of total revenue recognized for the three months ended March 31, 2025 was reflected in deferred revenue as of December 31, 2024. In addition, as of March 31, 2025, the Company has approximately $38.7 million of contracted but unsatisfied performance obligations relating primarily to our data deal offerings, which are not included as a component of deferred revenue and that the Company expects to recognize over a five year period. In certain of the Company’s data deal contracts, the Company has provided customers with the right to cancel. As of March 31, 2025, the total refund reserve related to these contracts is $4.1 million and $4.7 million and is recorded in Other current liabilities and Other non-current liabilities, respectively. Should these cancellation rights not be exercised, this refund reserve would convert to revenue. For the three months ended March 31, 2025, the Company recognized $4.2 million of revenue from the reversal of refund reserves.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2025 and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on investments, and other</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14,195</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4,798</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income, net</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14,515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1"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were 8.5% and 20.9% for the three months ended March 31, 2025 and 2024, respectively. For the three months ended March 31, 2025, the net effect of discrete items decreased the effective tax rate by 19.6%. Excluding these items, the Company’s effective tax rate would have been 28.1% for the three months ended March 31, 2025.</w:t>
      </w:r>
    </w:p>
    <w:p>
      <w:pPr>
        <w:spacing w:after="0" w:line="75"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2024, the net effect of discrete items increased the effective tax rate by 1.5%. Excluding these items, the Company’s effective tax rate would have been 19.4% for the three months ended March 31, 2024.</w:t>
      </w:r>
    </w:p>
    <w:p>
      <w:pPr>
        <w:spacing w:after="0" w:line="6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and 2024, uncertain tax positions recorded by the Company were not material. To the extent the remaining uncertain tax positions are ultimately recognized, the Company’s effective tax rate may be impacted in future periods.</w:t>
      </w:r>
    </w:p>
    <w:p>
      <w:pPr>
        <w:spacing w:after="0" w:line="64"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2025 and 2024.</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2025, the Company had net cash taxes refunded of $0.6 million and during the three months ended March 31, 2024, the Company had net cash taxes paid of $2.9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months ended March 31,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5"/>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18,688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34,890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35,591</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6"/>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35,322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1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1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26,125</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78,323</w:t>
            </w:r>
          </w:p>
        </w:tc>
        <w:tc>
          <w:tcPr>
            <w:tcW w:w="0" w:type="dxa"/>
            <w:vAlign w:val="bottom"/>
          </w:tcPr>
          <w:p>
            <w:pPr>
              <w:spacing w:after="0"/>
              <w:rPr>
                <w:sz w:val="1"/>
                <w:szCs w:val="1"/>
                <w:color w:val="auto"/>
              </w:rPr>
            </w:pPr>
          </w:p>
        </w:tc>
      </w:tr>
      <w:tr>
        <w:trPr>
          <w:trHeight w:val="211"/>
        </w:trPr>
        <w:tc>
          <w:tcPr>
            <w:tcW w:w="8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28,887</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19,501</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54,012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28,629</w:t>
            </w: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197,569</w:t>
            </w:r>
          </w:p>
        </w:tc>
        <w:tc>
          <w:tcPr>
            <w:tcW w:w="0" w:type="dxa"/>
            <w:vAlign w:val="bottom"/>
          </w:tcPr>
          <w:p>
            <w:pPr>
              <w:spacing w:after="0"/>
              <w:rPr>
                <w:sz w:val="1"/>
                <w:szCs w:val="1"/>
                <w:color w:val="auto"/>
              </w:rPr>
            </w:pPr>
          </w:p>
        </w:tc>
      </w:tr>
      <w:tr>
        <w:trPr>
          <w:trHeight w:val="202"/>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0" w:type="dxa"/>
            <w:vAlign w:val="bottom"/>
          </w:tcPr>
          <w:p>
            <w:pPr>
              <w:spacing w:after="0"/>
              <w:rPr>
                <w:sz w:val="1"/>
                <w:szCs w:val="1"/>
                <w:color w:val="auto"/>
              </w:rPr>
            </w:pPr>
          </w:p>
        </w:tc>
      </w:tr>
      <w:tr>
        <w:trPr>
          <w:trHeight w:val="303"/>
        </w:trPr>
        <w:tc>
          <w:tcPr>
            <w:tcW w:w="8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0" w:type="dxa"/>
            <w:vAlign w:val="bottom"/>
          </w:tcPr>
          <w:p>
            <w:pPr>
              <w:spacing w:after="0"/>
              <w:rPr>
                <w:sz w:val="1"/>
                <w:szCs w:val="1"/>
                <w:color w:val="auto"/>
              </w:rPr>
            </w:pPr>
          </w:p>
        </w:tc>
      </w:tr>
      <w:tr>
        <w:trPr>
          <w:trHeight w:val="200"/>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0" w:type="dxa"/>
            <w:vAlign w:val="bottom"/>
          </w:tcPr>
          <w:p>
            <w:pPr>
              <w:spacing w:after="0"/>
              <w:rPr>
                <w:sz w:val="1"/>
                <w:szCs w:val="1"/>
                <w:color w:val="auto"/>
              </w:rPr>
            </w:pPr>
          </w:p>
        </w:tc>
      </w:tr>
      <w:tr>
        <w:trPr>
          <w:trHeight w:val="440"/>
        </w:trPr>
        <w:tc>
          <w:tcPr>
            <w:tcW w:w="8340" w:type="dxa"/>
            <w:vAlign w:val="bottom"/>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8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6"/>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20,742</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00"/>
        </w:trPr>
        <w:tc>
          <w:tcPr>
            <w:tcW w:w="8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4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22,671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21,263</w:t>
            </w:r>
          </w:p>
        </w:tc>
        <w:tc>
          <w:tcPr>
            <w:tcW w:w="0" w:type="dxa"/>
            <w:vAlign w:val="bottom"/>
          </w:tcPr>
          <w:p>
            <w:pPr>
              <w:spacing w:after="0"/>
              <w:rPr>
                <w:sz w:val="1"/>
                <w:szCs w:val="1"/>
                <w:color w:val="auto"/>
              </w:rPr>
            </w:pPr>
          </w:p>
        </w:tc>
      </w:tr>
      <w:tr>
        <w:trPr>
          <w:trHeight w:val="23"/>
        </w:trPr>
        <w:tc>
          <w:tcPr>
            <w:tcW w:w="83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8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7"/>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110,427</w:t>
            </w: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48,488</w:t>
            </w:r>
          </w:p>
        </w:tc>
        <w:tc>
          <w:tcPr>
            <w:tcW w:w="0" w:type="dxa"/>
            <w:vAlign w:val="bottom"/>
          </w:tcPr>
          <w:p>
            <w:pPr>
              <w:spacing w:after="0"/>
              <w:rPr>
                <w:sz w:val="1"/>
                <w:szCs w:val="1"/>
                <w:color w:val="auto"/>
              </w:rPr>
            </w:pPr>
          </w:p>
        </w:tc>
      </w:tr>
      <w:tr>
        <w:trPr>
          <w:trHeight w:val="202"/>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39% and 49% of consolidated revenue for the three months ended March 31, 2025 and 2024, respectively. No other country accounts for more than 10% of the Company’s revenue in any period presented.</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45,354</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61% and 64% of total long-lived tangible assets as of March 31, 2025 and December 31, 2024, respectively. Ireland, included in Europe in the above table, accounted for 21% and 20% of total long-lived tangible assets as of March 31, 2025 and December 31, 2024, respectively. No other country accounts for more than 10% of the Company’s long-lived tangible assets in any period presented.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2025, the Company had total other non-lease obligations in the amount of approximately $40.4 million, which consisted primarily of minimum royalty guarantees and unconditional purchase obligations related to contracts for infrastructure and other business services. As of March 31, 2025, the Company’s other obligations for the remainder of 2025 and for the years ending December 31, 2026, and 2027 were approximately $28.2 million, $10.3 million, and $1.9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3"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13" w:lineRule="exact"/>
        <w:rPr>
          <w:sz w:val="20"/>
          <w:szCs w:val="20"/>
          <w:color w:val="auto"/>
        </w:rPr>
      </w:pPr>
    </w:p>
    <w:p>
      <w:pPr>
        <w:ind w:right="8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three months ended March 31, 2025, the Company made no material payments for losses on customer indemnification claims and recorded no liabilities related to indemnification for loss contingencies, before considering any insurance recoveries.</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1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2024 Form 10-K.</w:t>
      </w:r>
    </w:p>
    <w:p>
      <w:pPr>
        <w:spacing w:after="0" w:line="111"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2024 Form 10-K for additional discussion of the risks and uncertainties that could cause our actual results to differ materially from those expressed or implied in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Getty Images</w:t>
      </w:r>
    </w:p>
    <w:p>
      <w:pPr>
        <w:spacing w:after="0" w:line="113" w:lineRule="exact"/>
        <w:rPr>
          <w:sz w:val="20"/>
          <w:szCs w:val="20"/>
          <w:color w:val="auto"/>
        </w:rPr>
      </w:pPr>
    </w:p>
    <w:p>
      <w:pPr>
        <w:jc w:val="both"/>
        <w:ind w:right="360" w:firstLine="395"/>
        <w:spacing w:after="0" w:line="303"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2" w:lineRule="exact"/>
        <w:rPr>
          <w:sz w:val="20"/>
          <w:szCs w:val="20"/>
          <w:color w:val="auto"/>
        </w:rPr>
      </w:pPr>
    </w:p>
    <w:p>
      <w:pPr>
        <w:ind w:left="640" w:right="160" w:hanging="319"/>
        <w:spacing w:after="0" w:line="268" w:lineRule="auto"/>
        <w:tabs>
          <w:tab w:leader="none" w:pos="6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9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104" w:lineRule="exact"/>
        <w:rPr>
          <w:sz w:val="20"/>
          <w:szCs w:val="20"/>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48" w:lineRule="exact"/>
        <w:rPr>
          <w:sz w:val="20"/>
          <w:szCs w:val="20"/>
          <w:color w:val="auto"/>
        </w:rPr>
      </w:pPr>
    </w:p>
    <w:p>
      <w:pPr>
        <w:ind w:right="80" w:firstLine="395"/>
        <w:spacing w:after="0" w:line="293" w:lineRule="auto"/>
        <w:rPr>
          <w:sz w:val="20"/>
          <w:szCs w:val="20"/>
          <w:color w:val="auto"/>
        </w:rPr>
      </w:pPr>
      <w:r>
        <w:rPr>
          <w:rFonts w:ascii="Times New Roman" w:cs="Times New Roman" w:eastAsia="Times New Roman" w:hAnsi="Times New Roman"/>
          <w:sz w:val="16"/>
          <w:szCs w:val="16"/>
          <w:color w:val="auto"/>
        </w:rPr>
        <w:t>The Merger is subject to the satisfaction of customary closing conditions, further described below, including receipt of required regulatory approvals, the approval of Shutterstock stockholders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62" w:lineRule="exact"/>
        <w:rPr>
          <w:sz w:val="20"/>
          <w:szCs w:val="20"/>
          <w:color w:val="auto"/>
        </w:rPr>
      </w:pPr>
    </w:p>
    <w:p>
      <w:pPr>
        <w:ind w:left="640" w:right="600" w:hanging="319"/>
        <w:spacing w:after="0" w:line="253"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Merger Agreement by Shutterstock stockholders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and the Getty Images stockholder approval, which condition was subsequently satisfied by the Getty Images stockholder written consent;</w:t>
      </w:r>
    </w:p>
    <w:p>
      <w:pPr>
        <w:spacing w:after="0" w:line="195" w:lineRule="exact"/>
        <w:rPr>
          <w:rFonts w:ascii="Times New Roman" w:cs="Times New Roman" w:eastAsia="Times New Roman" w:hAnsi="Times New Roman"/>
          <w:sz w:val="18"/>
          <w:szCs w:val="18"/>
          <w:color w:val="auto"/>
        </w:rPr>
      </w:pPr>
    </w:p>
    <w:p>
      <w:pPr>
        <w:ind w:left="640" w:hanging="319"/>
        <w:spacing w:after="0" w:line="315" w:lineRule="auto"/>
        <w:tabs>
          <w:tab w:leader="none" w:pos="63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4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227" w:lineRule="exact"/>
        <w:rPr>
          <w:rFonts w:ascii="Times New Roman" w:cs="Times New Roman" w:eastAsia="Times New Roman" w:hAnsi="Times New Roman"/>
          <w:sz w:val="18"/>
          <w:szCs w:val="18"/>
          <w:color w:val="auto"/>
        </w:rPr>
      </w:pPr>
    </w:p>
    <w:p>
      <w:pPr>
        <w:ind w:left="640" w:right="240" w:hanging="319"/>
        <w:spacing w:after="0" w:line="253"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1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2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227" w:lineRule="exact"/>
        <w:rPr>
          <w:rFonts w:ascii="Times New Roman" w:cs="Times New Roman" w:eastAsia="Times New Roman" w:hAnsi="Times New Roman"/>
          <w:sz w:val="18"/>
          <w:szCs w:val="18"/>
          <w:color w:val="auto"/>
        </w:rPr>
      </w:pPr>
    </w:p>
    <w:p>
      <w:pPr>
        <w:ind w:left="640" w:right="12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195" w:lineRule="exact"/>
        <w:rPr>
          <w:rFonts w:ascii="Times New Roman" w:cs="Times New Roman" w:eastAsia="Times New Roman" w:hAnsi="Times New Roman"/>
          <w:sz w:val="18"/>
          <w:szCs w:val="18"/>
          <w:color w:val="auto"/>
        </w:rPr>
      </w:pPr>
    </w:p>
    <w:p>
      <w:pPr>
        <w:ind w:left="640" w:right="4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195" w:lineRule="exact"/>
        <w:rPr>
          <w:rFonts w:ascii="Times New Roman" w:cs="Times New Roman" w:eastAsia="Times New Roman" w:hAnsi="Times New Roman"/>
          <w:sz w:val="18"/>
          <w:szCs w:val="18"/>
          <w:color w:val="auto"/>
        </w:rPr>
      </w:pPr>
    </w:p>
    <w:p>
      <w:pPr>
        <w:ind w:left="640" w:right="60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Envato; and Offset. Shutterstock, our flagship brand, includes various content types such as image, footage, music and editorial.</w:t>
      </w:r>
    </w:p>
    <w:p>
      <w:pPr>
        <w:spacing w:after="0" w:line="104" w:lineRule="exact"/>
        <w:rPr>
          <w:sz w:val="20"/>
          <w:szCs w:val="20"/>
          <w:color w:val="auto"/>
        </w:rPr>
      </w:pPr>
    </w:p>
    <w:p>
      <w:pPr>
        <w:ind w:right="340" w:firstLine="395"/>
        <w:spacing w:after="0" w:line="252"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04"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In 2024, we completed the acquisitions of Backgrid and Envato. The Company believes that Backgrid expands Shutterstock Editorial’s Newsroom offerings of editorial images, and Envato enhances digital creative assets and templates.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10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2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months ended March 31, 2025, which was acquired in July 22,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months ended March 31, 2025 and 2024:</w:t>
      </w:r>
    </w:p>
    <w:p>
      <w:pPr>
        <w:spacing w:after="0" w:line="14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499,000</w:t>
            </w: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92"/>
        </w:trPr>
        <w:tc>
          <w:tcPr>
            <w:tcW w:w="8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147" w:lineRule="exact"/>
        <w:rPr>
          <w:sz w:val="20"/>
          <w:szCs w:val="20"/>
          <w:color w:val="auto"/>
        </w:rPr>
      </w:pPr>
    </w:p>
    <w:p>
      <w:pPr>
        <w:ind w:right="540" w:firstLine="5"/>
        <w:spacing w:after="0" w:line="204" w:lineRule="auto"/>
        <w:tabs>
          <w:tab w:leader="none" w:pos="10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months ended March 31, 2025, which was acquired in July 22,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2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2024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3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2024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licensable metadata at unique scales and quality. Our metadata customer base ranges from large technology and media companies to smaller start-up organizations.</w:t>
      </w:r>
    </w:p>
    <w:p>
      <w:pPr>
        <w:spacing w:after="0" w:line="11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2025 and 2024 are as follows (in thousands):</w:t>
      </w:r>
    </w:p>
    <w:p>
      <w:pPr>
        <w:spacing w:after="0" w:line="5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173,830</w:t>
            </w: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40,485</w:t>
            </w:r>
          </w:p>
        </w:tc>
      </w:tr>
      <w:tr>
        <w:trPr>
          <w:trHeight w:val="23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111" w:lineRule="exact"/>
        <w:rPr>
          <w:sz w:val="20"/>
          <w:szCs w:val="20"/>
          <w:color w:val="auto"/>
        </w:rPr>
      </w:pPr>
    </w:p>
    <w:p>
      <w:pPr>
        <w:ind w:right="48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w:t>
      </w:r>
    </w:p>
    <w:p>
      <w:pPr>
        <w:spacing w:after="0" w:line="200" w:lineRule="exact"/>
        <w:rPr>
          <w:sz w:val="20"/>
          <w:szCs w:val="20"/>
          <w:color w:val="auto"/>
        </w:rPr>
      </w:pPr>
    </w:p>
    <w:p>
      <w:pPr>
        <w:spacing w:after="0" w:line="3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on investments and interest income and expense.</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214,315</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r>
      <w:tr>
        <w:trPr>
          <w:trHeight w:val="212"/>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r>
      <w:tr>
        <w:trPr>
          <w:trHeight w:val="209"/>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r>
      <w:tr>
        <w:trPr>
          <w:trHeight w:val="212"/>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r>
      <w:tr>
        <w:trPr>
          <w:trHeight w:val="202"/>
        </w:trPr>
        <w:tc>
          <w:tcPr>
            <w:tcW w:w="8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197,569</w:t>
            </w:r>
          </w:p>
        </w:tc>
      </w:tr>
      <w:tr>
        <w:trPr>
          <w:trHeight w:val="20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r>
      <w:tr>
        <w:trPr>
          <w:trHeight w:val="202"/>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02"/>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w:t>
            </w: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9"/>
        </w:trPr>
        <w:tc>
          <w:tcPr>
            <w:tcW w:w="9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9"/>
        </w:trPr>
        <w:tc>
          <w:tcPr>
            <w:tcW w:w="9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2"/>
        </w:trPr>
        <w:tc>
          <w:tcPr>
            <w:tcW w:w="9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9"/>
        </w:trPr>
        <w:tc>
          <w:tcPr>
            <w:tcW w:w="9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2"/>
        </w:trPr>
        <w:tc>
          <w:tcPr>
            <w:tcW w:w="9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2"/>
        </w:trPr>
        <w:tc>
          <w:tcPr>
            <w:tcW w:w="8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0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9"/>
        </w:trPr>
        <w:tc>
          <w:tcPr>
            <w:tcW w:w="9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2"/>
        </w:trPr>
        <w:tc>
          <w:tcPr>
            <w:tcW w:w="9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2"/>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
        </w:trPr>
        <w:tc>
          <w:tcPr>
            <w:tcW w:w="8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Pr>
          <w:p>
            <w:pPr>
              <w:spacing w:after="0"/>
              <w:rPr>
                <w:sz w:val="16"/>
                <w:szCs w:val="16"/>
                <w:color w:val="auto"/>
              </w:rPr>
            </w:pPr>
          </w:p>
        </w:tc>
      </w:tr>
      <w:tr>
        <w:trPr>
          <w:trHeight w:val="24"/>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12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w:t>
            </w:r>
          </w:p>
        </w:tc>
      </w:tr>
      <w:tr>
        <w:trPr>
          <w:trHeight w:val="202"/>
        </w:trPr>
        <w:tc>
          <w:tcPr>
            <w:tcW w:w="5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197,569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34,850</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2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665</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245</w:t>
            </w: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(59)</w:t>
            </w:r>
          </w:p>
        </w:tc>
      </w:tr>
      <w:tr>
        <w:trPr>
          <w:trHeight w:val="202"/>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Revenue increased by $28.3 million, or 13%, to $242.6 million for the three months ended March 31, 2025, compared to the same period in 2024. On a constant currency basis, revenue increased 14% in the three months ended March 31, 2025, compared to the same period in 2024 The increase was largely attributable to revenue recognized from Envato, which we did not have in the same period in 2024.</w:t>
      </w:r>
    </w:p>
    <w:p>
      <w:pPr>
        <w:spacing w:after="0" w:line="114"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The Company’s Content revenues increased by 17%, to $202.9 million in the three months ended March 31, 2025, compared to the same period in 2024. Content revenue was not impacted by foreign currency fluctuations in the three months ended March 31, 2025, compared to the same period in 2024. During the three months ended March 31, 2025, growth in our Content revenue was driven by the contribution of Envato, which was acquired on July 22, 2024. The increase was partially offset by a reduction in Content revenue generated from Shutterstock’s content offering due to weakness in new customer acquisition.</w:t>
      </w:r>
    </w:p>
    <w:p>
      <w:pPr>
        <w:spacing w:after="0" w:line="88" w:lineRule="exact"/>
        <w:rPr>
          <w:sz w:val="20"/>
          <w:szCs w:val="20"/>
          <w:color w:val="auto"/>
        </w:rPr>
      </w:pPr>
    </w:p>
    <w:p>
      <w:pPr>
        <w:jc w:val="both"/>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Data, Distribution, and Services revenues decreased by 2%, to $39.7 million in the three months ended March 31, 2025, compared to the same period in 2024. Data, Distribution, and Services revenues were not impacted by foreign currency fluctuations in the three months ended March 31, 2025, compared to the same period in 2024. The decrease in Data, Distribution, and Services revenues was driven by a decline in our data offering, which was offset by growth in our Distribution and Services offerings.</w:t>
      </w:r>
    </w:p>
    <w:p>
      <w:pPr>
        <w:spacing w:after="0" w:line="104"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$9.8 million, or 9%, to $120.2 million, revenue from Europe increased by $10.8 million, or 19%, to $66.2 million and revenue from outside Europe and North America increased by $7.7 million, or 16%, to $56.2 million, in the three months ended March 31, 2025 compared to the same period in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increased by $12.7 million to $100.9 million in the three months ended March 31, 2025 compared to the same period in</w:t>
      </w:r>
    </w:p>
    <w:p>
      <w:pPr>
        <w:spacing w:after="0" w:line="4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2024. As a percentage of revenue, cost of revenue increased to 42% for the three months ended March 31, 2025, from 41% for the same period in 2024. This increase was driven by increased royalties, content expenses, employee-related costs, and website hosting fees, primarily driven by the acquisition of Envato. These amounts were partially offset by a decrease in recurring and non-recurring Giphy Retention Compensation. We expect that our cost of revenue will continue to fluctuate in-line with changes in revenue.</w:t>
      </w:r>
    </w:p>
    <w:p>
      <w:pPr>
        <w:spacing w:after="0" w:line="82"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$2.9 million, or 5%, to $53.4 million in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As a percentage of revenue, sales and marketing expenses decreased to 22% for the three months ended March 31, 2025, from 26% for the same period in 2024. This was driven by a decrease in brand and performance-based marketing expenses and a decrease in consultant expenses. In addition, there was a</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$0.4 million increase from recurring Giphy Retention Compensation expenses and an increase in employee-related costs driven by the acquisition of Envato. We expect sales and marketing expenses to continue to fluctuate as we optimize our sales channels and invest in new customer acquisition, products and geographies.</w:t>
      </w:r>
    </w:p>
    <w:p>
      <w:pPr>
        <w:spacing w:after="0" w:line="73"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Product Development</w:t>
      </w:r>
      <w:r>
        <w:rPr>
          <w:rFonts w:ascii="Times New Roman" w:cs="Times New Roman" w:eastAsia="Times New Roman" w:hAnsi="Times New Roman"/>
          <w:sz w:val="16"/>
          <w:szCs w:val="16"/>
          <w:color w:val="auto"/>
        </w:rPr>
        <w:t>. Product development expenses decreased by $1.2 million to $19.9 million in the three months ended March 31, 2025 compared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same period in 2024. The decrease in product development was driven by decreases of $1.5 million and $4.0 million from recurring and non-recurring Giphy Retention Compensation expenses, respectively. These costs were partially offset by increases in employee-related costs and software licenses driven by the acquisition of Envato.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0"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$26.2 million to $58.3 million in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increase was driven by $11.9 million associated with the Getty merger and increases in professional fees, employee-related costs, bad debt expenses, and other general and administrative expenses attributed to the addition of Envato. In addition, there was a $0.4 million increase and a $1.6 million decrease from recurring and non-recurring Giphy Retention Compensation expenses, respectively.</w:t>
      </w:r>
    </w:p>
    <w:p>
      <w:pPr>
        <w:spacing w:after="0" w:line="75" w:lineRule="exact"/>
        <w:rPr>
          <w:sz w:val="20"/>
          <w:szCs w:val="20"/>
          <w:color w:val="auto"/>
        </w:rPr>
      </w:pPr>
    </w:p>
    <w:p>
      <w:pPr>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three months ended March 31, 2025 and March 31, 2024, we recognized interest expense of $4.3 million and $0.6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related to our credit facility and the amortization of deferred financing fees. Interest expense for the three months ended March 31, 2025 increased due to the borrowings under A&amp;R Credit Agreement entered into during the quarter ended September 30, 2024 to fund the acquisition of Envato.</w:t>
      </w:r>
    </w:p>
    <w:p>
      <w:pPr>
        <w:spacing w:after="0" w:line="7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 the three months ended March 31, 2025, other income, net was driven by $13.3 million of unrealized gains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Meitu, Inc. In addition, other income, net had $0.9 million of interest income and $0.3 million of unrealized foreign currency gains. In the three months ended March 31, 2024, other income, net was primarily driven by $3.8 million of unrealized gains related to our investment in Meitu, Inc. In addition, other income, net had $4.8 million of interest income and $0.6 million of unrealized foreign currency losses.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1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income tax benefit decreased by $2.5 million for the three months ended March 31, 2025, compared to the same period in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8.5% and 20.9% for the three months ended March 31, 2025 and 2024, respectively.</w:t>
      </w:r>
    </w:p>
    <w:p>
      <w:pPr>
        <w:spacing w:after="0" w:line="61"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March 31, 2025, the net effect of discrete items decreased the effective tax rate by 19.6%. The discrete items for the three months ended March 31, 2025 primarily relate to decreases for the UK valuation allowance and tax reserve releases. Excluding discrete items, our effective tax rate would have been 28.1% for the three months ended March 31, 2025.</w:t>
      </w:r>
    </w:p>
    <w:p>
      <w:pPr>
        <w:spacing w:after="0" w:line="20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2024, the net effect of discrete items increased the effective tax rate by 1.5%. Excluding discrete items, our effective tax rate would have been 19.4% for the three months ended March 31, 2024.</w:t>
      </w:r>
    </w:p>
    <w:p>
      <w:pPr>
        <w:spacing w:after="0" w:line="104"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 For example, for the Content business,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106" w:lineRule="exact"/>
        <w:rPr>
          <w:sz w:val="20"/>
          <w:szCs w:val="20"/>
          <w:color w:val="auto"/>
        </w:rPr>
      </w:pPr>
    </w:p>
    <w:p>
      <w:pPr>
        <w:jc w:val="both"/>
        <w:ind w:right="18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2025, we had cash and cash equivalents totaling $112.2 million which consisted primarily of bank balances. Since inception, we have financed our operations primarily through cash flows generated from operations. In addition, if necessary, we have the ability to draw on our A&amp;R Credit Agreement dated July 22, 2024.</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$0.33 per share of common stock, or $11.5 million during the three months ended March 31, 2025.</w:t>
      </w:r>
    </w:p>
    <w:p>
      <w:pPr>
        <w:spacing w:after="0" w:line="91"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On April 21, 2025, our Board of Directors declared a quarterly cash dividend of $0.33 per share of outstanding common stock payable on June 19, 2025 to stockholders of record at the close of business on June 5, 2025.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“Share Repurchase Program”), providing authorization to repurchase up to $100 million of our common stock.</w:t>
      </w:r>
    </w:p>
    <w:p>
      <w:pPr>
        <w:spacing w:after="0" w:line="64"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2025, we have repurchased approximately 5.5 million shares of our common stock under the Share Repurchase Program at an average per-share cost of $48.86. During the three months ended March 31, 2025 and 2024, we did not repurchase shares of our common stock. As of March 31, 2025, we had $30 million of remaining authorization for repurchases under the Share Repurchase Program.</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91" w:lineRule="exact"/>
        <w:rPr>
          <w:sz w:val="20"/>
          <w:szCs w:val="20"/>
          <w:color w:val="auto"/>
        </w:rPr>
      </w:pPr>
    </w:p>
    <w:p>
      <w:pPr>
        <w:ind w:right="540" w:firstLine="395"/>
        <w:spacing w:after="0" w:line="332"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2025, we had a remaining borrowing capacity of $94 million, net of standby letters of credit.</w:t>
      </w:r>
    </w:p>
    <w:p>
      <w:pPr>
        <w:spacing w:after="0" w:line="10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March 31, 2025,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r>
    </w:tbl>
    <w:p>
      <w:pPr>
        <w:spacing w:after="0" w:line="12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2025, we recognized interest expense of $4.3 million. As of March 31, 2025, unamortized debt issuance cost related to the Term Loan - A&amp;R Credit Agreement is $0.7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2025, we had approximately $40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March 31, 2025, we had approximately $34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16 to our Unaudited Consolidated Financial Statements included in Part I, Item 1 of this Quarterly Report on Form 10-Q for information regarding our existing capital commitments as of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2025 and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25"/>
              <w:spacing w:after="0"/>
              <w:rPr>
                <w:sz w:val="20"/>
                <w:szCs w:val="20"/>
                <w:color w:val="auto"/>
              </w:rPr>
            </w:pPr>
            <w:r>
              <w:rPr>
                <w:rFonts w:ascii="Times New Roman" w:cs="Times New Roman" w:eastAsia="Times New Roman" w:hAnsi="Times New Roman"/>
                <w:sz w:val="16"/>
                <w:szCs w:val="16"/>
                <w:color w:val="auto"/>
                <w:w w:val="99"/>
              </w:rPr>
              <w:t>25,247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405"/>
              <w:spacing w:after="0"/>
              <w:rPr>
                <w:sz w:val="20"/>
                <w:szCs w:val="20"/>
                <w:color w:val="auto"/>
              </w:rPr>
            </w:pPr>
            <w:r>
              <w:rPr>
                <w:rFonts w:ascii="Times New Roman" w:cs="Times New Roman" w:eastAsia="Times New Roman" w:hAnsi="Times New Roman"/>
                <w:sz w:val="16"/>
                <w:szCs w:val="16"/>
                <w:color w:val="auto"/>
                <w:w w:val="98"/>
              </w:rPr>
              <w:t>(11,234)</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(16,528)</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05"/>
              <w:spacing w:after="0"/>
              <w:rPr>
                <w:sz w:val="20"/>
                <w:szCs w:val="20"/>
                <w:color w:val="auto"/>
              </w:rPr>
            </w:pPr>
            <w:r>
              <w:rPr>
                <w:rFonts w:ascii="Times New Roman" w:cs="Times New Roman" w:eastAsia="Times New Roman" w:hAnsi="Times New Roman"/>
                <w:sz w:val="16"/>
                <w:szCs w:val="16"/>
                <w:color w:val="auto"/>
                <w:w w:val="98"/>
              </w:rPr>
              <w:t>(15,821)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$25.2 million for the three months ended March 31, 2025, compared to Net cash provided by operating activities of $8.3 million for the three months ended March 31, 2024. In the three months ended March 31, 2025, operating cash flows were unfavorably impacted from payments of year-end bonuses and commissions, which are typical first quarter cash outflows. In addition, operating cash flows included a $17.9 million decrease in the recurring and non-recurring payments made to the Giphy workforce, the reimbursement of which is reflected in Investing Activities on the Statement of Cash Flows.</w:t>
      </w:r>
    </w:p>
    <w:p>
      <w:pPr>
        <w:spacing w:after="0" w:line="119"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2024 were unfavorably impacted from payments of year-end bonuses and commissions, which are typical first quarter cash outflows. In addition, operating cash flows for the three months ended March 31, 2024 were unfavorably impacted by the recurring and non-recurring payments made to the Giphy workforce, the reimbursement of which is reflected in Investing Activities on the Statement of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was $11.2 million, consisting primarily of (i) capital expenditures of $10.8 million for internal-use software and website development costs and purchases of software and equipment; and (ii) $0.9 million paid to acquire the rights to distribute certain digital content into perpetuity. These cash outflows were partially offset by $0.5 million of Giphy Retention Compensation, as reimbursed by the Giphy seller.</w:t>
      </w:r>
    </w:p>
    <w:p>
      <w:pPr>
        <w:spacing w:after="0" w:line="7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2024 was $16.5 million, consisting primarily of (i) $19.5 million used in the acquisition of Backgrid, net of cash acquired, (ii) capital expenditures of $14.5 million for internal-use software and website development costs and purchases of software and equipment, and (iii) $1.0 million paid to acquire the rights to distribute certain digital content in perpetuity. These cash outflows were partially offset by (i) $18.4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2025 was $15.8 million, consisting of (i) $11.5 million, related to the payment of the quarterly cash dividend; (ii) $3.5 million paid in the settlement of tax withholding obligations related to employee stock-based compensation awards; and (ii) $0.8 million used for the repayment of our Credit Facility.</w:t>
      </w:r>
    </w:p>
    <w:p>
      <w:pPr>
        <w:spacing w:after="0" w:line="75"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Cash used in financing activities in the three months ended March 31, 2024 was $18.6 million, consisting of (i) $10.7 million related to the payment of the quarterly cash dividend; and (ii) $8.0 million paid in settlement of tax withholding obligations related to employee stock-based compensation awards.</w:t>
      </w:r>
    </w:p>
    <w:p>
      <w:pPr>
        <w:spacing w:after="0" w:line="200" w:lineRule="exact"/>
        <w:rPr>
          <w:sz w:val="20"/>
          <w:szCs w:val="20"/>
          <w:color w:val="auto"/>
        </w:rPr>
      </w:pPr>
    </w:p>
    <w:p>
      <w:pPr>
        <w:spacing w:after="0" w:line="2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36,291</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33,121</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63,363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55,977</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23,384</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11,246</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00" w:lineRule="exact"/>
        <w:rPr>
          <w:sz w:val="20"/>
          <w:szCs w:val="20"/>
          <w:color w:val="auto"/>
        </w:rPr>
      </w:pPr>
    </w:p>
    <w:p>
      <w:pPr>
        <w:spacing w:after="0" w:line="32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9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March 31, 2025, the Company also incurred $4.8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Giphy Retention Compensation Expense - non-recurring, unrealized gains and losses on investments, severance costs associated with strategic workforce optimizations, costs incurred associated with the Getty merger, and the estimated tax impact of such adjustments. We define adjusted net income per diluted common share as adjusted net income divided by weighted average diluted shares.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16,121</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11,150</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11"/>
        </w:trPr>
        <w:tc>
          <w:tcPr>
            <w:tcW w:w="826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9,163</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6,829</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Merger related costs</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26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r>
      <w:tr>
        <w:trPr>
          <w:trHeight w:val="211"/>
        </w:trPr>
        <w:tc>
          <w:tcPr>
            <w:tcW w:w="826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0.45</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0.92</w:t>
            </w:r>
          </w:p>
        </w:tc>
      </w:tr>
      <w:tr>
        <w:trPr>
          <w:trHeight w:val="265"/>
        </w:trPr>
        <w:tc>
          <w:tcPr>
            <w:tcW w:w="8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1"/>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35,322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36,066</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2" w:lineRule="exact"/>
        <w:rPr>
          <w:rFonts w:ascii="Times New Roman" w:cs="Times New Roman" w:eastAsia="Times New Roman" w:hAnsi="Times New Roman"/>
          <w:sz w:val="14"/>
          <w:szCs w:val="14"/>
          <w:color w:val="auto"/>
        </w:rPr>
      </w:pPr>
    </w:p>
    <w:p>
      <w:pPr>
        <w:ind w:left="320" w:right="600" w:hanging="315"/>
        <w:spacing w:after="0" w:line="251"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$9.0 million and $8.2 million are included in cost of revenue for the three months ended March 31, 2025 and 2024, respectively. The remainder of acquisition-related amortization expense is included in general and administrative expense in the Statement of Operations.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54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Giphy Retention Compensation Expense - non-recurring, costs incurred associated with the Getty merger, foreign currency transaction gains and losses, severance costs associated with strategic workforce optimizations, unrealized gains and losses on investments, interest income and expense and income taxes. We define adjusted EBITDA margin as the ratio of adjusted EBITDA to revenue.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8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16,121</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562</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(1,043)</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4,269</w:t>
            </w:r>
          </w:p>
        </w:tc>
      </w:tr>
      <w:tr>
        <w:trPr>
          <w:trHeight w:val="209"/>
        </w:trPr>
        <w:tc>
          <w:tcPr>
            <w:tcW w:w="8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22,671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21,263</w:t>
            </w:r>
          </w:p>
        </w:tc>
      </w:tr>
      <w:tr>
        <w:trPr>
          <w:trHeight w:val="20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46,452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41,172</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11,150</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4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6,829</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(gain) / loss</w:t>
            </w:r>
          </w:p>
        </w:tc>
        <w:tc>
          <w:tcPr>
            <w:tcW w:w="34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592</w:t>
            </w:r>
          </w:p>
        </w:tc>
      </w:tr>
      <w:tr>
        <w:trPr>
          <w:trHeight w:val="212"/>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(3,755)</w:t>
            </w:r>
          </w:p>
        </w:tc>
      </w:tr>
      <w:tr>
        <w:trPr>
          <w:trHeight w:val="209"/>
        </w:trPr>
        <w:tc>
          <w:tcPr>
            <w:tcW w:w="8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(11)</w:t>
            </w:r>
          </w:p>
        </w:tc>
      </w:tr>
      <w:tr>
        <w:trPr>
          <w:trHeight w:val="23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63,363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55,977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214,315</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26.1 %</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1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242,620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214,315</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202,888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173,830</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r>
      <w:tr>
        <w:trPr>
          <w:trHeight w:val="263"/>
        </w:trPr>
        <w:tc>
          <w:tcPr>
            <w:tcW w:w="8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39,732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40,485</w:t>
            </w:r>
          </w:p>
        </w:tc>
      </w:tr>
      <w:tr>
        <w:trPr>
          <w:trHeight w:val="210"/>
        </w:trPr>
        <w:tc>
          <w:tcPr>
            <w:tcW w:w="81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r>
      <w:tr>
        <w:trPr>
          <w:trHeight w:val="211"/>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r>
    </w:tbl>
    <w:p>
      <w:pPr>
        <w:spacing w:after="0" w:line="200" w:lineRule="exact"/>
        <w:rPr>
          <w:sz w:val="20"/>
          <w:szCs w:val="20"/>
          <w:color w:val="auto"/>
        </w:rPr>
      </w:pPr>
    </w:p>
    <w:p>
      <w:pPr>
        <w:spacing w:after="0" w:line="3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Merger related costs.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30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7"/>
                <w:szCs w:val="17"/>
                <w:color w:val="auto"/>
              </w:rPr>
            </w:pP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(18,629)</w:t>
            </w:r>
          </w:p>
        </w:tc>
      </w:tr>
      <w:tr>
        <w:trPr>
          <w:trHeight w:val="265"/>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(14,461)</w:t>
            </w: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09"/>
        </w:trPr>
        <w:tc>
          <w:tcPr>
            <w:tcW w:w="8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w:t>
            </w:r>
          </w:p>
        </w:tc>
      </w:tr>
      <w:tr>
        <w:trPr>
          <w:trHeight w:val="21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related costs</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27% and 28% for the three months ended March 31, 2025 and 2024,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2025,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r>
      <w:tr>
        <w:trPr>
          <w:trHeight w:val="116"/>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17"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7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30,709</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w:t>
            </w:r>
          </w:p>
        </w:tc>
      </w:tr>
      <w:tr>
        <w:trPr>
          <w:trHeight w:val="211"/>
        </w:trPr>
        <w:tc>
          <w:tcPr>
            <w:tcW w:w="72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177,112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31"/>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March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March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47" w:lineRule="exact"/>
        <w:rPr>
          <w:sz w:val="20"/>
          <w:szCs w:val="20"/>
          <w:color w:val="auto"/>
        </w:rPr>
      </w:pPr>
    </w:p>
    <w:p>
      <w:pPr>
        <w:ind w:right="20" w:firstLine="474"/>
        <w:spacing w:after="0" w:line="237"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Management is currently integrating Envato into our operations and internal control processes and, pursuant to the SEC’s guidance that an assessment of a recently acquired business may be omitted from the scope of an assessment in the year of acquisition, the Company is excluding the internal control over financial reporting of Envato from its evaluation of the effectiveness of the Company’s disclosure controls and procedures as of March 31, 2025.</w:t>
      </w:r>
    </w:p>
    <w:p>
      <w:pPr>
        <w:spacing w:after="0" w:line="209"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and subject to the foregoing,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As mentioned above, the Company completed its acquisition of Envato on July 22, 2024. The Company is in the process of reviewing the internal control structure of Envato and, if necessary, will make appropriate changes as it integrates Envato into the Company’s overall internal control over financial reporting process.</w:t>
      </w:r>
    </w:p>
    <w:p>
      <w:pPr>
        <w:spacing w:after="0" w:line="200" w:lineRule="exact"/>
        <w:rPr>
          <w:sz w:val="20"/>
          <w:szCs w:val="20"/>
          <w:color w:val="auto"/>
        </w:rPr>
      </w:pPr>
    </w:p>
    <w:p>
      <w:pPr>
        <w:spacing w:after="0" w:line="2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6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pending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3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2024 Form 10-K, which could materially affect our business, financial condition or future results. During the three months ended March 31, 2025, there were no material changes to these risk factors as described in our 2024 Form 10-K.</w:t>
      </w:r>
    </w:p>
    <w:p>
      <w:pPr>
        <w:spacing w:after="0" w:line="2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7"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1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40" w:type="dxa"/>
            <w:vAlign w:val="bottom"/>
            <w:gridSpan w:val="8"/>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8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2.1</w:t>
            </w:r>
          </w:p>
        </w:tc>
        <w:tc>
          <w:tcPr>
            <w:tcW w:w="100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8"/>
              </w:rPr>
            </w:pPr>
            <w:hyperlink r:id="rId61">
              <w:r>
                <w:rPr>
                  <w:rFonts w:ascii="Times New Roman" w:cs="Times New Roman" w:eastAsia="Times New Roman" w:hAnsi="Times New Roman"/>
                  <w:sz w:val="16"/>
                  <w:szCs w:val="16"/>
                  <w:color w:val="0000FF"/>
                  <w:w w:val="98"/>
                </w:rPr>
                <w:t>Agreement and Plan of Merger, dated as of January 6, 2025, by and among Getty Images, Merger Sub 2, Merger Sub 3, Shutterstock, HoldCo and Merger Sub</w:t>
              </w:r>
            </w:hyperlink>
          </w:p>
        </w:tc>
      </w:tr>
      <w:tr>
        <w:trPr>
          <w:trHeight w:val="138"/>
        </w:trPr>
        <w:tc>
          <w:tcPr>
            <w:tcW w:w="800" w:type="dxa"/>
            <w:vAlign w:val="bottom"/>
          </w:tcPr>
          <w:p>
            <w:pPr>
              <w:spacing w:after="0"/>
              <w:rPr>
                <w:sz w:val="11"/>
                <w:szCs w:val="11"/>
                <w:color w:val="auto"/>
              </w:rPr>
            </w:pPr>
          </w:p>
        </w:tc>
        <w:tc>
          <w:tcPr>
            <w:tcW w:w="120" w:type="dxa"/>
            <w:vAlign w:val="bottom"/>
            <w:tcBorders>
              <w:bottom w:val="single" w:sz="8" w:color="0000FF"/>
            </w:tcBorders>
          </w:tcPr>
          <w:p>
            <w:pPr>
              <w:spacing w:after="0" w:line="138" w:lineRule="exact"/>
              <w:rPr>
                <w:rFonts w:ascii="Times New Roman" w:cs="Times New Roman" w:eastAsia="Times New Roman" w:hAnsi="Times New Roman"/>
                <w:sz w:val="15"/>
                <w:szCs w:val="15"/>
                <w:color w:val="0000FF"/>
                <w:w w:val="88"/>
              </w:rPr>
            </w:pPr>
            <w:hyperlink r:id="rId61">
              <w:r>
                <w:rPr>
                  <w:rFonts w:ascii="Times New Roman" w:cs="Times New Roman" w:eastAsia="Times New Roman" w:hAnsi="Times New Roman"/>
                  <w:sz w:val="15"/>
                  <w:szCs w:val="15"/>
                  <w:color w:val="0000FF"/>
                  <w:w w:val="88"/>
                </w:rPr>
                <w:t>1.</w:t>
              </w:r>
            </w:hyperlink>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w:t>
            </w:r>
          </w:p>
        </w:tc>
        <w:tc>
          <w:tcPr>
            <w:tcW w:w="10020" w:type="dxa"/>
            <w:vAlign w:val="bottom"/>
            <w:gridSpan w:val="12"/>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Voting and Support Agreement, dated as of January 6, 2025, by and between Getty Images and Jonathan Oringer.</w:t>
              </w:r>
            </w:hyperlink>
          </w:p>
        </w:tc>
      </w:tr>
      <w:tr>
        <w:trPr>
          <w:trHeight w:val="20"/>
        </w:trPr>
        <w:tc>
          <w:tcPr>
            <w:tcW w:w="8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10.2</w:t>
            </w:r>
          </w:p>
        </w:tc>
        <w:tc>
          <w:tcPr>
            <w:tcW w:w="10020" w:type="dxa"/>
            <w:vAlign w:val="bottom"/>
            <w:gridSpan w:val="12"/>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Significant Stockholder Agreement, dated as of January 6, 2025, by and among Getty Images, the Getty Family Stockholders, the Koch Stockholder and</w:t>
              </w:r>
            </w:hyperlink>
          </w:p>
        </w:tc>
      </w:tr>
      <w:tr>
        <w:trPr>
          <w:trHeight w:val="138"/>
        </w:trPr>
        <w:tc>
          <w:tcPr>
            <w:tcW w:w="800" w:type="dxa"/>
            <w:vAlign w:val="bottom"/>
          </w:tcPr>
          <w:p>
            <w:pPr>
              <w:spacing w:after="0"/>
              <w:rPr>
                <w:sz w:val="11"/>
                <w:szCs w:val="11"/>
                <w:color w:val="auto"/>
              </w:rPr>
            </w:pPr>
          </w:p>
        </w:tc>
        <w:tc>
          <w:tcPr>
            <w:tcW w:w="9640" w:type="dxa"/>
            <w:vAlign w:val="bottom"/>
            <w:tcBorders>
              <w:top w:val="single" w:sz="8" w:color="0000FF"/>
            </w:tcBorders>
            <w:gridSpan w:val="8"/>
          </w:tcPr>
          <w:p>
            <w:pPr>
              <w:spacing w:after="0" w:line="138" w:lineRule="exact"/>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Jonathan Oringer.</w:t>
              </w:r>
            </w:hyperlink>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10.3</w:t>
            </w:r>
          </w:p>
        </w:tc>
        <w:tc>
          <w:tcPr>
            <w:tcW w:w="10020" w:type="dxa"/>
            <w:vAlign w:val="bottom"/>
            <w:gridSpan w:val="12"/>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Letter Agreement, dated as of January 6, 2025, by and among Getty Images and the Getty Family Stockholders.</w:t>
              </w:r>
            </w:hyperlink>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10.4</w:t>
            </w:r>
          </w:p>
        </w:tc>
        <w:tc>
          <w:tcPr>
            <w:tcW w:w="66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w w:val="98"/>
              </w:rPr>
            </w:pPr>
            <w:hyperlink r:id="rId65">
              <w:r>
                <w:rPr>
                  <w:rFonts w:ascii="Times New Roman" w:cs="Times New Roman" w:eastAsia="Times New Roman" w:hAnsi="Times New Roman"/>
                  <w:sz w:val="16"/>
                  <w:szCs w:val="16"/>
                  <w:color w:val="0000FF"/>
                  <w:w w:val="98"/>
                </w:rPr>
                <w:t>Letter Agreement, dated as of January 6, 2025, by and between Getty Images and the Koch Stockholder.</w:t>
              </w:r>
            </w:hyperlink>
          </w:p>
        </w:tc>
        <w:tc>
          <w:tcPr>
            <w:tcW w:w="460" w:type="dxa"/>
            <w:vAlign w:val="bottom"/>
            <w:tcBorders>
              <w:top w:val="single" w:sz="8" w:color="0000FF"/>
            </w:tcBorders>
          </w:tcPr>
          <w:p>
            <w:pPr>
              <w:spacing w:after="0"/>
              <w:rPr>
                <w:sz w:val="16"/>
                <w:szCs w:val="16"/>
                <w:color w:val="auto"/>
              </w:rPr>
            </w:pPr>
          </w:p>
        </w:tc>
        <w:tc>
          <w:tcPr>
            <w:tcW w:w="2960" w:type="dxa"/>
            <w:vAlign w:val="bottom"/>
            <w:gridSpan w:val="6"/>
          </w:tcPr>
          <w:p>
            <w:pPr>
              <w:spacing w:after="0"/>
              <w:rPr>
                <w:sz w:val="16"/>
                <w:szCs w:val="16"/>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31.1#</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and Chief Financial Officer pursuant to 18 U.S.C. Section 1350, as adopted pursuant to Section 906 of the Sarbanes-</w:t>
            </w:r>
          </w:p>
        </w:tc>
      </w:tr>
      <w:tr>
        <w:trPr>
          <w:trHeight w:val="138"/>
        </w:trPr>
        <w:tc>
          <w:tcPr>
            <w:tcW w:w="800" w:type="dxa"/>
            <w:vAlign w:val="bottom"/>
          </w:tcPr>
          <w:p>
            <w:pPr>
              <w:spacing w:after="0"/>
              <w:rPr>
                <w:sz w:val="11"/>
                <w:szCs w:val="11"/>
                <w:color w:val="auto"/>
              </w:rPr>
            </w:pPr>
          </w:p>
        </w:tc>
        <w:tc>
          <w:tcPr>
            <w:tcW w:w="9940" w:type="dxa"/>
            <w:vAlign w:val="bottom"/>
            <w:tcBorders>
              <w:top w:val="single" w:sz="8" w:color="0000FF"/>
            </w:tcBorders>
            <w:gridSpan w:val="11"/>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840" w:type="dxa"/>
            <w:vAlign w:val="bottom"/>
            <w:gridSpan w:val="8"/>
          </w:tcPr>
          <w:p>
            <w:pPr>
              <w:spacing w:after="0" w:line="20" w:lineRule="exact"/>
              <w:rPr>
                <w:sz w:val="1"/>
                <w:szCs w:val="1"/>
                <w:color w:val="auto"/>
              </w:rPr>
            </w:pPr>
          </w:p>
        </w:tc>
      </w:tr>
      <w:tr>
        <w:trPr>
          <w:trHeight w:val="177"/>
        </w:trPr>
        <w:tc>
          <w:tcPr>
            <w:tcW w:w="800" w:type="dxa"/>
            <w:vAlign w:val="bottom"/>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10020" w:type="dxa"/>
            <w:vAlign w:val="bottom"/>
            <w:gridSpan w:val="12"/>
          </w:tcPr>
          <w:p>
            <w:pPr>
              <w:spacing w:after="0" w:line="178" w:lineRule="exact"/>
              <w:rPr>
                <w:sz w:val="20"/>
                <w:szCs w:val="20"/>
                <w:color w:val="auto"/>
              </w:rPr>
            </w:pPr>
            <w:r>
              <w:rPr>
                <w:rFonts w:ascii="Times New Roman" w:cs="Times New Roman" w:eastAsia="Times New Roman" w:hAnsi="Times New Roman"/>
                <w:sz w:val="16"/>
                <w:szCs w:val="16"/>
                <w:color w:val="auto"/>
                <w:w w:val="99"/>
              </w:rPr>
              <w:t>XBRL Instance Document - the instance document does not appear in the Interactive Data File because its XBRL tags are embedded within the Inline XBRL</w:t>
            </w:r>
          </w:p>
        </w:tc>
      </w:tr>
      <w:tr>
        <w:trPr>
          <w:trHeight w:val="207"/>
        </w:trPr>
        <w:tc>
          <w:tcPr>
            <w:tcW w:w="800" w:type="dxa"/>
            <w:vAlign w:val="bottom"/>
          </w:tcPr>
          <w:p>
            <w:pPr>
              <w:spacing w:after="0"/>
              <w:rPr>
                <w:sz w:val="17"/>
                <w:szCs w:val="17"/>
                <w:color w:val="auto"/>
              </w:rPr>
            </w:pP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101.SCH</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101.CAL</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101.DEF</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101.LAB</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101.PRE</w:t>
            </w:r>
          </w:p>
        </w:tc>
        <w:tc>
          <w:tcPr>
            <w:tcW w:w="1002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800" w:hanging="375"/>
        <w:spacing w:after="0"/>
        <w:tabs>
          <w:tab w:leader="none" w:pos="8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560" w:top="121" w:right="51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60" w:type="dxa"/>
            <w:vAlign w:val="bottom"/>
          </w:tcPr>
          <w:p>
            <w:pPr>
              <w:spacing w:after="0"/>
              <w:rPr>
                <w:sz w:val="18"/>
                <w:szCs w:val="18"/>
                <w:color w:val="auto"/>
              </w:rPr>
            </w:pPr>
          </w:p>
        </w:tc>
        <w:tc>
          <w:tcPr>
            <w:tcW w:w="7840" w:type="dxa"/>
            <w:vAlign w:val="bottom"/>
            <w:gridSpan w:val="2"/>
          </w:tcPr>
          <w:p>
            <w:pPr>
              <w:ind w:left="208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2, 2025</w:t>
            </w:r>
          </w:p>
        </w:tc>
        <w:tc>
          <w:tcPr>
            <w:tcW w:w="27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Rik Powell</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0"/>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2, 2025</w:t>
            </w:r>
          </w:p>
        </w:tc>
        <w:tc>
          <w:tcPr>
            <w:tcW w:w="27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198" w:lineRule="exact"/>
        <w:rPr>
          <w:sz w:val="20"/>
          <w:szCs w:val="20"/>
          <w:color w:val="auto"/>
        </w:rPr>
      </w:pPr>
    </w:p>
    <w:p>
      <w:pPr>
        <w:ind w:left="840" w:hanging="519"/>
        <w:spacing w:after="0"/>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May 2,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2025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2025 as filed with the Securities and Exchange Commission on the date hereof (the “Report”), I, Rik Powell,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61" Type="http://schemas.openxmlformats.org/officeDocument/2006/relationships/hyperlink" Target="https://www.sec.gov/Archives/edgar/data/1549346/000114036125000468/ny20041185x1_ex2-1.htm" TargetMode="External"/><Relationship Id="rId62" Type="http://schemas.openxmlformats.org/officeDocument/2006/relationships/hyperlink" Target="https://www.sec.gov/Archives/edgar/data/1549346/000114036125000468/ny20041185x1_ex10-1.htm" TargetMode="External"/><Relationship Id="rId63" Type="http://schemas.openxmlformats.org/officeDocument/2006/relationships/hyperlink" Target="https://www.sec.gov/Archives/edgar/data/1549346/000114036125000468/ny20041185x1_ex10-2.htm" TargetMode="External"/><Relationship Id="rId64" Type="http://schemas.openxmlformats.org/officeDocument/2006/relationships/hyperlink" Target="https://www.sec.gov/Archives/edgar/data/1549346/000114036125000468/ny20041185x1_ex10-3.htm" TargetMode="External"/><Relationship Id="rId65" Type="http://schemas.openxmlformats.org/officeDocument/2006/relationships/hyperlink" Target="https://www.sec.gov/Archives/edgar/data/1549346/000114036125000468/ny20041185x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2025-05-02T06:44:03Z</dcterms:created>
  <dcterms:modified xsi:type="dcterms:W3CDTF">2025-05-02T06:44:03Z</dcterms:modified>
</cp:coreProperties>
</file>