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ind w:left="2980"/>
        <w:spacing w:after="0" w:line="233" w:lineRule="auto"/>
        <w:rPr>
          <w:sz w:val="20"/>
          <w:szCs w:val="20"/>
          <w:color w:val="auto"/>
        </w:rPr>
      </w:pPr>
      <w:r>
        <w:rPr>
          <w:rFonts w:ascii="Arial" w:cs="Arial" w:eastAsia="Arial" w:hAnsi="Arial"/>
          <w:sz w:val="11"/>
          <w:szCs w:val="11"/>
          <w:color w:val="auto"/>
        </w:rPr>
        <w:t>__________________________________________________________________________________________________</w:t>
      </w: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29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6" w:lineRule="exact"/>
        <w:rPr>
          <w:sz w:val="24"/>
          <w:szCs w:val="24"/>
          <w:color w:val="auto"/>
        </w:rPr>
      </w:pPr>
    </w:p>
    <w:p>
      <w:pPr>
        <w:ind w:left="680" w:hanging="267"/>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42" w:lineRule="exact"/>
        <w:rPr>
          <w:rFonts w:ascii="MS PGothic" w:cs="MS PGothic" w:eastAsia="MS PGothic" w:hAnsi="MS PGothic"/>
          <w:sz w:val="16"/>
          <w:szCs w:val="16"/>
          <w:color w:val="auto"/>
        </w:rPr>
      </w:pPr>
    </w:p>
    <w:p>
      <w:pPr>
        <w:ind w:left="40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quarterly period ended March 31, 2021</w:t>
      </w:r>
    </w:p>
    <w:p>
      <w:pPr>
        <w:spacing w:after="0" w:line="63"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920" w:hanging="507"/>
        <w:spacing w:after="0"/>
        <w:tabs>
          <w:tab w:leader="none" w:pos="9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5" w:lineRule="exact"/>
        <w:rPr>
          <w:sz w:val="24"/>
          <w:szCs w:val="24"/>
          <w:color w:val="auto"/>
        </w:rPr>
      </w:pPr>
    </w:p>
    <w:p>
      <w:pPr>
        <w:ind w:left="4160"/>
        <w:spacing w:after="0"/>
        <w:tabs>
          <w:tab w:leader="none" w:pos="69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Commission File Number: 001-35669</w:t>
      </w:r>
    </w:p>
    <w:p>
      <w:pPr>
        <w:spacing w:after="0" w:line="63" w:lineRule="exact"/>
        <w:rPr>
          <w:sz w:val="24"/>
          <w:szCs w:val="24"/>
          <w:color w:val="auto"/>
        </w:rPr>
      </w:pPr>
    </w:p>
    <w:p>
      <w:pPr>
        <w:ind w:left="3360"/>
        <w:spacing w:after="0"/>
        <w:rPr>
          <w:sz w:val="20"/>
          <w:szCs w:val="20"/>
          <w:color w:val="auto"/>
        </w:rPr>
      </w:pPr>
      <w:r>
        <w:rPr>
          <w:rFonts w:ascii="Arial" w:cs="Arial" w:eastAsia="Arial" w:hAnsi="Arial"/>
          <w:sz w:val="14"/>
          <w:szCs w:val="14"/>
          <w:color w:val="auto"/>
        </w:rPr>
        <w:t>_____________________________________________________________________</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SHUTTERSTOCK,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________________________________________________________</w:t>
      </w:r>
    </w:p>
    <w:p>
      <w:pPr>
        <w:spacing w:after="0" w:line="90" w:lineRule="exact"/>
        <w:rPr>
          <w:sz w:val="24"/>
          <w:szCs w:val="24"/>
          <w:color w:val="auto"/>
        </w:rPr>
      </w:pPr>
    </w:p>
    <w:p>
      <w:pPr>
        <w:ind w:left="2580"/>
        <w:spacing w:after="0"/>
        <w:tabs>
          <w:tab w:leader="none" w:pos="830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80-0812659</w:t>
      </w:r>
    </w:p>
    <w:p>
      <w:pPr>
        <w:spacing w:after="0" w:line="54" w:lineRule="exact"/>
        <w:rPr>
          <w:sz w:val="24"/>
          <w:szCs w:val="24"/>
          <w:color w:val="auto"/>
        </w:rPr>
      </w:pPr>
    </w:p>
    <w:p>
      <w:pPr>
        <w:ind w:left="1180"/>
        <w:spacing w:after="0"/>
        <w:tabs>
          <w:tab w:leader="none" w:pos="766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3"/>
          <w:szCs w:val="13"/>
          <w:color w:val="auto"/>
        </w:rPr>
        <w:t>(I.R.S. Employer Identification No.)</w:t>
      </w:r>
    </w:p>
    <w:p>
      <w:pPr>
        <w:spacing w:after="0" w:line="141" w:lineRule="exact"/>
        <w:rPr>
          <w:sz w:val="24"/>
          <w:szCs w:val="24"/>
          <w:color w:val="auto"/>
        </w:rPr>
      </w:pPr>
    </w:p>
    <w:p>
      <w:pPr>
        <w:jc w:val="center"/>
        <w:ind w:left="400"/>
        <w:spacing w:after="0"/>
        <w:rPr>
          <w:sz w:val="20"/>
          <w:szCs w:val="20"/>
          <w:color w:val="auto"/>
        </w:rPr>
      </w:pPr>
      <w:r>
        <w:rPr>
          <w:rFonts w:ascii="Arial" w:cs="Arial" w:eastAsia="Arial" w:hAnsi="Arial"/>
          <w:sz w:val="16"/>
          <w:szCs w:val="16"/>
          <w:b w:val="1"/>
          <w:bCs w:val="1"/>
          <w:color w:val="auto"/>
        </w:rPr>
        <w:t>350 Fifth Avenue, 21st Floor</w:t>
      </w:r>
    </w:p>
    <w:p>
      <w:pPr>
        <w:spacing w:after="0" w:line="23" w:lineRule="exact"/>
        <w:rPr>
          <w:sz w:val="24"/>
          <w:szCs w:val="24"/>
          <w:color w:val="auto"/>
        </w:rPr>
      </w:pPr>
    </w:p>
    <w:p>
      <w:pPr>
        <w:jc w:val="center"/>
        <w:ind w:left="400"/>
        <w:spacing w:after="0"/>
        <w:rPr>
          <w:sz w:val="20"/>
          <w:szCs w:val="20"/>
          <w:color w:val="auto"/>
        </w:rPr>
      </w:pPr>
      <w:r>
        <w:rPr>
          <w:rFonts w:ascii="Arial" w:cs="Arial" w:eastAsia="Arial" w:hAnsi="Arial"/>
          <w:sz w:val="16"/>
          <w:szCs w:val="16"/>
          <w:b w:val="1"/>
          <w:bCs w:val="1"/>
          <w:color w:val="auto"/>
        </w:rPr>
        <w:t>New York, NY 10118</w:t>
      </w:r>
    </w:p>
    <w:p>
      <w:pPr>
        <w:spacing w:after="0" w:line="5" w:lineRule="exact"/>
        <w:rPr>
          <w:sz w:val="24"/>
          <w:szCs w:val="24"/>
          <w:color w:val="auto"/>
        </w:rPr>
      </w:pPr>
    </w:p>
    <w:p>
      <w:pPr>
        <w:jc w:val="center"/>
        <w:ind w:left="400"/>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41" w:lineRule="exact"/>
        <w:rPr>
          <w:sz w:val="24"/>
          <w:szCs w:val="24"/>
          <w:color w:val="auto"/>
        </w:rPr>
      </w:pPr>
    </w:p>
    <w:p>
      <w:pPr>
        <w:jc w:val="center"/>
        <w:ind w:left="40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646</w:t>
      </w:r>
      <w:r>
        <w:rPr>
          <w:rFonts w:ascii="Arial" w:cs="Arial" w:eastAsia="Arial" w:hAnsi="Arial"/>
          <w:sz w:val="16"/>
          <w:szCs w:val="16"/>
          <w:color w:val="auto"/>
        </w:rPr>
        <w:t xml:space="preserve">) </w:t>
      </w:r>
      <w:r>
        <w:rPr>
          <w:rFonts w:ascii="Arial" w:cs="Arial" w:eastAsia="Arial" w:hAnsi="Arial"/>
          <w:sz w:val="17"/>
          <w:szCs w:val="17"/>
          <w:color w:val="auto"/>
        </w:rPr>
        <w:t>710-3417</w:t>
      </w:r>
    </w:p>
    <w:p>
      <w:pPr>
        <w:spacing w:after="0" w:line="35"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(Registrant’s telephone number, including area code)</w:t>
      </w:r>
    </w:p>
    <w:p>
      <w:pPr>
        <w:spacing w:after="0" w:line="49" w:lineRule="exact"/>
        <w:rPr>
          <w:sz w:val="24"/>
          <w:szCs w:val="24"/>
          <w:color w:val="auto"/>
        </w:rPr>
      </w:pPr>
    </w:p>
    <w:p>
      <w:pPr>
        <w:ind w:left="5360"/>
        <w:spacing w:after="0"/>
        <w:rPr>
          <w:sz w:val="20"/>
          <w:szCs w:val="20"/>
          <w:color w:val="auto"/>
        </w:rPr>
      </w:pPr>
      <w:r>
        <w:rPr>
          <w:rFonts w:ascii="Arial" w:cs="Arial" w:eastAsia="Arial" w:hAnsi="Arial"/>
          <w:sz w:val="16"/>
          <w:szCs w:val="16"/>
          <w:color w:val="auto"/>
        </w:rPr>
        <w:t>Not applicable</w:t>
      </w:r>
    </w:p>
    <w:p>
      <w:pPr>
        <w:spacing w:after="0" w:line="18" w:lineRule="exact"/>
        <w:rPr>
          <w:sz w:val="24"/>
          <w:szCs w:val="24"/>
          <w:color w:val="auto"/>
        </w:rPr>
      </w:pPr>
    </w:p>
    <w:p>
      <w:pPr>
        <w:jc w:val="center"/>
        <w:ind w:left="40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ind w:left="288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w:t>
      </w:r>
    </w:p>
    <w:p>
      <w:pPr>
        <w:spacing w:after="0" w:line="225" w:lineRule="exact"/>
        <w:rPr>
          <w:sz w:val="24"/>
          <w:szCs w:val="24"/>
          <w:color w:val="auto"/>
        </w:rPr>
      </w:pPr>
    </w:p>
    <w:p>
      <w:pPr>
        <w:ind w:left="4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720" w:type="dxa"/>
        <w:tblCellMar>
          <w:top w:w="0" w:type="dxa"/>
          <w:left w:w="0" w:type="dxa"/>
          <w:bottom w:w="0" w:type="dxa"/>
          <w:right w:w="0" w:type="dxa"/>
        </w:tblCellMar>
      </w:tblPr>
      <w:tr>
        <w:trPr>
          <w:trHeight w:val="206"/>
        </w:trPr>
        <w:tc>
          <w:tcPr>
            <w:tcW w:w="398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Trading Symbol(s)</w:t>
            </w:r>
          </w:p>
        </w:tc>
        <w:tc>
          <w:tcPr>
            <w:tcW w:w="36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0"/>
        </w:trPr>
        <w:tc>
          <w:tcPr>
            <w:tcW w:w="3980" w:type="dxa"/>
            <w:vAlign w:val="bottom"/>
          </w:tcPr>
          <w:p>
            <w:pPr>
              <w:jc w:val="center"/>
              <w:ind w:left="508"/>
              <w:spacing w:after="0"/>
              <w:rPr>
                <w:sz w:val="20"/>
                <w:szCs w:val="20"/>
                <w:color w:val="auto"/>
              </w:rPr>
            </w:pPr>
            <w:r>
              <w:rPr>
                <w:rFonts w:ascii="Arial" w:cs="Arial" w:eastAsia="Arial" w:hAnsi="Arial"/>
                <w:sz w:val="14"/>
                <w:szCs w:val="14"/>
                <w:b w:val="1"/>
                <w:bCs w:val="1"/>
                <w:color w:val="auto"/>
                <w:w w:val="92"/>
              </w:rPr>
              <w:t>Common Stock, $0.01 par value per share</w:t>
            </w:r>
          </w:p>
        </w:tc>
        <w:tc>
          <w:tcPr>
            <w:tcW w:w="214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SSTK</w:t>
            </w:r>
          </w:p>
        </w:tc>
        <w:tc>
          <w:tcPr>
            <w:tcW w:w="368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New York Stock Exchange</w:t>
            </w:r>
          </w:p>
        </w:tc>
      </w:tr>
    </w:tbl>
    <w:p>
      <w:pPr>
        <w:spacing w:after="0" w:line="120" w:lineRule="exact"/>
        <w:rPr>
          <w:sz w:val="24"/>
          <w:szCs w:val="24"/>
          <w:color w:val="auto"/>
        </w:rPr>
      </w:pPr>
    </w:p>
    <w:p>
      <w:pPr>
        <w:ind w:right="40" w:firstLine="405"/>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0" w:lineRule="exact"/>
        <w:rPr>
          <w:sz w:val="24"/>
          <w:szCs w:val="24"/>
          <w:color w:val="auto"/>
        </w:rPr>
      </w:pPr>
    </w:p>
    <w:p>
      <w:pPr>
        <w:ind w:firstLine="405"/>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0" w:lineRule="exact"/>
        <w:rPr>
          <w:sz w:val="24"/>
          <w:szCs w:val="24"/>
          <w:color w:val="auto"/>
        </w:rPr>
      </w:pPr>
    </w:p>
    <w:p>
      <w:pPr>
        <w:jc w:val="both"/>
        <w:ind w:right="460" w:firstLine="405"/>
        <w:spacing w:after="0" w:line="34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30"/>
        </w:trPr>
        <w:tc>
          <w:tcPr>
            <w:tcW w:w="2560" w:type="dxa"/>
            <w:vAlign w:val="bottom"/>
          </w:tcPr>
          <w:p>
            <w:pPr>
              <w:jc w:val="right"/>
              <w:ind w:right="41"/>
              <w:spacing w:after="0"/>
              <w:rPr>
                <w:sz w:val="20"/>
                <w:szCs w:val="20"/>
                <w:color w:val="auto"/>
              </w:rPr>
            </w:pPr>
            <w:r>
              <w:rPr>
                <w:rFonts w:ascii="Arial" w:cs="Arial" w:eastAsia="Arial" w:hAnsi="Arial"/>
                <w:sz w:val="15"/>
                <w:szCs w:val="15"/>
                <w:color w:val="auto"/>
              </w:rPr>
              <w:t>Large accelerated filer</w:t>
            </w:r>
          </w:p>
        </w:tc>
        <w:tc>
          <w:tcPr>
            <w:tcW w:w="490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880" w:type="dxa"/>
            <w:vAlign w:val="bottom"/>
          </w:tcPr>
          <w:p>
            <w:pPr>
              <w:jc w:val="right"/>
              <w:ind w:right="24"/>
              <w:spacing w:after="0"/>
              <w:rPr>
                <w:sz w:val="20"/>
                <w:szCs w:val="20"/>
                <w:color w:val="auto"/>
              </w:rPr>
            </w:pPr>
            <w:r>
              <w:rPr>
                <w:rFonts w:ascii="Arial" w:cs="Arial" w:eastAsia="Arial" w:hAnsi="Arial"/>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jc w:val="right"/>
              <w:ind w:right="41"/>
              <w:spacing w:after="0"/>
              <w:rPr>
                <w:sz w:val="20"/>
                <w:szCs w:val="20"/>
                <w:color w:val="auto"/>
              </w:rPr>
            </w:pPr>
            <w:r>
              <w:rPr>
                <w:rFonts w:ascii="Arial" w:cs="Arial" w:eastAsia="Arial" w:hAnsi="Arial"/>
                <w:sz w:val="15"/>
                <w:szCs w:val="15"/>
                <w:color w:val="auto"/>
              </w:rPr>
              <w:t>Non-accelerated filer</w:t>
            </w:r>
          </w:p>
        </w:tc>
        <w:tc>
          <w:tcPr>
            <w:tcW w:w="490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880" w:type="dxa"/>
            <w:vAlign w:val="bottom"/>
          </w:tcPr>
          <w:p>
            <w:pPr>
              <w:jc w:val="right"/>
              <w:ind w:right="24"/>
              <w:spacing w:after="0"/>
              <w:rPr>
                <w:sz w:val="20"/>
                <w:szCs w:val="20"/>
                <w:color w:val="auto"/>
              </w:rPr>
            </w:pPr>
            <w:r>
              <w:rPr>
                <w:rFonts w:ascii="Arial" w:cs="Arial" w:eastAsia="Arial" w:hAnsi="Arial"/>
                <w:sz w:val="15"/>
                <w:szCs w:val="15"/>
                <w:color w:val="auto"/>
                <w:w w:val="98"/>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56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880" w:type="dxa"/>
            <w:vAlign w:val="bottom"/>
          </w:tcPr>
          <w:p>
            <w:pPr>
              <w:jc w:val="right"/>
              <w:ind w:right="24"/>
              <w:spacing w:after="0"/>
              <w:rPr>
                <w:sz w:val="20"/>
                <w:szCs w:val="20"/>
                <w:color w:val="auto"/>
              </w:rPr>
            </w:pPr>
            <w:r>
              <w:rPr>
                <w:rFonts w:ascii="Arial" w:cs="Arial" w:eastAsia="Arial" w:hAnsi="Arial"/>
                <w:sz w:val="15"/>
                <w:szCs w:val="15"/>
                <w:color w:val="auto"/>
                <w:w w:val="98"/>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0720" w:type="dxa"/>
            <w:vAlign w:val="bottom"/>
            <w:gridSpan w:val="6"/>
          </w:tcPr>
          <w:p>
            <w:pPr>
              <w:spacing w:after="0"/>
              <w:rPr>
                <w:sz w:val="20"/>
                <w:szCs w:val="20"/>
                <w:color w:val="auto"/>
              </w:rPr>
            </w:pPr>
            <w:r>
              <w:rPr>
                <w:rFonts w:ascii="Arial" w:cs="Arial" w:eastAsia="Arial" w:hAnsi="Arial"/>
                <w:sz w:val="16"/>
                <w:szCs w:val="16"/>
                <w:color w:val="auto"/>
                <w:w w:val="92"/>
              </w:rPr>
              <w:t>If an emerging growth company, indicate by check mark if the registrant has elected not to use the extended transition period for complying with any new or revised</w:t>
            </w:r>
          </w:p>
        </w:tc>
        <w:tc>
          <w:tcPr>
            <w:tcW w:w="26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1880" w:type="dxa"/>
            <w:vAlign w:val="bottom"/>
          </w:tcPr>
          <w:p>
            <w:pPr>
              <w:spacing w:after="0"/>
              <w:rPr>
                <w:sz w:val="18"/>
                <w:szCs w:val="18"/>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18"/>
                <w:szCs w:val="18"/>
                <w:color w:val="auto"/>
              </w:rPr>
            </w:pPr>
          </w:p>
        </w:tc>
        <w:tc>
          <w:tcPr>
            <w:tcW w:w="48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60" w:type="dxa"/>
            <w:vAlign w:val="bottom"/>
            <w:gridSpan w:val="2"/>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w:t>
            </w:r>
          </w:p>
        </w:tc>
        <w:tc>
          <w:tcPr>
            <w:tcW w:w="18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6"/>
                <w:szCs w:val="16"/>
                <w:color w:val="auto"/>
              </w:rPr>
              <w:t>Yes</w:t>
            </w:r>
          </w:p>
        </w:tc>
        <w:tc>
          <w:tcPr>
            <w:tcW w:w="480" w:type="dxa"/>
            <w:vAlign w:val="bottom"/>
            <w:vMerge w:val="continue"/>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6"/>
                <w:szCs w:val="16"/>
                <w:color w:val="auto"/>
                <w:w w:val="87"/>
              </w:rPr>
              <w:t>No</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4"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April 23, 2021, 36,555,123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left="40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ind w:left="4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Page No.</w:t>
            </w:r>
          </w:p>
        </w:tc>
      </w:tr>
      <w:tr>
        <w:trPr>
          <w:trHeight w:val="216"/>
        </w:trPr>
        <w:tc>
          <w:tcPr>
            <w:tcW w:w="10240" w:type="dxa"/>
            <w:vAlign w:val="bottom"/>
            <w:gridSpan w:val="22"/>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 FINANCIAL INFORMATION</w:t>
              </w:r>
            </w:hyperlink>
          </w:p>
        </w:tc>
        <w:tc>
          <w:tcPr>
            <w:tcW w:w="960" w:type="dxa"/>
            <w:vAlign w:val="bottom"/>
          </w:tcPr>
          <w:p>
            <w:pPr>
              <w:spacing w:after="0"/>
              <w:rPr>
                <w:sz w:val="18"/>
                <w:szCs w:val="18"/>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1020" w:type="dxa"/>
            <w:vAlign w:val="bottom"/>
            <w:gridSpan w:val="5"/>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p>
        </w:tc>
        <w:tc>
          <w:tcPr>
            <w:tcW w:w="9220" w:type="dxa"/>
            <w:vAlign w:val="bottom"/>
            <w:gridSpan w:val="17"/>
          </w:tcPr>
          <w:p>
            <w:pPr>
              <w:ind w:left="80"/>
              <w:spacing w:after="0"/>
              <w:rPr>
                <w:rFonts w:ascii="Arial" w:cs="Arial" w:eastAsia="Arial" w:hAnsi="Arial"/>
                <w:sz w:val="16"/>
                <w:szCs w:val="16"/>
                <w:color w:val="0000FF"/>
              </w:rPr>
            </w:pPr>
            <w:hyperlink w:anchor="page4">
              <w:r>
                <w:rPr>
                  <w:rFonts w:ascii="Arial" w:cs="Arial" w:eastAsia="Arial" w:hAnsi="Arial"/>
                  <w:sz w:val="16"/>
                  <w:szCs w:val="16"/>
                  <w:color w:val="0000FF"/>
                </w:rPr>
                <w:t>Financial Statements (Unaudited)</w:t>
              </w:r>
            </w:hyperlink>
          </w:p>
        </w:tc>
        <w:tc>
          <w:tcPr>
            <w:tcW w:w="960" w:type="dxa"/>
            <w:vAlign w:val="bottom"/>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r>
      <w:tr>
        <w:trPr>
          <w:trHeight w:val="196"/>
        </w:trPr>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60" w:type="dxa"/>
            <w:vAlign w:val="bottom"/>
            <w:tcBorders>
              <w:top w:val="single" w:sz="8" w:color="0000FF"/>
            </w:tcBorders>
            <w:gridSpan w:val="7"/>
          </w:tcPr>
          <w:p>
            <w:pPr>
              <w:spacing w:after="0"/>
              <w:rPr>
                <w:rFonts w:ascii="Arial" w:cs="Arial" w:eastAsia="Arial" w:hAnsi="Arial"/>
                <w:sz w:val="16"/>
                <w:szCs w:val="16"/>
                <w:color w:val="0000FF"/>
                <w:w w:val="97"/>
              </w:rPr>
            </w:pPr>
            <w:hyperlink w:anchor="page4">
              <w:r>
                <w:rPr>
                  <w:rFonts w:ascii="Arial" w:cs="Arial" w:eastAsia="Arial" w:hAnsi="Arial"/>
                  <w:sz w:val="16"/>
                  <w:szCs w:val="16"/>
                  <w:color w:val="0000FF"/>
                  <w:w w:val="97"/>
                </w:rPr>
                <w:t>Consolidated Balance Sheets</w:t>
              </w:r>
            </w:hyperlink>
          </w:p>
        </w:tc>
        <w:tc>
          <w:tcPr>
            <w:tcW w:w="6960" w:type="dxa"/>
            <w:vAlign w:val="bottom"/>
            <w:gridSpan w:val="8"/>
          </w:tcPr>
          <w:p>
            <w:pPr>
              <w:spacing w:after="0"/>
              <w:rPr>
                <w:sz w:val="17"/>
                <w:szCs w:val="17"/>
                <w:color w:val="auto"/>
              </w:rPr>
            </w:pPr>
          </w:p>
        </w:tc>
        <w:tc>
          <w:tcPr>
            <w:tcW w:w="960" w:type="dxa"/>
            <w:vAlign w:val="bottom"/>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bottom w:val="single" w:sz="8" w:color="0000FF"/>
            </w:tcBorders>
            <w:gridSpan w:val="8"/>
          </w:tcPr>
          <w:p>
            <w:pPr>
              <w:spacing w:after="0"/>
              <w:rPr>
                <w:rFonts w:ascii="Arial" w:cs="Arial" w:eastAsia="Arial" w:hAnsi="Arial"/>
                <w:sz w:val="16"/>
                <w:szCs w:val="16"/>
                <w:color w:val="0000FF"/>
                <w:w w:val="90"/>
              </w:rPr>
            </w:pPr>
            <w:hyperlink w:anchor="page4">
              <w:r>
                <w:rPr>
                  <w:rFonts w:ascii="Arial" w:cs="Arial" w:eastAsia="Arial" w:hAnsi="Arial"/>
                  <w:sz w:val="16"/>
                  <w:szCs w:val="16"/>
                  <w:color w:val="0000FF"/>
                  <w:w w:val="90"/>
                </w:rPr>
                <w:t>Consolidated Statements of Operations</w:t>
              </w:r>
            </w:hyperlink>
          </w:p>
        </w:tc>
        <w:tc>
          <w:tcPr>
            <w:tcW w:w="6480" w:type="dxa"/>
            <w:vAlign w:val="bottom"/>
            <w:gridSpan w:val="7"/>
          </w:tcPr>
          <w:p>
            <w:pPr>
              <w:spacing w:after="0"/>
              <w:rPr>
                <w:sz w:val="17"/>
                <w:szCs w:val="17"/>
                <w:color w:val="auto"/>
              </w:rPr>
            </w:pPr>
          </w:p>
        </w:tc>
        <w:tc>
          <w:tcPr>
            <w:tcW w:w="960" w:type="dxa"/>
            <w:vAlign w:val="bottom"/>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r>
      <w:tr>
        <w:trPr>
          <w:trHeight w:val="19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20" w:type="dxa"/>
            <w:vAlign w:val="bottom"/>
            <w:gridSpan w:val="15"/>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Consolidated Statements of Comprehensive Income</w:t>
              </w:r>
            </w:hyperlink>
          </w:p>
        </w:tc>
        <w:tc>
          <w:tcPr>
            <w:tcW w:w="960" w:type="dxa"/>
            <w:vAlign w:val="bottom"/>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r>
      <w:tr>
        <w:trPr>
          <w:trHeight w:val="19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11"/>
          </w:tcPr>
          <w:p>
            <w:pPr>
              <w:spacing w:after="0"/>
              <w:rPr>
                <w:rFonts w:ascii="Arial" w:cs="Arial" w:eastAsia="Arial" w:hAnsi="Arial"/>
                <w:sz w:val="16"/>
                <w:szCs w:val="16"/>
                <w:color w:val="0000FF"/>
                <w:w w:val="91"/>
              </w:rPr>
            </w:pPr>
            <w:hyperlink w:anchor="page6">
              <w:r>
                <w:rPr>
                  <w:rFonts w:ascii="Arial" w:cs="Arial" w:eastAsia="Arial" w:hAnsi="Arial"/>
                  <w:sz w:val="16"/>
                  <w:szCs w:val="16"/>
                  <w:color w:val="0000FF"/>
                  <w:w w:val="91"/>
                </w:rPr>
                <w:t>Consolidated Statements of Stockholders’ Equity</w:t>
              </w:r>
            </w:hyperlink>
          </w:p>
        </w:tc>
        <w:tc>
          <w:tcPr>
            <w:tcW w:w="160" w:type="dxa"/>
            <w:vAlign w:val="bottom"/>
            <w:tcBorders>
              <w:top w:val="single" w:sz="8" w:color="0000FF"/>
            </w:tcBorders>
          </w:tcPr>
          <w:p>
            <w:pPr>
              <w:spacing w:after="0"/>
              <w:rPr>
                <w:sz w:val="17"/>
                <w:szCs w:val="17"/>
                <w:color w:val="auto"/>
              </w:rPr>
            </w:pPr>
          </w:p>
        </w:tc>
        <w:tc>
          <w:tcPr>
            <w:tcW w:w="5660" w:type="dxa"/>
            <w:vAlign w:val="bottom"/>
            <w:gridSpan w:val="3"/>
          </w:tcPr>
          <w:p>
            <w:pPr>
              <w:spacing w:after="0"/>
              <w:rPr>
                <w:sz w:val="17"/>
                <w:szCs w:val="17"/>
                <w:color w:val="auto"/>
              </w:rPr>
            </w:pPr>
          </w:p>
        </w:tc>
        <w:tc>
          <w:tcPr>
            <w:tcW w:w="960" w:type="dxa"/>
            <w:vAlign w:val="bottom"/>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r>
      <w:tr>
        <w:trPr>
          <w:trHeight w:val="19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20" w:type="dxa"/>
            <w:vAlign w:val="bottom"/>
            <w:gridSpan w:val="15"/>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Consolidated Statements of Cash Flows</w:t>
              </w:r>
            </w:hyperlink>
          </w:p>
        </w:tc>
        <w:tc>
          <w:tcPr>
            <w:tcW w:w="960" w:type="dxa"/>
            <w:vAlign w:val="bottom"/>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8</w:t>
              </w:r>
            </w:hyperlink>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0000FF"/>
            </w:tcBorders>
            <w:gridSpan w:val="10"/>
          </w:tcPr>
          <w:p>
            <w:pPr>
              <w:spacing w:after="0"/>
              <w:rPr>
                <w:rFonts w:ascii="Arial" w:cs="Arial" w:eastAsia="Arial" w:hAnsi="Arial"/>
                <w:sz w:val="16"/>
                <w:szCs w:val="16"/>
                <w:color w:val="0000FF"/>
                <w:w w:val="90"/>
              </w:rPr>
            </w:pPr>
            <w:hyperlink w:anchor="page8">
              <w:r>
                <w:rPr>
                  <w:rFonts w:ascii="Arial" w:cs="Arial" w:eastAsia="Arial" w:hAnsi="Arial"/>
                  <w:sz w:val="16"/>
                  <w:szCs w:val="16"/>
                  <w:color w:val="0000FF"/>
                  <w:w w:val="90"/>
                </w:rPr>
                <w:t>Notes to Consolidated Financial Statements</w:t>
              </w:r>
            </w:hyperlink>
          </w:p>
        </w:tc>
        <w:tc>
          <w:tcPr>
            <w:tcW w:w="6180" w:type="dxa"/>
            <w:vAlign w:val="bottom"/>
            <w:gridSpan w:val="5"/>
          </w:tcPr>
          <w:p>
            <w:pPr>
              <w:spacing w:after="0"/>
              <w:rPr>
                <w:sz w:val="17"/>
                <w:szCs w:val="17"/>
                <w:color w:val="auto"/>
              </w:rPr>
            </w:pPr>
          </w:p>
        </w:tc>
        <w:tc>
          <w:tcPr>
            <w:tcW w:w="960" w:type="dxa"/>
            <w:vAlign w:val="bottom"/>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9</w:t>
              </w:r>
            </w:hyperlink>
          </w:p>
        </w:tc>
      </w:tr>
      <w:tr>
        <w:trPr>
          <w:trHeight w:val="196"/>
        </w:trPr>
        <w:tc>
          <w:tcPr>
            <w:tcW w:w="580" w:type="dxa"/>
            <w:vAlign w:val="bottom"/>
            <w:gridSpan w:val="4"/>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Item 2.</w:t>
              </w:r>
            </w:hyperlink>
          </w:p>
        </w:tc>
        <w:tc>
          <w:tcPr>
            <w:tcW w:w="440" w:type="dxa"/>
            <w:vAlign w:val="bottom"/>
          </w:tcPr>
          <w:p>
            <w:pPr>
              <w:spacing w:after="0"/>
              <w:rPr>
                <w:sz w:val="17"/>
                <w:szCs w:val="17"/>
                <w:color w:val="auto"/>
              </w:rPr>
            </w:pPr>
          </w:p>
        </w:tc>
        <w:tc>
          <w:tcPr>
            <w:tcW w:w="9220" w:type="dxa"/>
            <w:vAlign w:val="bottom"/>
            <w:gridSpan w:val="17"/>
          </w:tcPr>
          <w:p>
            <w:pPr>
              <w:ind w:left="80"/>
              <w:spacing w:after="0"/>
              <w:rPr>
                <w:rFonts w:ascii="Arial" w:cs="Arial" w:eastAsia="Arial" w:hAnsi="Arial"/>
                <w:sz w:val="16"/>
                <w:szCs w:val="16"/>
                <w:color w:val="0000FF"/>
              </w:rPr>
            </w:pPr>
            <w:hyperlink w:anchor="page19">
              <w:r>
                <w:rPr>
                  <w:rFonts w:ascii="Arial" w:cs="Arial" w:eastAsia="Arial" w:hAnsi="Arial"/>
                  <w:sz w:val="16"/>
                  <w:szCs w:val="16"/>
                  <w:color w:val="0000FF"/>
                </w:rPr>
                <w:t>Management’s Discussion and Analysis of Financial Condition and Results of Operations</w:t>
              </w:r>
            </w:hyperlink>
          </w:p>
        </w:tc>
        <w:tc>
          <w:tcPr>
            <w:tcW w:w="960" w:type="dxa"/>
            <w:vAlign w:val="bottom"/>
          </w:tcPr>
          <w:p>
            <w:pPr>
              <w:jc w:val="right"/>
              <w:spacing w:after="0"/>
              <w:rPr>
                <w:rFonts w:ascii="Arial" w:cs="Arial" w:eastAsia="Arial" w:hAnsi="Arial"/>
                <w:sz w:val="16"/>
                <w:szCs w:val="16"/>
                <w:color w:val="0000FF"/>
              </w:rPr>
            </w:pPr>
            <w:hyperlink w:anchor="page19">
              <w:r>
                <w:rPr>
                  <w:rFonts w:ascii="Arial" w:cs="Arial" w:eastAsia="Arial" w:hAnsi="Arial"/>
                  <w:sz w:val="16"/>
                  <w:szCs w:val="16"/>
                  <w:color w:val="0000FF"/>
                </w:rPr>
                <w:t>20</w:t>
              </w:r>
            </w:hyperlink>
          </w:p>
        </w:tc>
      </w:tr>
      <w:tr>
        <w:trPr>
          <w:trHeight w:val="20"/>
        </w:trPr>
        <w:tc>
          <w:tcPr>
            <w:tcW w:w="3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20" w:type="dxa"/>
            <w:vAlign w:val="bottom"/>
            <w:tcBorders>
              <w:left w:val="single" w:sz="8" w:color="0000FF"/>
            </w:tcBorders>
            <w:gridSpan w:val="8"/>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80" w:type="dxa"/>
            <w:vAlign w:val="bottom"/>
            <w:gridSpan w:val="3"/>
          </w:tcPr>
          <w:p>
            <w:pPr>
              <w:spacing w:after="0"/>
              <w:rPr>
                <w:rFonts w:ascii="Arial" w:cs="Arial" w:eastAsia="Arial" w:hAnsi="Arial"/>
                <w:sz w:val="16"/>
                <w:szCs w:val="16"/>
                <w:color w:val="0000FF"/>
                <w:w w:val="93"/>
              </w:rPr>
            </w:pPr>
            <w:hyperlink w:anchor="page33">
              <w:r>
                <w:rPr>
                  <w:rFonts w:ascii="Arial" w:cs="Arial" w:eastAsia="Arial" w:hAnsi="Arial"/>
                  <w:sz w:val="16"/>
                  <w:szCs w:val="16"/>
                  <w:color w:val="0000FF"/>
                  <w:w w:val="93"/>
                </w:rPr>
                <w:t>Item 3.</w:t>
              </w:r>
            </w:hyperlink>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20" w:type="dxa"/>
            <w:vAlign w:val="bottom"/>
            <w:gridSpan w:val="17"/>
          </w:tcPr>
          <w:p>
            <w:pPr>
              <w:ind w:left="80"/>
              <w:spacing w:after="0"/>
              <w:rPr>
                <w:rFonts w:ascii="Arial" w:cs="Arial" w:eastAsia="Arial" w:hAnsi="Arial"/>
                <w:sz w:val="16"/>
                <w:szCs w:val="16"/>
                <w:color w:val="0000FF"/>
              </w:rPr>
            </w:pPr>
            <w:hyperlink w:anchor="page33">
              <w:r>
                <w:rPr>
                  <w:rFonts w:ascii="Arial" w:cs="Arial" w:eastAsia="Arial" w:hAnsi="Arial"/>
                  <w:sz w:val="16"/>
                  <w:szCs w:val="16"/>
                  <w:color w:val="0000FF"/>
                </w:rPr>
                <w:t>Quantitative and Qualitative Disclosures About Market Risk</w:t>
              </w:r>
            </w:hyperlink>
          </w:p>
        </w:tc>
        <w:tc>
          <w:tcPr>
            <w:tcW w:w="960" w:type="dxa"/>
            <w:vAlign w:val="bottom"/>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20" w:type="dxa"/>
            <w:vAlign w:val="bottom"/>
            <w:tcBorders>
              <w:left w:val="single" w:sz="8" w:color="0000FF"/>
            </w:tcBorders>
            <w:gridSpan w:val="8"/>
            <w:shd w:val="clear" w:color="auto" w:fill="0000FF"/>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80" w:type="dxa"/>
            <w:vAlign w:val="bottom"/>
            <w:gridSpan w:val="3"/>
          </w:tcPr>
          <w:p>
            <w:pPr>
              <w:spacing w:after="0"/>
              <w:rPr>
                <w:rFonts w:ascii="Arial" w:cs="Arial" w:eastAsia="Arial" w:hAnsi="Arial"/>
                <w:sz w:val="16"/>
                <w:szCs w:val="16"/>
                <w:color w:val="0000FF"/>
                <w:w w:val="93"/>
              </w:rPr>
            </w:pPr>
            <w:hyperlink w:anchor="page34">
              <w:r>
                <w:rPr>
                  <w:rFonts w:ascii="Arial" w:cs="Arial" w:eastAsia="Arial" w:hAnsi="Arial"/>
                  <w:sz w:val="16"/>
                  <w:szCs w:val="16"/>
                  <w:color w:val="0000FF"/>
                  <w:w w:val="93"/>
                </w:rPr>
                <w:t>Item 4.</w:t>
              </w:r>
            </w:hyperlink>
          </w:p>
        </w:tc>
        <w:tc>
          <w:tcPr>
            <w:tcW w:w="540" w:type="dxa"/>
            <w:vAlign w:val="bottom"/>
            <w:gridSpan w:val="2"/>
          </w:tcPr>
          <w:p>
            <w:pPr>
              <w:spacing w:after="0"/>
              <w:rPr>
                <w:sz w:val="17"/>
                <w:szCs w:val="17"/>
                <w:color w:val="auto"/>
              </w:rPr>
            </w:pPr>
          </w:p>
        </w:tc>
        <w:tc>
          <w:tcPr>
            <w:tcW w:w="9220" w:type="dxa"/>
            <w:vAlign w:val="bottom"/>
            <w:gridSpan w:val="17"/>
          </w:tcPr>
          <w:p>
            <w:pPr>
              <w:ind w:left="80"/>
              <w:spacing w:after="0"/>
              <w:rPr>
                <w:rFonts w:ascii="Arial" w:cs="Arial" w:eastAsia="Arial" w:hAnsi="Arial"/>
                <w:sz w:val="16"/>
                <w:szCs w:val="16"/>
                <w:color w:val="0000FF"/>
              </w:rPr>
            </w:pPr>
            <w:hyperlink w:anchor="page34">
              <w:r>
                <w:rPr>
                  <w:rFonts w:ascii="Arial" w:cs="Arial" w:eastAsia="Arial" w:hAnsi="Arial"/>
                  <w:sz w:val="16"/>
                  <w:szCs w:val="16"/>
                  <w:color w:val="0000FF"/>
                </w:rPr>
                <w:t>Controls and Procedures</w:t>
              </w:r>
            </w:hyperlink>
          </w:p>
        </w:tc>
        <w:tc>
          <w:tcPr>
            <w:tcW w:w="960" w:type="dxa"/>
            <w:vAlign w:val="bottom"/>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35</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2500" w:type="dxa"/>
            <w:vAlign w:val="bottom"/>
            <w:tcBorders>
              <w:bottom w:val="single" w:sz="8" w:color="0000FF"/>
            </w:tcBorders>
            <w:gridSpan w:val="11"/>
          </w:tcPr>
          <w:p>
            <w:pPr>
              <w:spacing w:after="0"/>
              <w:rPr>
                <w:rFonts w:ascii="Arial" w:cs="Arial" w:eastAsia="Arial" w:hAnsi="Arial"/>
                <w:sz w:val="16"/>
                <w:szCs w:val="16"/>
                <w:b w:val="1"/>
                <w:bCs w:val="1"/>
                <w:color w:val="0000FF"/>
              </w:rPr>
            </w:pPr>
            <w:hyperlink w:anchor="page35">
              <w:r>
                <w:rPr>
                  <w:rFonts w:ascii="Arial" w:cs="Arial" w:eastAsia="Arial" w:hAnsi="Arial"/>
                  <w:sz w:val="16"/>
                  <w:szCs w:val="16"/>
                  <w:b w:val="1"/>
                  <w:bCs w:val="1"/>
                  <w:color w:val="0000FF"/>
                </w:rPr>
                <w:t>PART II. OTHER INFORMATION</w:t>
              </w:r>
            </w:hyperlink>
          </w:p>
        </w:tc>
        <w:tc>
          <w:tcPr>
            <w:tcW w:w="7740" w:type="dxa"/>
            <w:vAlign w:val="bottom"/>
            <w:gridSpan w:val="11"/>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580" w:type="dxa"/>
            <w:vAlign w:val="bottom"/>
            <w:gridSpan w:val="4"/>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1.</w:t>
              </w:r>
            </w:hyperlink>
          </w:p>
        </w:tc>
        <w:tc>
          <w:tcPr>
            <w:tcW w:w="440" w:type="dxa"/>
            <w:vAlign w:val="bottom"/>
          </w:tcPr>
          <w:p>
            <w:pPr>
              <w:spacing w:after="0"/>
              <w:rPr>
                <w:sz w:val="21"/>
                <w:szCs w:val="21"/>
                <w:color w:val="auto"/>
              </w:rPr>
            </w:pPr>
          </w:p>
        </w:tc>
        <w:tc>
          <w:tcPr>
            <w:tcW w:w="9220" w:type="dxa"/>
            <w:vAlign w:val="bottom"/>
            <w:gridSpan w:val="17"/>
          </w:tcPr>
          <w:p>
            <w:pPr>
              <w:ind w:left="80"/>
              <w:spacing w:after="0"/>
              <w:rPr>
                <w:rFonts w:ascii="Arial" w:cs="Arial" w:eastAsia="Arial" w:hAnsi="Arial"/>
                <w:sz w:val="16"/>
                <w:szCs w:val="16"/>
                <w:color w:val="0000FF"/>
              </w:rPr>
            </w:pPr>
            <w:hyperlink w:anchor="page36">
              <w:r>
                <w:rPr>
                  <w:rFonts w:ascii="Arial" w:cs="Arial" w:eastAsia="Arial" w:hAnsi="Arial"/>
                  <w:sz w:val="16"/>
                  <w:szCs w:val="16"/>
                  <w:color w:val="0000FF"/>
                </w:rPr>
                <w:t>Legal Proceedings</w:t>
              </w:r>
            </w:hyperlink>
          </w:p>
        </w:tc>
        <w:tc>
          <w:tcPr>
            <w:tcW w:w="960" w:type="dxa"/>
            <w:vAlign w:val="bottom"/>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3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94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20" w:type="dxa"/>
            <w:vAlign w:val="bottom"/>
            <w:gridSpan w:val="5"/>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1A.</w:t>
              </w:r>
            </w:hyperlink>
          </w:p>
        </w:tc>
        <w:tc>
          <w:tcPr>
            <w:tcW w:w="9220" w:type="dxa"/>
            <w:vAlign w:val="bottom"/>
            <w:gridSpan w:val="17"/>
          </w:tcPr>
          <w:p>
            <w:pPr>
              <w:ind w:left="80"/>
              <w:spacing w:after="0"/>
              <w:rPr>
                <w:rFonts w:ascii="Arial" w:cs="Arial" w:eastAsia="Arial" w:hAnsi="Arial"/>
                <w:sz w:val="16"/>
                <w:szCs w:val="16"/>
                <w:color w:val="0000FF"/>
              </w:rPr>
            </w:pPr>
            <w:hyperlink w:anchor="page36">
              <w:r>
                <w:rPr>
                  <w:rFonts w:ascii="Arial" w:cs="Arial" w:eastAsia="Arial" w:hAnsi="Arial"/>
                  <w:sz w:val="16"/>
                  <w:szCs w:val="16"/>
                  <w:color w:val="0000FF"/>
                </w:rPr>
                <w:t>Risk Factors</w:t>
              </w:r>
            </w:hyperlink>
          </w:p>
        </w:tc>
        <w:tc>
          <w:tcPr>
            <w:tcW w:w="960" w:type="dxa"/>
            <w:vAlign w:val="bottom"/>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3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32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80" w:type="dxa"/>
            <w:vAlign w:val="bottom"/>
            <w:gridSpan w:val="3"/>
          </w:tcPr>
          <w:p>
            <w:pPr>
              <w:spacing w:after="0"/>
              <w:rPr>
                <w:rFonts w:ascii="Arial" w:cs="Arial" w:eastAsia="Arial" w:hAnsi="Arial"/>
                <w:sz w:val="16"/>
                <w:szCs w:val="16"/>
                <w:color w:val="0000FF"/>
                <w:w w:val="93"/>
              </w:rPr>
            </w:pPr>
            <w:hyperlink w:anchor="page36">
              <w:r>
                <w:rPr>
                  <w:rFonts w:ascii="Arial" w:cs="Arial" w:eastAsia="Arial" w:hAnsi="Arial"/>
                  <w:sz w:val="16"/>
                  <w:szCs w:val="16"/>
                  <w:color w:val="0000FF"/>
                  <w:w w:val="93"/>
                </w:rPr>
                <w:t>Item 6.</w:t>
              </w:r>
            </w:hyperlink>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20" w:type="dxa"/>
            <w:vAlign w:val="bottom"/>
            <w:gridSpan w:val="17"/>
          </w:tcPr>
          <w:p>
            <w:pPr>
              <w:ind w:left="80"/>
              <w:spacing w:after="0"/>
              <w:rPr>
                <w:rFonts w:ascii="Arial" w:cs="Arial" w:eastAsia="Arial" w:hAnsi="Arial"/>
                <w:sz w:val="16"/>
                <w:szCs w:val="16"/>
                <w:color w:val="0000FF"/>
              </w:rPr>
            </w:pPr>
            <w:hyperlink w:anchor="page36">
              <w:r>
                <w:rPr>
                  <w:rFonts w:ascii="Arial" w:cs="Arial" w:eastAsia="Arial" w:hAnsi="Arial"/>
                  <w:sz w:val="16"/>
                  <w:szCs w:val="16"/>
                  <w:color w:val="0000FF"/>
                </w:rPr>
                <w:t>Exhibits</w:t>
              </w:r>
            </w:hyperlink>
          </w:p>
        </w:tc>
        <w:tc>
          <w:tcPr>
            <w:tcW w:w="960" w:type="dxa"/>
            <w:vAlign w:val="bottom"/>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320" w:type="dxa"/>
            <w:vAlign w:val="bottom"/>
          </w:tcPr>
          <w:p>
            <w:pPr>
              <w:spacing w:after="0"/>
              <w:rPr>
                <w:sz w:val="24"/>
                <w:szCs w:val="24"/>
                <w:color w:val="auto"/>
              </w:rPr>
            </w:pPr>
          </w:p>
        </w:tc>
        <w:tc>
          <w:tcPr>
            <w:tcW w:w="700" w:type="dxa"/>
            <w:vAlign w:val="bottom"/>
            <w:tcBorders>
              <w:bottom w:val="single" w:sz="8" w:color="0000FF"/>
            </w:tcBorders>
            <w:gridSpan w:val="4"/>
          </w:tcPr>
          <w:p>
            <w:pPr>
              <w:ind w:left="20"/>
              <w:spacing w:after="0"/>
              <w:rPr>
                <w:rFonts w:ascii="Arial" w:cs="Arial" w:eastAsia="Arial" w:hAnsi="Arial"/>
                <w:sz w:val="16"/>
                <w:szCs w:val="16"/>
                <w:color w:val="0000FF"/>
                <w:w w:val="86"/>
              </w:rPr>
            </w:pPr>
            <w:hyperlink w:anchor="page37">
              <w:r>
                <w:rPr>
                  <w:rFonts w:ascii="Arial" w:cs="Arial" w:eastAsia="Arial" w:hAnsi="Arial"/>
                  <w:sz w:val="16"/>
                  <w:szCs w:val="16"/>
                  <w:color w:val="0000FF"/>
                  <w:w w:val="86"/>
                </w:rPr>
                <w:t>Signatures</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60" w:type="dxa"/>
            <w:vAlign w:val="bottom"/>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139065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sectPr>
      </w:pPr>
    </w:p>
    <w:bookmarkStart w:id="2" w:name="page3"/>
    <w:bookmarkEnd w:id="2"/>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33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including statements regarding guidance, industry prospects or future results of operations or financial position, are forward-looking. Examples of forward-looking statements include, but are not limited to, statements regarding future business, future results of operations or financial condition, future dividends, new or planned features, products or services, management strategies and the COVID-19 pandemic. You can identify many forward-looking statements by words such as “may,” “will,” “would,” “should,” “could,” “expect,” “aim,” “anticipate,” “believe,” “estimate,” “intend,” “plan” and other similar expressions. However, not all forward-looking statements contain these words. Forward-looking statements involve risks and uncertainties that could cause our actual results to differ materially from those expressed or implied in the forward-looking statements. Such risks and uncertainties include, among others, those discussed under the caption “Risk Factors” in our most recently filed Annual Report on Form 10-K, which was filed with the Securities and Exchange Commission, or the SEC, on February 11, 2021 (our “2020 Form 10-K”), under the caption “Risk Factors” and in our consolidated financial statements, related notes, and the other information appearing elsewhere in such Annual Report, this Quarterly Report on Form 10-Q and our other filings with the SEC. Given these risks and uncertainties, you should not place undue reliance on these forward-looking statements. We do not intend, and, except as required by law, we undertake no obligation, to update any of our forward-looking statements after the date of this report to reflect actual results or future events or circumstances.</w:t>
      </w:r>
    </w:p>
    <w:p>
      <w:pPr>
        <w:spacing w:after="0" w:line="7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“Shutterstock Select,” “Asset Assurance,” “Offset,” “Bigstock,” “Rex Features,” “PremiumBeat,” “TurboSquid” and “Shutterstock Editor”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28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99"/>
              </w:rPr>
              <w:t>PART I.</w:t>
            </w:r>
          </w:p>
        </w:tc>
        <w:tc>
          <w:tcPr>
            <w:tcW w:w="70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040" w:type="dxa"/>
            <w:vAlign w:val="bottom"/>
            <w:gridSpan w:val="2"/>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2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Shutterstock, Inc.</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20" w:type="dxa"/>
            <w:vAlign w:val="bottom"/>
          </w:tcPr>
          <w:p>
            <w:pPr>
              <w:jc w:val="center"/>
              <w:ind w:left="1770"/>
              <w:spacing w:after="0"/>
              <w:rPr>
                <w:sz w:val="20"/>
                <w:szCs w:val="20"/>
                <w:color w:val="auto"/>
              </w:rPr>
            </w:pPr>
            <w:r>
              <w:rPr>
                <w:rFonts w:ascii="Arial" w:cs="Arial" w:eastAsia="Arial" w:hAnsi="Arial"/>
                <w:sz w:val="18"/>
                <w:szCs w:val="18"/>
                <w:b w:val="1"/>
                <w:bCs w:val="1"/>
                <w:color w:val="auto"/>
                <w:w w:val="87"/>
              </w:rPr>
              <w:t>Consolidated Balance Sheets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20" w:type="dxa"/>
            <w:vAlign w:val="bottom"/>
          </w:tcPr>
          <w:p>
            <w:pPr>
              <w:jc w:val="center"/>
              <w:ind w:left="1790"/>
              <w:spacing w:after="0"/>
              <w:rPr>
                <w:sz w:val="20"/>
                <w:szCs w:val="20"/>
                <w:color w:val="auto"/>
              </w:rPr>
            </w:pPr>
            <w:r>
              <w:rPr>
                <w:rFonts w:ascii="Arial" w:cs="Arial" w:eastAsia="Arial" w:hAnsi="Arial"/>
                <w:sz w:val="18"/>
                <w:szCs w:val="18"/>
                <w:b w:val="1"/>
                <w:bCs w:val="1"/>
                <w:color w:val="auto"/>
                <w:w w:val="89"/>
              </w:rPr>
              <w:t>(In thousands, except par value amount)</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(unaudited)</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8"/>
                <w:szCs w:val="18"/>
                <w:color w:val="auto"/>
              </w:rPr>
            </w:pPr>
          </w:p>
        </w:tc>
        <w:tc>
          <w:tcPr>
            <w:tcW w:w="1340" w:type="dxa"/>
            <w:vAlign w:val="bottom"/>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6"/>
              </w:rPr>
              <w:t>ASSETS</w:t>
            </w:r>
          </w:p>
        </w:tc>
        <w:tc>
          <w:tcPr>
            <w:tcW w:w="10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6"/>
        </w:trPr>
        <w:tc>
          <w:tcPr>
            <w:tcW w:w="6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7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Cash and cash equivalents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363,926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428,574</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Accounts receivable, net of allowance of $5,487 and $4,942</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43,846</w:t>
            </w:r>
          </w:p>
        </w:tc>
        <w:tc>
          <w:tcPr>
            <w:tcW w:w="0" w:type="dxa"/>
            <w:vAlign w:val="bottom"/>
          </w:tcPr>
          <w:p>
            <w:pPr>
              <w:spacing w:after="0"/>
              <w:rPr>
                <w:sz w:val="1"/>
                <w:szCs w:val="1"/>
                <w:color w:val="auto"/>
              </w:rPr>
            </w:pPr>
          </w:p>
        </w:tc>
      </w:tr>
      <w:tr>
        <w:trPr>
          <w:trHeight w:val="213"/>
        </w:trPr>
        <w:tc>
          <w:tcPr>
            <w:tcW w:w="420" w:type="dxa"/>
            <w:vAlign w:val="bottom"/>
            <w:tcBorders>
              <w:bottom w:val="single" w:sz="8" w:color="CCEEFF"/>
            </w:tcBorders>
          </w:tcPr>
          <w:p>
            <w:pPr>
              <w:spacing w:after="0"/>
              <w:rPr>
                <w:sz w:val="18"/>
                <w:szCs w:val="18"/>
                <w:color w:val="auto"/>
              </w:rPr>
            </w:pPr>
          </w:p>
        </w:tc>
        <w:tc>
          <w:tcPr>
            <w:tcW w:w="7280" w:type="dxa"/>
            <w:vAlign w:val="bottom"/>
            <w:tcBorders>
              <w:bottom w:val="single" w:sz="8" w:color="CCEEFF"/>
            </w:tcBorders>
            <w:gridSpan w:val="3"/>
          </w:tcPr>
          <w:p>
            <w:pPr>
              <w:ind w:left="6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27,401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16,650</w:t>
            </w:r>
          </w:p>
        </w:tc>
        <w:tc>
          <w:tcPr>
            <w:tcW w:w="0" w:type="dxa"/>
            <w:vAlign w:val="bottom"/>
          </w:tcPr>
          <w:p>
            <w:pPr>
              <w:spacing w:after="0"/>
              <w:rPr>
                <w:sz w:val="1"/>
                <w:szCs w:val="1"/>
                <w:color w:val="auto"/>
              </w:rPr>
            </w:pPr>
          </w:p>
        </w:tc>
      </w:tr>
      <w:tr>
        <w:trPr>
          <w:trHeight w:val="213"/>
        </w:trPr>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440,588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489,070</w:t>
            </w:r>
          </w:p>
        </w:tc>
        <w:tc>
          <w:tcPr>
            <w:tcW w:w="0" w:type="dxa"/>
            <w:vAlign w:val="bottom"/>
          </w:tcPr>
          <w:p>
            <w:pPr>
              <w:spacing w:after="0"/>
              <w:rPr>
                <w:sz w:val="1"/>
                <w:szCs w:val="1"/>
                <w:color w:val="auto"/>
              </w:rPr>
            </w:pPr>
          </w:p>
        </w:tc>
      </w:tr>
      <w:tr>
        <w:trPr>
          <w:trHeight w:val="213"/>
        </w:trPr>
        <w:tc>
          <w:tcPr>
            <w:tcW w:w="7700" w:type="dxa"/>
            <w:vAlign w:val="bottom"/>
            <w:gridSpan w:val="4"/>
          </w:tcPr>
          <w:p>
            <w:pPr>
              <w:ind w:left="220"/>
              <w:spacing w:after="0"/>
              <w:rPr>
                <w:sz w:val="20"/>
                <w:szCs w:val="20"/>
                <w:color w:val="auto"/>
              </w:rPr>
            </w:pPr>
            <w:r>
              <w:rPr>
                <w:rFonts w:ascii="Arial" w:cs="Arial" w:eastAsia="Arial" w:hAnsi="Arial"/>
                <w:sz w:val="16"/>
                <w:szCs w:val="16"/>
                <w:color w:val="auto"/>
              </w:rPr>
              <w:t>Property and equipment, net</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50,366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50,906</w:t>
            </w:r>
          </w:p>
        </w:tc>
        <w:tc>
          <w:tcPr>
            <w:tcW w:w="0" w:type="dxa"/>
            <w:vAlign w:val="bottom"/>
          </w:tcPr>
          <w:p>
            <w:pPr>
              <w:spacing w:after="0"/>
              <w:rPr>
                <w:sz w:val="1"/>
                <w:szCs w:val="1"/>
                <w:color w:val="auto"/>
              </w:rPr>
            </w:pPr>
          </w:p>
        </w:tc>
      </w:tr>
      <w:tr>
        <w:trPr>
          <w:trHeight w:val="219"/>
        </w:trPr>
        <w:tc>
          <w:tcPr>
            <w:tcW w:w="77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Right-of-use assets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39,552</w:t>
            </w:r>
          </w:p>
        </w:tc>
        <w:tc>
          <w:tcPr>
            <w:tcW w:w="0" w:type="dxa"/>
            <w:vAlign w:val="bottom"/>
          </w:tcPr>
          <w:p>
            <w:pPr>
              <w:spacing w:after="0"/>
              <w:rPr>
                <w:sz w:val="1"/>
                <w:szCs w:val="1"/>
                <w:color w:val="auto"/>
              </w:rPr>
            </w:pPr>
          </w:p>
        </w:tc>
      </w:tr>
      <w:tr>
        <w:trPr>
          <w:trHeight w:val="213"/>
        </w:trPr>
        <w:tc>
          <w:tcPr>
            <w:tcW w:w="7700" w:type="dxa"/>
            <w:vAlign w:val="bottom"/>
            <w:gridSpan w:val="4"/>
          </w:tcPr>
          <w:p>
            <w:pPr>
              <w:ind w:left="220"/>
              <w:spacing w:after="0"/>
              <w:rPr>
                <w:sz w:val="20"/>
                <w:szCs w:val="20"/>
                <w:color w:val="auto"/>
              </w:rPr>
            </w:pPr>
            <w:r>
              <w:rPr>
                <w:rFonts w:ascii="Arial" w:cs="Arial" w:eastAsia="Arial" w:hAnsi="Arial"/>
                <w:sz w:val="16"/>
                <w:szCs w:val="16"/>
                <w:color w:val="auto"/>
              </w:rPr>
              <w:t>Intangible assets, net</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45,762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25,765</w:t>
            </w:r>
          </w:p>
        </w:tc>
        <w:tc>
          <w:tcPr>
            <w:tcW w:w="0" w:type="dxa"/>
            <w:vAlign w:val="bottom"/>
          </w:tcPr>
          <w:p>
            <w:pPr>
              <w:spacing w:after="0"/>
              <w:rPr>
                <w:sz w:val="1"/>
                <w:szCs w:val="1"/>
                <w:color w:val="auto"/>
              </w:rPr>
            </w:pPr>
          </w:p>
        </w:tc>
      </w:tr>
      <w:tr>
        <w:trPr>
          <w:trHeight w:val="219"/>
        </w:trPr>
        <w:tc>
          <w:tcPr>
            <w:tcW w:w="77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89,413</w:t>
            </w:r>
          </w:p>
        </w:tc>
        <w:tc>
          <w:tcPr>
            <w:tcW w:w="0" w:type="dxa"/>
            <w:vAlign w:val="bottom"/>
          </w:tcPr>
          <w:p>
            <w:pPr>
              <w:spacing w:after="0"/>
              <w:rPr>
                <w:sz w:val="1"/>
                <w:szCs w:val="1"/>
                <w:color w:val="auto"/>
              </w:rPr>
            </w:pPr>
          </w:p>
        </w:tc>
      </w:tr>
      <w:tr>
        <w:trPr>
          <w:trHeight w:val="213"/>
        </w:trPr>
        <w:tc>
          <w:tcPr>
            <w:tcW w:w="7700" w:type="dxa"/>
            <w:vAlign w:val="bottom"/>
            <w:gridSpan w:val="4"/>
          </w:tcPr>
          <w:p>
            <w:pPr>
              <w:ind w:left="220"/>
              <w:spacing w:after="0"/>
              <w:rPr>
                <w:sz w:val="20"/>
                <w:szCs w:val="20"/>
                <w:color w:val="auto"/>
              </w:rPr>
            </w:pPr>
            <w:r>
              <w:rPr>
                <w:rFonts w:ascii="Arial" w:cs="Arial" w:eastAsia="Arial" w:hAnsi="Arial"/>
                <w:sz w:val="16"/>
                <w:szCs w:val="16"/>
                <w:color w:val="auto"/>
              </w:rPr>
              <w:t>Deferred tax assets, net</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13,566</w:t>
            </w:r>
          </w:p>
        </w:tc>
        <w:tc>
          <w:tcPr>
            <w:tcW w:w="0" w:type="dxa"/>
            <w:vAlign w:val="bottom"/>
          </w:tcPr>
          <w:p>
            <w:pPr>
              <w:spacing w:after="0"/>
              <w:rPr>
                <w:sz w:val="1"/>
                <w:szCs w:val="1"/>
                <w:color w:val="auto"/>
              </w:rPr>
            </w:pPr>
          </w:p>
        </w:tc>
      </w:tr>
      <w:tr>
        <w:trPr>
          <w:trHeight w:val="219"/>
        </w:trPr>
        <w:tc>
          <w:tcPr>
            <w:tcW w:w="77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21,372</w:t>
            </w:r>
          </w:p>
        </w:tc>
        <w:tc>
          <w:tcPr>
            <w:tcW w:w="0" w:type="dxa"/>
            <w:vAlign w:val="bottom"/>
          </w:tcPr>
          <w:p>
            <w:pPr>
              <w:spacing w:after="0"/>
              <w:rPr>
                <w:sz w:val="1"/>
                <w:szCs w:val="1"/>
                <w:color w:val="auto"/>
              </w:rPr>
            </w:pPr>
          </w:p>
        </w:tc>
      </w:tr>
      <w:tr>
        <w:trPr>
          <w:trHeight w:val="206"/>
        </w:trPr>
        <w:tc>
          <w:tcPr>
            <w:tcW w:w="7700" w:type="dxa"/>
            <w:vAlign w:val="bottom"/>
            <w:gridSpan w:val="4"/>
          </w:tcPr>
          <w:p>
            <w:pPr>
              <w:ind w:left="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755,144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729,644</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0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EQUITY</w:t>
            </w: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00" w:type="dxa"/>
            <w:vAlign w:val="bottom"/>
            <w:gridSpan w:val="4"/>
          </w:tcPr>
          <w:p>
            <w:pPr>
              <w:ind w:left="220"/>
              <w:spacing w:after="0"/>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Accrued expenses</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65,453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67,909</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Contributor royalties payable</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26,336</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Deferred revenue</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153,630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149,843</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Other 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10,399</w:t>
            </w:r>
          </w:p>
        </w:tc>
        <w:tc>
          <w:tcPr>
            <w:tcW w:w="0" w:type="dxa"/>
            <w:vAlign w:val="bottom"/>
          </w:tcPr>
          <w:p>
            <w:pPr>
              <w:spacing w:after="0"/>
              <w:rPr>
                <w:sz w:val="1"/>
                <w:szCs w:val="1"/>
                <w:color w:val="auto"/>
              </w:rPr>
            </w:pPr>
          </w:p>
        </w:tc>
      </w:tr>
      <w:tr>
        <w:trPr>
          <w:trHeight w:val="207"/>
        </w:trPr>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Total current liabilities</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265,323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256,929</w:t>
            </w:r>
          </w:p>
        </w:tc>
        <w:tc>
          <w:tcPr>
            <w:tcW w:w="0" w:type="dxa"/>
            <w:vAlign w:val="bottom"/>
          </w:tcPr>
          <w:p>
            <w:pPr>
              <w:spacing w:after="0"/>
              <w:rPr>
                <w:sz w:val="1"/>
                <w:szCs w:val="1"/>
                <w:color w:val="auto"/>
              </w:rPr>
            </w:pPr>
          </w:p>
        </w:tc>
      </w:tr>
      <w:tr>
        <w:trPr>
          <w:trHeight w:val="219"/>
        </w:trPr>
        <w:tc>
          <w:tcPr>
            <w:tcW w:w="77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Lease liabilities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41,620</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gridSpan w:val="4"/>
          </w:tcPr>
          <w:p>
            <w:pPr>
              <w:ind w:left="220"/>
              <w:spacing w:after="0"/>
              <w:rPr>
                <w:sz w:val="20"/>
                <w:szCs w:val="20"/>
                <w:color w:val="auto"/>
              </w:rPr>
            </w:pPr>
            <w:r>
              <w:rPr>
                <w:rFonts w:ascii="Arial" w:cs="Arial" w:eastAsia="Arial" w:hAnsi="Arial"/>
                <w:sz w:val="16"/>
                <w:szCs w:val="16"/>
                <w:color w:val="auto"/>
              </w:rPr>
              <w:t>Other non-current liabilities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9,170</w:t>
            </w:r>
          </w:p>
        </w:tc>
        <w:tc>
          <w:tcPr>
            <w:tcW w:w="0" w:type="dxa"/>
            <w:vAlign w:val="bottom"/>
          </w:tcPr>
          <w:p>
            <w:pPr>
              <w:spacing w:after="0"/>
              <w:rPr>
                <w:sz w:val="1"/>
                <w:szCs w:val="1"/>
                <w:color w:val="auto"/>
              </w:rPr>
            </w:pPr>
          </w:p>
        </w:tc>
      </w:tr>
      <w:tr>
        <w:trPr>
          <w:trHeight w:val="213"/>
        </w:trPr>
        <w:tc>
          <w:tcPr>
            <w:tcW w:w="77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314,640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307,719</w:t>
            </w:r>
          </w:p>
        </w:tc>
        <w:tc>
          <w:tcPr>
            <w:tcW w:w="0" w:type="dxa"/>
            <w:vAlign w:val="bottom"/>
          </w:tcPr>
          <w:p>
            <w:pPr>
              <w:spacing w:after="0"/>
              <w:rPr>
                <w:sz w:val="1"/>
                <w:szCs w:val="1"/>
                <w:color w:val="auto"/>
              </w:rPr>
            </w:pPr>
          </w:p>
        </w:tc>
      </w:tr>
      <w:tr>
        <w:trPr>
          <w:trHeight w:val="193"/>
        </w:trPr>
        <w:tc>
          <w:tcPr>
            <w:tcW w:w="7700" w:type="dxa"/>
            <w:vAlign w:val="bottom"/>
            <w:gridSpan w:val="4"/>
          </w:tcPr>
          <w:p>
            <w:pPr>
              <w:ind w:left="220"/>
              <w:spacing w:after="0"/>
              <w:rPr>
                <w:sz w:val="20"/>
                <w:szCs w:val="20"/>
                <w:color w:val="auto"/>
              </w:rPr>
            </w:pPr>
            <w:r>
              <w:rPr>
                <w:rFonts w:ascii="Arial" w:cs="Arial" w:eastAsia="Arial" w:hAnsi="Arial"/>
                <w:sz w:val="16"/>
                <w:szCs w:val="16"/>
                <w:color w:val="auto"/>
              </w:rPr>
              <w:t>Commitments and contingencies (Note 13)</w:t>
            </w: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7280" w:type="dxa"/>
            <w:vAlign w:val="bottom"/>
            <w:gridSpan w:val="3"/>
          </w:tcPr>
          <w:p>
            <w:pPr>
              <w:ind w:left="60"/>
              <w:spacing w:after="0" w:line="166" w:lineRule="exact"/>
              <w:rPr>
                <w:sz w:val="20"/>
                <w:szCs w:val="20"/>
                <w:color w:val="auto"/>
              </w:rPr>
            </w:pPr>
            <w:r>
              <w:rPr>
                <w:rFonts w:ascii="Arial" w:cs="Arial" w:eastAsia="Arial" w:hAnsi="Arial"/>
                <w:sz w:val="16"/>
                <w:szCs w:val="16"/>
                <w:color w:val="auto"/>
                <w:w w:val="91"/>
              </w:rPr>
              <w:t>Common stock, $0.01 par value; 200,000 shares authorized; 39,010 and 38,803 shares issued and 36,452 and</w:t>
            </w:r>
          </w:p>
        </w:tc>
        <w:tc>
          <w:tcPr>
            <w:tcW w:w="4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36,245 shares outstanding as of March 31, 2021 and December 31, 2020, respectively</w:t>
            </w:r>
          </w:p>
        </w:tc>
        <w:tc>
          <w:tcPr>
            <w:tcW w:w="4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Treasury stock, at cost; 2,558 shares as of March 31, 2021 and December 31, 2020</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(100,027)</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357,422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360,939</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Accumulated comprehensive loss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(7,681)</w:t>
            </w:r>
          </w:p>
        </w:tc>
        <w:tc>
          <w:tcPr>
            <w:tcW w:w="0" w:type="dxa"/>
            <w:vAlign w:val="bottom"/>
          </w:tcPr>
          <w:p>
            <w:pPr>
              <w:spacing w:after="0"/>
              <w:rPr>
                <w:sz w:val="1"/>
                <w:szCs w:val="1"/>
                <w:color w:val="auto"/>
              </w:rPr>
            </w:pPr>
          </w:p>
        </w:tc>
      </w:tr>
      <w:tr>
        <w:trPr>
          <w:trHeight w:val="213"/>
        </w:trPr>
        <w:tc>
          <w:tcPr>
            <w:tcW w:w="420" w:type="dxa"/>
            <w:vAlign w:val="bottom"/>
            <w:tcBorders>
              <w:bottom w:val="single" w:sz="8" w:color="CCEEFF"/>
            </w:tcBorders>
          </w:tcPr>
          <w:p>
            <w:pPr>
              <w:spacing w:after="0"/>
              <w:rPr>
                <w:sz w:val="18"/>
                <w:szCs w:val="18"/>
                <w:color w:val="auto"/>
              </w:rPr>
            </w:pPr>
          </w:p>
        </w:tc>
        <w:tc>
          <w:tcPr>
            <w:tcW w:w="7280" w:type="dxa"/>
            <w:vAlign w:val="bottom"/>
            <w:tcBorders>
              <w:bottom w:val="single" w:sz="8" w:color="CCEEFF"/>
            </w:tcBorders>
            <w:gridSpan w:val="3"/>
          </w:tcPr>
          <w:p>
            <w:pPr>
              <w:ind w:left="60"/>
              <w:spacing w:after="0"/>
              <w:rPr>
                <w:sz w:val="20"/>
                <w:szCs w:val="20"/>
                <w:color w:val="auto"/>
              </w:rPr>
            </w:pPr>
            <w:r>
              <w:rPr>
                <w:rFonts w:ascii="Arial" w:cs="Arial" w:eastAsia="Arial" w:hAnsi="Arial"/>
                <w:sz w:val="16"/>
                <w:szCs w:val="16"/>
                <w:color w:val="auto"/>
              </w:rPr>
              <w:t>Retained earnings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190,173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168,305</w:t>
            </w:r>
          </w:p>
        </w:tc>
        <w:tc>
          <w:tcPr>
            <w:tcW w:w="0" w:type="dxa"/>
            <w:vAlign w:val="bottom"/>
          </w:tcPr>
          <w:p>
            <w:pPr>
              <w:spacing w:after="0"/>
              <w:rPr>
                <w:sz w:val="1"/>
                <w:szCs w:val="1"/>
                <w:color w:val="auto"/>
              </w:rPr>
            </w:pPr>
          </w:p>
        </w:tc>
      </w:tr>
      <w:tr>
        <w:trPr>
          <w:trHeight w:val="213"/>
        </w:trPr>
        <w:tc>
          <w:tcPr>
            <w:tcW w:w="77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440,504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421,925</w:t>
            </w:r>
          </w:p>
        </w:tc>
        <w:tc>
          <w:tcPr>
            <w:tcW w:w="0" w:type="dxa"/>
            <w:vAlign w:val="bottom"/>
          </w:tcPr>
          <w:p>
            <w:pPr>
              <w:spacing w:after="0"/>
              <w:rPr>
                <w:sz w:val="1"/>
                <w:szCs w:val="1"/>
                <w:color w:val="auto"/>
              </w:rPr>
            </w:pPr>
          </w:p>
        </w:tc>
      </w:tr>
      <w:tr>
        <w:trPr>
          <w:trHeight w:val="206"/>
        </w:trPr>
        <w:tc>
          <w:tcPr>
            <w:tcW w:w="7700" w:type="dxa"/>
            <w:vAlign w:val="bottom"/>
            <w:gridSpan w:val="4"/>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755,144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729,644</w:t>
            </w:r>
          </w:p>
        </w:tc>
        <w:tc>
          <w:tcPr>
            <w:tcW w:w="0" w:type="dxa"/>
            <w:vAlign w:val="bottom"/>
          </w:tcPr>
          <w:p>
            <w:pPr>
              <w:spacing w:after="0"/>
              <w:rPr>
                <w:sz w:val="1"/>
                <w:szCs w:val="1"/>
                <w:color w:val="auto"/>
              </w:rPr>
            </w:pPr>
          </w:p>
        </w:tc>
      </w:tr>
      <w:tr>
        <w:trPr>
          <w:trHeight w:val="24"/>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189"/>
        </w:trPr>
        <w:tc>
          <w:tcPr>
            <w:tcW w:w="8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ind w:right="200"/>
              <w:spacing w:after="0"/>
              <w:rPr>
                <w:sz w:val="20"/>
                <w:szCs w:val="20"/>
                <w:color w:val="auto"/>
              </w:rPr>
            </w:pPr>
            <w:r>
              <w:rPr>
                <w:rFonts w:ascii="Arial" w:cs="Arial" w:eastAsia="Arial" w:hAnsi="Arial"/>
                <w:sz w:val="14"/>
                <w:szCs w:val="14"/>
                <w:b w:val="1"/>
                <w:bCs w:val="1"/>
                <w:color w:val="auto"/>
              </w:rPr>
              <w:t>2020</w:t>
            </w:r>
          </w:p>
        </w:tc>
      </w:tr>
      <w:tr>
        <w:trPr>
          <w:trHeight w:val="26"/>
        </w:trPr>
        <w:tc>
          <w:tcPr>
            <w:tcW w:w="8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42"/>
        </w:trPr>
        <w:tc>
          <w:tcPr>
            <w:tcW w:w="8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183,281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161,285</w:t>
            </w:r>
          </w:p>
        </w:tc>
      </w:tr>
      <w:tr>
        <w:trPr>
          <w:trHeight w:val="203"/>
        </w:trPr>
        <w:tc>
          <w:tcPr>
            <w:tcW w:w="8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862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61,832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69,123</w:t>
            </w:r>
          </w:p>
        </w:tc>
      </w:tr>
      <w:tr>
        <w:trPr>
          <w:trHeight w:val="219"/>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42,660</w:t>
            </w:r>
          </w:p>
        </w:tc>
      </w:tr>
      <w:tr>
        <w:trPr>
          <w:trHeight w:val="213"/>
        </w:trPr>
        <w:tc>
          <w:tcPr>
            <w:tcW w:w="862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13,069</w:t>
            </w:r>
          </w:p>
        </w:tc>
      </w:tr>
      <w:tr>
        <w:trPr>
          <w:trHeight w:val="219"/>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30,652</w:t>
            </w:r>
          </w:p>
        </w:tc>
      </w:tr>
      <w:tr>
        <w:trPr>
          <w:trHeight w:val="207"/>
        </w:trPr>
        <w:tc>
          <w:tcPr>
            <w:tcW w:w="86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145,163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155,504</w:t>
            </w:r>
          </w:p>
        </w:tc>
      </w:tr>
      <w:tr>
        <w:trPr>
          <w:trHeight w:val="213"/>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5,781</w:t>
            </w:r>
          </w:p>
        </w:tc>
      </w:tr>
      <w:tr>
        <w:trPr>
          <w:trHeight w:val="213"/>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 income, net</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r>
      <w:tr>
        <w:trPr>
          <w:trHeight w:val="212"/>
        </w:trPr>
        <w:tc>
          <w:tcPr>
            <w:tcW w:w="8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before income taxes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6,294</w:t>
            </w:r>
          </w:p>
        </w:tc>
      </w:tr>
      <w:tr>
        <w:trPr>
          <w:trHeight w:val="213"/>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r>
      <w:tr>
        <w:trPr>
          <w:trHeight w:val="210"/>
        </w:trPr>
        <w:tc>
          <w:tcPr>
            <w:tcW w:w="8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29,514</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4,318</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8620" w:type="dxa"/>
            <w:vAlign w:val="bottom"/>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8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8620" w:type="dxa"/>
            <w:vAlign w:val="bottom"/>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36,336</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35,521</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8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37,249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35,882</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r>
      <w:tr>
        <w:trPr>
          <w:trHeight w:val="189"/>
        </w:trPr>
        <w:tc>
          <w:tcPr>
            <w:tcW w:w="8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ind w:left="180"/>
              <w:spacing w:after="0"/>
              <w:rPr>
                <w:sz w:val="20"/>
                <w:szCs w:val="20"/>
                <w:color w:val="auto"/>
              </w:rPr>
            </w:pPr>
            <w:r>
              <w:rPr>
                <w:rFonts w:ascii="Arial" w:cs="Arial" w:eastAsia="Arial" w:hAnsi="Arial"/>
                <w:sz w:val="14"/>
                <w:szCs w:val="14"/>
                <w:b w:val="1"/>
                <w:bCs w:val="1"/>
                <w:color w:val="auto"/>
              </w:rPr>
              <w:t>2020</w:t>
            </w:r>
          </w:p>
        </w:tc>
      </w:tr>
      <w:tr>
        <w:trPr>
          <w:trHeight w:val="26"/>
        </w:trPr>
        <w:tc>
          <w:tcPr>
            <w:tcW w:w="8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8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w:t>
            </w:r>
          </w:p>
        </w:tc>
      </w:tr>
      <w:tr>
        <w:trPr>
          <w:trHeight w:val="213"/>
        </w:trPr>
        <w:tc>
          <w:tcPr>
            <w:tcW w:w="8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gain / (loss)</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w w:val="94"/>
              </w:rPr>
              <w:t>(2,448)</w:t>
            </w:r>
          </w:p>
        </w:tc>
      </w:tr>
      <w:tr>
        <w:trPr>
          <w:trHeight w:val="213"/>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gain / (loss)</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94"/>
              </w:rPr>
              <w:t>(2,448)</w:t>
            </w:r>
          </w:p>
        </w:tc>
      </w:tr>
      <w:tr>
        <w:trPr>
          <w:trHeight w:val="207"/>
        </w:trPr>
        <w:tc>
          <w:tcPr>
            <w:tcW w:w="89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29,740</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w:t>
            </w:r>
          </w:p>
        </w:tc>
      </w:tr>
      <w:tr>
        <w:trPr>
          <w:trHeight w:val="23"/>
        </w:trPr>
        <w:tc>
          <w:tcPr>
            <w:tcW w:w="8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Accumulated</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800" w:type="dxa"/>
            <w:vAlign w:val="bottom"/>
          </w:tcPr>
          <w:p>
            <w:pPr>
              <w:spacing w:after="0"/>
              <w:rPr>
                <w:sz w:val="10"/>
                <w:szCs w:val="10"/>
                <w:color w:val="auto"/>
              </w:rPr>
            </w:pPr>
          </w:p>
        </w:tc>
        <w:tc>
          <w:tcPr>
            <w:tcW w:w="1640" w:type="dxa"/>
            <w:vAlign w:val="bottom"/>
            <w:gridSpan w:val="5"/>
          </w:tcPr>
          <w:p>
            <w:pPr>
              <w:ind w:left="420"/>
              <w:spacing w:after="0" w:line="122" w:lineRule="exact"/>
              <w:rPr>
                <w:sz w:val="20"/>
                <w:szCs w:val="20"/>
                <w:color w:val="auto"/>
              </w:rPr>
            </w:pPr>
            <w:r>
              <w:rPr>
                <w:rFonts w:ascii="Arial" w:cs="Arial" w:eastAsia="Arial" w:hAnsi="Arial"/>
                <w:sz w:val="11"/>
                <w:szCs w:val="11"/>
                <w:b w:val="1"/>
                <w:bCs w:val="1"/>
                <w:color w:val="auto"/>
              </w:rPr>
              <w:t>Common Stock</w:t>
            </w:r>
          </w:p>
        </w:tc>
        <w:tc>
          <w:tcPr>
            <w:tcW w:w="1800" w:type="dxa"/>
            <w:vAlign w:val="bottom"/>
            <w:gridSpan w:val="5"/>
          </w:tcPr>
          <w:p>
            <w:pPr>
              <w:ind w:left="500"/>
              <w:spacing w:after="0" w:line="122" w:lineRule="exact"/>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Other</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w w:val="93"/>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60"/>
              <w:spacing w:after="0" w:line="95" w:lineRule="exact"/>
              <w:rPr>
                <w:sz w:val="20"/>
                <w:szCs w:val="20"/>
                <w:color w:val="auto"/>
              </w:rPr>
            </w:pPr>
            <w:r>
              <w:rPr>
                <w:rFonts w:ascii="Arial" w:cs="Arial" w:eastAsia="Arial" w:hAnsi="Arial"/>
                <w:sz w:val="10"/>
                <w:szCs w:val="10"/>
                <w:b w:val="1"/>
                <w:bCs w:val="1"/>
                <w:color w:val="auto"/>
              </w:rPr>
              <w:t>Retained</w:t>
            </w: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800" w:type="dxa"/>
            <w:vAlign w:val="bottom"/>
            <w:vMerge w:val="continue"/>
          </w:tcPr>
          <w:p>
            <w:pPr>
              <w:spacing w:after="0" w:line="20" w:lineRule="exact"/>
              <w:rPr>
                <w:sz w:val="1"/>
                <w:szCs w:val="1"/>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line="20" w:lineRule="exact"/>
              <w:rPr>
                <w:sz w:val="1"/>
                <w:szCs w:val="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line="20" w:lineRule="exact"/>
              <w:rPr>
                <w:sz w:val="1"/>
                <w:szCs w:val="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vMerge w:val="restart"/>
          </w:tcPr>
          <w:p>
            <w:pPr>
              <w:jc w:val="right"/>
              <w:ind w:right="24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line="20" w:lineRule="exact"/>
              <w:rPr>
                <w:sz w:val="1"/>
                <w:szCs w:val="1"/>
                <w:color w:val="auto"/>
              </w:rPr>
            </w:pPr>
          </w:p>
        </w:tc>
      </w:tr>
      <w:tr>
        <w:trPr>
          <w:trHeight w:val="156"/>
        </w:trPr>
        <w:tc>
          <w:tcPr>
            <w:tcW w:w="38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Income / (Loss)</w:t>
            </w:r>
          </w:p>
        </w:tc>
        <w:tc>
          <w:tcPr>
            <w:tcW w:w="1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38,803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2,558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96"/>
              </w:rPr>
              <w:t>(100,027)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360,939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(7,681)</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168,305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421,925</w:t>
            </w:r>
          </w:p>
        </w:tc>
        <w:tc>
          <w:tcPr>
            <w:tcW w:w="0" w:type="dxa"/>
            <w:vAlign w:val="bottom"/>
          </w:tcPr>
          <w:p>
            <w:pPr>
              <w:spacing w:after="0"/>
              <w:rPr>
                <w:sz w:val="1"/>
                <w:szCs w:val="1"/>
                <w:color w:val="auto"/>
              </w:rPr>
            </w:pPr>
          </w:p>
        </w:tc>
      </w:tr>
      <w:tr>
        <w:trPr>
          <w:trHeight w:val="186"/>
        </w:trPr>
        <w:tc>
          <w:tcPr>
            <w:tcW w:w="380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8,210</w:t>
            </w:r>
          </w:p>
        </w:tc>
        <w:tc>
          <w:tcPr>
            <w:tcW w:w="0" w:type="dxa"/>
            <w:vAlign w:val="bottom"/>
          </w:tcPr>
          <w:p>
            <w:pPr>
              <w:spacing w:after="0"/>
              <w:rPr>
                <w:sz w:val="1"/>
                <w:szCs w:val="1"/>
                <w:color w:val="auto"/>
              </w:rPr>
            </w:pPr>
          </w:p>
        </w:tc>
      </w:tr>
      <w:tr>
        <w:trPr>
          <w:trHeight w:val="138"/>
        </w:trPr>
        <w:tc>
          <w:tcPr>
            <w:tcW w:w="38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5"/>
              </w:rPr>
              <w:t>Issuance of common stock in connection with employee stock</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 exercises and RSU vesting</w:t>
            </w: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00" w:type="dxa"/>
            <w:vAlign w:val="bottom"/>
          </w:tcPr>
          <w:p>
            <w:pPr>
              <w:ind w:left="140"/>
              <w:spacing w:after="0" w:line="135" w:lineRule="exact"/>
              <w:rPr>
                <w:sz w:val="20"/>
                <w:szCs w:val="20"/>
                <w:color w:val="auto"/>
              </w:rPr>
            </w:pPr>
            <w:r>
              <w:rPr>
                <w:rFonts w:ascii="Arial" w:cs="Arial" w:eastAsia="Arial" w:hAnsi="Arial"/>
                <w:sz w:val="14"/>
                <w:szCs w:val="14"/>
                <w:color w:val="auto"/>
                <w:w w:val="94"/>
              </w:rPr>
              <w:t>Common shares withheld for settlement of taxes in connection</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(13,032)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(13,034)</w:t>
            </w:r>
          </w:p>
        </w:tc>
        <w:tc>
          <w:tcPr>
            <w:tcW w:w="0" w:type="dxa"/>
            <w:vAlign w:val="bottom"/>
          </w:tcPr>
          <w:p>
            <w:pPr>
              <w:spacing w:after="0"/>
              <w:rPr>
                <w:sz w:val="1"/>
                <w:szCs w:val="1"/>
                <w:color w:val="auto"/>
              </w:rPr>
            </w:pPr>
          </w:p>
        </w:tc>
      </w:tr>
      <w:tr>
        <w:trPr>
          <w:trHeight w:val="186"/>
        </w:trPr>
        <w:tc>
          <w:tcPr>
            <w:tcW w:w="3800" w:type="dxa"/>
            <w:vAlign w:val="bottom"/>
          </w:tcPr>
          <w:p>
            <w:pPr>
              <w:ind w:left="140"/>
              <w:spacing w:after="0"/>
              <w:rPr>
                <w:sz w:val="20"/>
                <w:szCs w:val="20"/>
                <w:color w:val="auto"/>
              </w:rPr>
            </w:pPr>
            <w:r>
              <w:rPr>
                <w:rFonts w:ascii="Arial" w:cs="Arial" w:eastAsia="Arial" w:hAnsi="Arial"/>
                <w:sz w:val="14"/>
                <w:szCs w:val="14"/>
                <w:color w:val="auto"/>
              </w:rPr>
              <w:t>with equity-based compensation</w:t>
            </w: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dividends paid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186"/>
        </w:trPr>
        <w:tc>
          <w:tcPr>
            <w:tcW w:w="380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29,514</w:t>
            </w:r>
          </w:p>
        </w:tc>
        <w:tc>
          <w:tcPr>
            <w:tcW w:w="0" w:type="dxa"/>
            <w:vAlign w:val="bottom"/>
          </w:tcPr>
          <w:p>
            <w:pPr>
              <w:spacing w:after="0"/>
              <w:rPr>
                <w:sz w:val="1"/>
                <w:szCs w:val="1"/>
                <w:color w:val="auto"/>
              </w:rPr>
            </w:pPr>
          </w:p>
        </w:tc>
      </w:tr>
      <w:tr>
        <w:trPr>
          <w:trHeight w:val="186"/>
        </w:trPr>
        <w:tc>
          <w:tcPr>
            <w:tcW w:w="380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39,010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2,558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w w:val="96"/>
              </w:rPr>
              <w:t>(100,027)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357,422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(7,455)</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190,173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440,504</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8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6"/>
              </w:rPr>
              <w:t>(100,027)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312,824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328,145</w:t>
            </w:r>
          </w:p>
        </w:tc>
        <w:tc>
          <w:tcPr>
            <w:tcW w:w="0" w:type="dxa"/>
            <w:vAlign w:val="bottom"/>
          </w:tcPr>
          <w:p>
            <w:pPr>
              <w:spacing w:after="0"/>
              <w:rPr>
                <w:sz w:val="1"/>
                <w:szCs w:val="1"/>
                <w:color w:val="auto"/>
              </w:rPr>
            </w:pPr>
          </w:p>
        </w:tc>
      </w:tr>
      <w:tr>
        <w:trPr>
          <w:trHeight w:val="186"/>
        </w:trPr>
        <w:tc>
          <w:tcPr>
            <w:tcW w:w="3800" w:type="dxa"/>
            <w:vAlign w:val="bottom"/>
          </w:tcPr>
          <w:p>
            <w:pPr>
              <w:ind w:left="140"/>
              <w:spacing w:after="0"/>
              <w:rPr>
                <w:sz w:val="20"/>
                <w:szCs w:val="20"/>
                <w:color w:val="auto"/>
              </w:rPr>
            </w:pPr>
            <w:r>
              <w:rPr>
                <w:rFonts w:ascii="Arial" w:cs="Arial" w:eastAsia="Arial" w:hAnsi="Arial"/>
                <w:sz w:val="14"/>
                <w:szCs w:val="14"/>
                <w:color w:val="auto"/>
              </w:rPr>
              <w:t>Cumulative effect of accounting change (Note 1)</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6"/>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38,055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2,558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96"/>
              </w:rPr>
              <w:t>(100,027)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312,824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120,940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327,898</w:t>
            </w:r>
          </w:p>
        </w:tc>
        <w:tc>
          <w:tcPr>
            <w:tcW w:w="0" w:type="dxa"/>
            <w:vAlign w:val="bottom"/>
          </w:tcPr>
          <w:p>
            <w:pPr>
              <w:spacing w:after="0"/>
              <w:rPr>
                <w:sz w:val="1"/>
                <w:szCs w:val="1"/>
                <w:color w:val="auto"/>
              </w:rPr>
            </w:pPr>
          </w:p>
        </w:tc>
      </w:tr>
      <w:tr>
        <w:trPr>
          <w:trHeight w:val="186"/>
        </w:trPr>
        <w:tc>
          <w:tcPr>
            <w:tcW w:w="380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5,760</w:t>
            </w:r>
          </w:p>
        </w:tc>
        <w:tc>
          <w:tcPr>
            <w:tcW w:w="0" w:type="dxa"/>
            <w:vAlign w:val="bottom"/>
          </w:tcPr>
          <w:p>
            <w:pPr>
              <w:spacing w:after="0"/>
              <w:rPr>
                <w:sz w:val="1"/>
                <w:szCs w:val="1"/>
                <w:color w:val="auto"/>
              </w:rPr>
            </w:pPr>
          </w:p>
        </w:tc>
      </w:tr>
      <w:tr>
        <w:trPr>
          <w:trHeight w:val="138"/>
        </w:trPr>
        <w:tc>
          <w:tcPr>
            <w:tcW w:w="38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5"/>
              </w:rPr>
              <w:t>Issuance of common stock in connection with employee stock</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 exercises and RSU vesting</w:t>
            </w: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00" w:type="dxa"/>
            <w:vAlign w:val="bottom"/>
          </w:tcPr>
          <w:p>
            <w:pPr>
              <w:ind w:left="140"/>
              <w:spacing w:after="0" w:line="135" w:lineRule="exact"/>
              <w:rPr>
                <w:sz w:val="20"/>
                <w:szCs w:val="20"/>
                <w:color w:val="auto"/>
              </w:rPr>
            </w:pPr>
            <w:r>
              <w:rPr>
                <w:rFonts w:ascii="Arial" w:cs="Arial" w:eastAsia="Arial" w:hAnsi="Arial"/>
                <w:sz w:val="14"/>
                <w:szCs w:val="14"/>
                <w:color w:val="auto"/>
                <w:w w:val="94"/>
              </w:rPr>
              <w:t>Common shares withheld for settlement of taxes in connection</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(1,760)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186"/>
        </w:trPr>
        <w:tc>
          <w:tcPr>
            <w:tcW w:w="3800" w:type="dxa"/>
            <w:vAlign w:val="bottom"/>
          </w:tcPr>
          <w:p>
            <w:pPr>
              <w:ind w:left="140"/>
              <w:spacing w:after="0"/>
              <w:rPr>
                <w:sz w:val="20"/>
                <w:szCs w:val="20"/>
                <w:color w:val="auto"/>
              </w:rPr>
            </w:pPr>
            <w:r>
              <w:rPr>
                <w:rFonts w:ascii="Arial" w:cs="Arial" w:eastAsia="Arial" w:hAnsi="Arial"/>
                <w:sz w:val="14"/>
                <w:szCs w:val="14"/>
                <w:color w:val="auto"/>
              </w:rPr>
              <w:t>with equity-based compensation</w:t>
            </w: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dividends paid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(6,040)</w:t>
            </w:r>
          </w:p>
        </w:tc>
        <w:tc>
          <w:tcPr>
            <w:tcW w:w="0" w:type="dxa"/>
            <w:vAlign w:val="bottom"/>
          </w:tcPr>
          <w:p>
            <w:pPr>
              <w:spacing w:after="0"/>
              <w:rPr>
                <w:sz w:val="1"/>
                <w:szCs w:val="1"/>
                <w:color w:val="auto"/>
              </w:rPr>
            </w:pPr>
          </w:p>
        </w:tc>
      </w:tr>
      <w:tr>
        <w:trPr>
          <w:trHeight w:val="186"/>
        </w:trPr>
        <w:tc>
          <w:tcPr>
            <w:tcW w:w="380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4,318</w:t>
            </w:r>
          </w:p>
        </w:tc>
        <w:tc>
          <w:tcPr>
            <w:tcW w:w="0" w:type="dxa"/>
            <w:vAlign w:val="bottom"/>
          </w:tcPr>
          <w:p>
            <w:pPr>
              <w:spacing w:after="0"/>
              <w:rPr>
                <w:sz w:val="1"/>
                <w:szCs w:val="1"/>
                <w:color w:val="auto"/>
              </w:rPr>
            </w:pPr>
          </w:p>
        </w:tc>
      </w:tr>
      <w:tr>
        <w:trPr>
          <w:trHeight w:val="186"/>
        </w:trPr>
        <w:tc>
          <w:tcPr>
            <w:tcW w:w="3800" w:type="dxa"/>
            <w:vAlign w:val="bottom"/>
          </w:tcPr>
          <w:p>
            <w:pPr>
              <w:ind w:left="20"/>
              <w:spacing w:after="0"/>
              <w:rPr>
                <w:sz w:val="20"/>
                <w:szCs w:val="20"/>
                <w:color w:val="auto"/>
              </w:rPr>
            </w:pPr>
            <w:r>
              <w:rPr>
                <w:rFonts w:ascii="Arial" w:cs="Arial" w:eastAsia="Arial" w:hAnsi="Arial"/>
                <w:sz w:val="14"/>
                <w:szCs w:val="14"/>
                <w:color w:val="auto"/>
              </w:rPr>
              <w:t>Balance at March 31,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38,119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2,558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w w:val="96"/>
              </w:rPr>
              <w:t>(100,027)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316,823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(8,668)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119,218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327,727</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189"/>
        </w:trPr>
        <w:tc>
          <w:tcPr>
            <w:tcW w:w="8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ind w:right="259"/>
              <w:spacing w:after="0"/>
              <w:rPr>
                <w:sz w:val="20"/>
                <w:szCs w:val="20"/>
                <w:color w:val="auto"/>
              </w:rPr>
            </w:pPr>
            <w:r>
              <w:rPr>
                <w:rFonts w:ascii="Arial" w:cs="Arial" w:eastAsia="Arial" w:hAnsi="Arial"/>
                <w:sz w:val="14"/>
                <w:szCs w:val="14"/>
                <w:b w:val="1"/>
                <w:bCs w:val="1"/>
                <w:color w:val="auto"/>
              </w:rPr>
              <w:t>2020</w:t>
            </w:r>
          </w:p>
        </w:tc>
      </w:tr>
      <w:tr>
        <w:trPr>
          <w:trHeight w:val="26"/>
        </w:trPr>
        <w:tc>
          <w:tcPr>
            <w:tcW w:w="8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8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29,514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4,318</w:t>
            </w: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3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10,519</w:t>
            </w:r>
          </w:p>
        </w:tc>
      </w:tr>
      <w:tr>
        <w:trPr>
          <w:trHeight w:val="219"/>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13"/>
        </w:trPr>
        <w:tc>
          <w:tcPr>
            <w:tcW w:w="8340" w:type="dxa"/>
            <w:vAlign w:val="bottom"/>
          </w:tcPr>
          <w:p>
            <w:pPr>
              <w:ind w:left="220"/>
              <w:spacing w:after="0"/>
              <w:rPr>
                <w:sz w:val="20"/>
                <w:szCs w:val="20"/>
                <w:color w:val="auto"/>
              </w:rPr>
            </w:pPr>
            <w:r>
              <w:rPr>
                <w:rFonts w:ascii="Arial" w:cs="Arial" w:eastAsia="Arial" w:hAnsi="Arial"/>
                <w:sz w:val="16"/>
                <w:szCs w:val="16"/>
                <w:color w:val="auto"/>
              </w:rPr>
              <w:t>Non-cash equity-based compensation</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5,760</w:t>
            </w:r>
          </w:p>
        </w:tc>
      </w:tr>
      <w:tr>
        <w:trPr>
          <w:trHeight w:val="219"/>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Bad debt expense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r>
      <w:tr>
        <w:trPr>
          <w:trHeight w:val="213"/>
        </w:trPr>
        <w:tc>
          <w:tcPr>
            <w:tcW w:w="83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r>
      <w:tr>
        <w:trPr>
          <w:trHeight w:val="213"/>
        </w:trPr>
        <w:tc>
          <w:tcPr>
            <w:tcW w:w="8340" w:type="dxa"/>
            <w:vAlign w:val="bottom"/>
          </w:tcPr>
          <w:p>
            <w:pPr>
              <w:ind w:left="480"/>
              <w:spacing w:after="0"/>
              <w:rPr>
                <w:sz w:val="20"/>
                <w:szCs w:val="20"/>
                <w:color w:val="auto"/>
              </w:rPr>
            </w:pPr>
            <w:r>
              <w:rPr>
                <w:rFonts w:ascii="Arial" w:cs="Arial" w:eastAsia="Arial" w:hAnsi="Arial"/>
                <w:sz w:val="16"/>
                <w:szCs w:val="16"/>
                <w:color w:val="auto"/>
              </w:rPr>
              <w:t>Prepaid expenses and other current and non-current assets</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(2,207)</w:t>
            </w:r>
          </w:p>
        </w:tc>
      </w:tr>
      <w:tr>
        <w:trPr>
          <w:trHeight w:val="219"/>
        </w:trPr>
        <w:tc>
          <w:tcPr>
            <w:tcW w:w="8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and other current and non-current liabilities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w:t>
            </w:r>
          </w:p>
        </w:tc>
      </w:tr>
      <w:tr>
        <w:trPr>
          <w:trHeight w:val="213"/>
        </w:trPr>
        <w:tc>
          <w:tcPr>
            <w:tcW w:w="8340" w:type="dxa"/>
            <w:vAlign w:val="bottom"/>
          </w:tcPr>
          <w:p>
            <w:pPr>
              <w:ind w:left="480"/>
              <w:spacing w:after="0"/>
              <w:rPr>
                <w:sz w:val="20"/>
                <w:szCs w:val="20"/>
                <w:color w:val="auto"/>
              </w:rPr>
            </w:pPr>
            <w:r>
              <w:rPr>
                <w:rFonts w:ascii="Arial" w:cs="Arial" w:eastAsia="Arial" w:hAnsi="Arial"/>
                <w:sz w:val="16"/>
                <w:szCs w:val="16"/>
                <w:color w:val="auto"/>
              </w:rPr>
              <w:t>Long-term incentives related to acquisitions</w:t>
            </w:r>
          </w:p>
        </w:tc>
        <w:tc>
          <w:tcPr>
            <w:tcW w:w="4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(7,759)</w:t>
            </w:r>
          </w:p>
        </w:tc>
      </w:tr>
      <w:tr>
        <w:trPr>
          <w:trHeight w:val="219"/>
        </w:trPr>
        <w:tc>
          <w:tcPr>
            <w:tcW w:w="8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Contributor royalties payable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r>
      <w:tr>
        <w:trPr>
          <w:trHeight w:val="213"/>
        </w:trPr>
        <w:tc>
          <w:tcPr>
            <w:tcW w:w="83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Deferred revenue</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(2,982)</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35,828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6,859</w:t>
            </w:r>
          </w:p>
        </w:tc>
      </w:tr>
      <w:tr>
        <w:trPr>
          <w:trHeight w:val="199"/>
        </w:trPr>
        <w:tc>
          <w:tcPr>
            <w:tcW w:w="8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3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(7,719)</w:t>
            </w:r>
          </w:p>
        </w:tc>
      </w:tr>
      <w:tr>
        <w:trPr>
          <w:trHeight w:val="219"/>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Business combination, net of cash acquired</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40" w:type="dxa"/>
            <w:vAlign w:val="bottom"/>
          </w:tcPr>
          <w:p>
            <w:pPr>
              <w:ind w:left="220"/>
              <w:spacing w:after="0"/>
              <w:rPr>
                <w:sz w:val="20"/>
                <w:szCs w:val="20"/>
                <w:color w:val="auto"/>
              </w:rPr>
            </w:pPr>
            <w:r>
              <w:rPr>
                <w:rFonts w:ascii="Arial" w:cs="Arial" w:eastAsia="Arial" w:hAnsi="Arial"/>
                <w:sz w:val="16"/>
                <w:szCs w:val="16"/>
                <w:color w:val="auto"/>
              </w:rPr>
              <w:t>Acquisition of content</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(723)</w:t>
            </w:r>
          </w:p>
        </w:tc>
      </w:tr>
      <w:tr>
        <w:trPr>
          <w:trHeight w:val="219"/>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Security deposit (payment) / release</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(81,213)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(8,411)</w:t>
            </w:r>
          </w:p>
        </w:tc>
      </w:tr>
      <w:tr>
        <w:trPr>
          <w:trHeight w:val="199"/>
        </w:trPr>
        <w:tc>
          <w:tcPr>
            <w:tcW w:w="8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40" w:type="dxa"/>
            <w:vAlign w:val="bottom"/>
          </w:tcPr>
          <w:p>
            <w:pPr>
              <w:ind w:left="220"/>
              <w:spacing w:after="0"/>
              <w:rPr>
                <w:sz w:val="20"/>
                <w:szCs w:val="20"/>
                <w:color w:val="auto"/>
              </w:rPr>
            </w:pPr>
            <w:r>
              <w:rPr>
                <w:rFonts w:ascii="Arial" w:cs="Arial" w:eastAsia="Arial" w:hAnsi="Arial"/>
                <w:sz w:val="16"/>
                <w:szCs w:val="16"/>
                <w:color w:val="auto"/>
              </w:rPr>
              <w:t>Cash paid related to settlement of employee taxes related to RSU vesting</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(1,761)</w:t>
            </w:r>
          </w:p>
        </w:tc>
      </w:tr>
      <w:tr>
        <w:trPr>
          <w:trHeight w:val="219"/>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cash dividend</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(6,040)</w:t>
            </w:r>
          </w:p>
        </w:tc>
      </w:tr>
      <w:tr>
        <w:trPr>
          <w:trHeight w:val="207"/>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(7,801)</w:t>
            </w:r>
          </w:p>
        </w:tc>
      </w:tr>
      <w:tr>
        <w:trPr>
          <w:trHeight w:val="199"/>
        </w:trPr>
        <w:tc>
          <w:tcPr>
            <w:tcW w:w="8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rate changes on cash</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(64,648)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(10,163)</w:t>
            </w:r>
          </w:p>
        </w:tc>
      </w:tr>
      <w:tr>
        <w:trPr>
          <w:trHeight w:val="216"/>
        </w:trPr>
        <w:tc>
          <w:tcPr>
            <w:tcW w:w="8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428,574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305,874</w:t>
            </w:r>
          </w:p>
        </w:tc>
      </w:tr>
      <w:tr>
        <w:trPr>
          <w:trHeight w:val="206"/>
        </w:trPr>
        <w:tc>
          <w:tcPr>
            <w:tcW w:w="83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363,926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295,711</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6"/>
        </w:trPr>
        <w:tc>
          <w:tcPr>
            <w:tcW w:w="8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Information:</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income taxes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Operations</w:t>
      </w:r>
    </w:p>
    <w:p>
      <w:pPr>
        <w:spacing w:after="0" w:line="158"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Shutterstock, Inc. (the “Company” or “Shutterstock”) is a leading creative platform offering full-service solutions, high-quality content, and tools for brands, businesses and media companies. The Company’s platform brings together users and contributors of content by providing readily-searchable content that our customers pay to license and by compensating contributors as their content is licensed.</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content licensed by the Company’s customers includes:</w:t>
      </w:r>
    </w:p>
    <w:p>
      <w:pPr>
        <w:spacing w:after="0" w:line="158" w:lineRule="exact"/>
        <w:rPr>
          <w:sz w:val="20"/>
          <w:szCs w:val="20"/>
          <w:color w:val="auto"/>
        </w:rPr>
      </w:pPr>
    </w:p>
    <w:p>
      <w:pPr>
        <w:ind w:left="980" w:right="2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62" w:lineRule="exact"/>
        <w:rPr>
          <w:rFonts w:ascii="Arial" w:cs="Arial" w:eastAsia="Arial" w:hAnsi="Arial"/>
          <w:sz w:val="18"/>
          <w:szCs w:val="18"/>
          <w:color w:val="auto"/>
        </w:rPr>
      </w:pPr>
    </w:p>
    <w:p>
      <w:pPr>
        <w:ind w:left="980" w:right="420" w:hanging="324"/>
        <w:spacing w:after="0" w:line="308"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Music - consisting of high-quality music tracks and sound effects, which are often used to complement images and footage.</w:t>
      </w:r>
    </w:p>
    <w:p>
      <w:pPr>
        <w:spacing w:after="0" w:line="117" w:lineRule="exact"/>
        <w:rPr>
          <w:rFonts w:ascii="Arial" w:cs="Arial" w:eastAsia="Arial" w:hAnsi="Arial"/>
          <w:sz w:val="18"/>
          <w:szCs w:val="18"/>
          <w:color w:val="auto"/>
        </w:rPr>
      </w:pPr>
    </w:p>
    <w:p>
      <w:pPr>
        <w:ind w:left="980" w:right="42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3D Models - following the Company’s acquisition of TurboSquid, Inc. on February 1, 2021, Shutterstock now offers 3D models, used in industries such as advertising, media &amp; video production, gaming, retail, education, design and architecture. See Note 3 Acquisition.</w:t>
      </w:r>
    </w:p>
    <w:p>
      <w:pPr>
        <w:spacing w:after="0" w:line="5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licenses content to its customers. Contributors upload their content to the Company’s web properties in exchange for royalty payments based on customer download activity.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1"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The interim Consolidated Balance Sheet as of March 31, 2021, and the Consolidated Statements of Operations, Comprehensive Income, Stockholders’ Equity and Cash Flows for the three months ended March 31, 2021 and 2020, are unaudited. The Consolidated Balance Sheet as of December 31, 2020,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March 31, 2021, and its consolidated results of operations, comprehensive income, stockholders’ equity and cash flows for the three months ended March 31, 2021 and 2020. The financial data and the other financial information disclosed in the notes to the financial statements related to these periods are also unaudited. The results of operations for the three months ended March 31, 2021 are not necessarily indicative of the results to be expected for the fiscal year ending December 31, 2021 or for any other future annual or interim period.</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These financial statements should be read in conjunction with the Company’s audited consolidated financial statements and notes thereto as of and for the year ended December 31, 2020 included in the Company’s Annual Report on Form 10-K, which was filed with the SEC on February 11, 2021.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200" w:lineRule="exact"/>
        <w:rPr>
          <w:sz w:val="20"/>
          <w:szCs w:val="20"/>
          <w:color w:val="auto"/>
        </w:rPr>
      </w:pPr>
    </w:p>
    <w:p>
      <w:pPr>
        <w:spacing w:after="0" w:line="3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cash and cash equivalents consist primarily of cash on hand, bank deposits, money market funds and commercial paper.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(i) the aging of its accounts receivable considering historical receivables loss rates, (ii) on a customer-by-customer basis, where appropriate, and (iii) the economic environments in which the Company operates.</w:t>
      </w:r>
    </w:p>
    <w:p>
      <w:pPr>
        <w:spacing w:after="0" w:line="7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During the three months ended March 31, 2021, the Company recorded bad debt expense of $0.5 million. As of March 31, 2021 and December 31, 2020, the Company’s allowance for doubtful accounts was approximately $5.5 million and $4.9 million, respectively. The allowance for doubtful accounts is included as a reduction of accounts receivable on the Consolidated Balance Sheets.</w:t>
      </w:r>
    </w:p>
    <w:p>
      <w:pPr>
        <w:spacing w:after="0" w:line="116"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 xml:space="preserve">The Company adopted ASU 2016-13, </w:t>
      </w:r>
      <w:r>
        <w:rPr>
          <w:rFonts w:ascii="Arial" w:cs="Arial" w:eastAsia="Arial" w:hAnsi="Arial"/>
          <w:sz w:val="18"/>
          <w:szCs w:val="18"/>
          <w:i w:val="1"/>
          <w:iCs w:val="1"/>
          <w:color w:val="auto"/>
        </w:rPr>
        <w:t>Financial Instruments - Credit Losses (Topic 326): Measurement of Credit Losses of Financial Instruments</w:t>
      </w:r>
      <w:r>
        <w:rPr>
          <w:rFonts w:ascii="Arial" w:cs="Arial" w:eastAsia="Arial" w:hAnsi="Arial"/>
          <w:sz w:val="18"/>
          <w:szCs w:val="18"/>
          <w:color w:val="auto"/>
        </w:rPr>
        <w:t xml:space="preserve"> (“ASU 2016-13”) on January 1, 2020, using the modified retrospective method and recorded a cumulative-effect adjustment of $0.2 million, net of tax, in retained earnings as of January 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Chargeback and Sales Refund Allowance</w:t>
      </w:r>
    </w:p>
    <w:p>
      <w:pPr>
        <w:spacing w:after="0" w:line="117" w:lineRule="exact"/>
        <w:rPr>
          <w:sz w:val="20"/>
          <w:szCs w:val="20"/>
          <w:color w:val="auto"/>
        </w:rPr>
      </w:pPr>
    </w:p>
    <w:p>
      <w:pPr>
        <w:ind w:right="60" w:firstLine="405"/>
        <w:spacing w:after="0" w:line="311" w:lineRule="auto"/>
        <w:rPr>
          <w:sz w:val="20"/>
          <w:szCs w:val="20"/>
          <w:color w:val="auto"/>
        </w:rPr>
      </w:pPr>
      <w:r>
        <w:rPr>
          <w:rFonts w:ascii="Arial" w:cs="Arial" w:eastAsia="Arial" w:hAnsi="Arial"/>
          <w:sz w:val="16"/>
          <w:szCs w:val="16"/>
          <w:color w:val="auto"/>
        </w:rPr>
        <w:t>The Company establishes a chargeback allowance and sales refund reserve allowance based on factors surrounding historical credit card chargeback trends, historical sales refund trends and other information. As of March 31, 2021 and December 31, 2020, the Company’s combined allowance for chargebacks and sales refunds was $0.5 million, which was included as a component of other current liabilities on the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w:t>
      </w:r>
    </w:p>
    <w:p>
      <w:pPr>
        <w:spacing w:after="0" w:line="76"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Company recognizes revenue upon the satisfaction of performance obligations, which generally occurs when content is downloaded by a customer. The Company recognizes revenue on both its subscription-based and transaction-based products when content is downloaded, at which time the license is provided. In addition, management estimates expected unused licenses for subscription-based products and recognizes the estimated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The Company expenses contract acquisition costs as incurred, to the extent that the amortization period would otherwise be one year or less.</w:t>
      </w:r>
    </w:p>
    <w:p>
      <w:pPr>
        <w:spacing w:after="0" w:line="96"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Collectability is reasonably assured at the time the electronic order or contract is entered. The majority of the Company’s customers purchase products by making an electronic payment with a credit card at the time of a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200" w:lineRule="exact"/>
        <w:rPr>
          <w:sz w:val="20"/>
          <w:szCs w:val="20"/>
          <w:color w:val="auto"/>
        </w:rPr>
      </w:pPr>
    </w:p>
    <w:p>
      <w:pPr>
        <w:spacing w:after="0" w:line="39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0" w:name="page11"/>
    <w:bookmarkEnd w:id="10"/>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 Updates</w:t>
      </w:r>
    </w:p>
    <w:p>
      <w:pPr>
        <w:spacing w:after="0" w:line="15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(“ASU-2019-12”). ASU 2019-12 eliminates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enacted changes in tax laws or rates and clarifies the accounting transactions that result in a step-up in the tax basis of goodwill. The guidance is effective for fiscal years beginning after December 15, 2020 and interim periods within those fiscal years. The Company adopted ASU 2019-12, effective January 1, 2021. The impact of adoption of this standard on the consolidated financial statements, including accounting policies, processes and systems, was not material.</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 and Long-term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Company had no assets or liabilities requiring fair value hierarchy disclosures as of March 31, 2021 or December 31, 2020, except as noted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63"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Cash equivalents include money market accounts and short-term commercial paper and are classified as a level 1 measurement based on quoted prices in active markets for identical assets that the reporting entity can access at the measurement date. As of March 31, 2021 and December 31, 2020, the Company had cash equivalent balances of $255.0 million and $250.0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Measurements</w:t>
      </w:r>
    </w:p>
    <w:p>
      <w:pPr>
        <w:spacing w:after="0" w:line="6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carrying amounts of cash and cash equivalents, accounts receivable, accounts payable and accrued expenses approximate fair value because of the short-term nature of these instruments. The Company’s non-financial assets, which include property and equipment,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16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of March 31, 2021 and December 31, 2020, the Company’s long-term investments are in equity securities with no readily determinable fair value, totaled $20.0 million, and is reported within other assets on the Consolidated Balance Sheets. The Company uses the measurement alternative for these equity investments and their carrying value is reported at cost, adjusted for impairments or any observable price changes in ordinary transactions with identical or similar investments.</w:t>
      </w:r>
    </w:p>
    <w:p>
      <w:pPr>
        <w:spacing w:after="0" w:line="106"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On a quarterly basis, the Company evaluates the carrying value of its long-term investments for impairment, which includes an assessment of revenue growth, earnings performance, working capital and general market conditions. As of March 31, 2021, no adjustments to the carrying values of the Company’s long-term investments were identified as a result of this assessment. Changes in performance negatively impacting operating results and cash flows of these investments could result in the Company recording an impairment charge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right="9620" w:hanging="412"/>
        <w:spacing w:after="0" w:line="425" w:lineRule="auto"/>
        <w:tabs>
          <w:tab w:leader="none" w:pos="2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 </w:t>
      </w:r>
      <w:r>
        <w:rPr>
          <w:rFonts w:ascii="Arial" w:cs="Arial" w:eastAsia="Arial" w:hAnsi="Arial"/>
          <w:sz w:val="16"/>
          <w:szCs w:val="16"/>
          <w:i w:val="1"/>
          <w:iCs w:val="1"/>
          <w:color w:val="auto"/>
        </w:rPr>
        <w:t>TurboSquid, Inc.</w:t>
      </w:r>
    </w:p>
    <w:p>
      <w:pPr>
        <w:ind w:right="40" w:firstLine="405"/>
        <w:spacing w:after="0" w:line="259" w:lineRule="auto"/>
        <w:rPr>
          <w:sz w:val="20"/>
          <w:szCs w:val="20"/>
          <w:color w:val="auto"/>
        </w:rPr>
      </w:pPr>
      <w:r>
        <w:rPr>
          <w:rFonts w:ascii="Arial" w:cs="Arial" w:eastAsia="Arial" w:hAnsi="Arial"/>
          <w:sz w:val="18"/>
          <w:szCs w:val="18"/>
          <w:color w:val="auto"/>
        </w:rPr>
        <w:t>On February 1, 2021, the Company completed its acquisition of all of the outstanding shares of TurboSquid, Inc. (“TurboSquid”), for approximately $77.3 million, subject to customary working capital adjustments. The transaction was accounted for using the acquisition method and, accordingly, the results of the acquired business have been included in the Company’s results of operations from the acquisition date. In connection with the acquisition, the Company incurred approximately $1.6 million of transaction costs.</w:t>
      </w:r>
    </w:p>
    <w:p>
      <w:pPr>
        <w:spacing w:after="0" w:line="79" w:lineRule="exact"/>
        <w:rPr>
          <w:sz w:val="20"/>
          <w:szCs w:val="20"/>
          <w:color w:val="auto"/>
        </w:rPr>
      </w:pPr>
    </w:p>
    <w:p>
      <w:pPr>
        <w:ind w:right="480" w:firstLine="405"/>
        <w:spacing w:after="0" w:line="263" w:lineRule="auto"/>
        <w:rPr>
          <w:sz w:val="20"/>
          <w:szCs w:val="20"/>
          <w:color w:val="auto"/>
        </w:rPr>
      </w:pPr>
      <w:r>
        <w:rPr>
          <w:rFonts w:ascii="Arial" w:cs="Arial" w:eastAsia="Arial" w:hAnsi="Arial"/>
          <w:sz w:val="18"/>
          <w:szCs w:val="18"/>
          <w:color w:val="auto"/>
        </w:rPr>
        <w:t>TurboSquid is a Louisiana-based company that operates a marketplace offering more than one million 3D models, a marketplace for 2D images derived from 3D objects and a digital asset management solution. The Company believes this acquisition establishes Shutterstock as the premium destination for 3D models as well as 3D models in an easy-to-use 2D format.</w:t>
      </w:r>
    </w:p>
    <w:p>
      <w:pPr>
        <w:spacing w:after="0" w:line="7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fair value of consideration transferred in this business combination was allocated to the intangible and tangible assets acquired and liabilities assumed at the acquisition date, with the remaining unallocated amount recorded as goodwill.</w:t>
      </w:r>
    </w:p>
    <w:p>
      <w:pPr>
        <w:spacing w:after="0" w:line="62"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total purchase price was paid with existing cash on hand in the three months ended March 31, 2021, subject to working capital adjustments which are expected to be settled during the second quarter of 2021. The Company is in the process of finalizing the working capital adjustments. Accordingly, management has used their best estimate in the initial purchase price allocation as of the date of these financial statements.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purchase price was allocated to the assets acquired and liabilities assumed as follows (in thousands):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Assets acquired and liabilities assumed:</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3"/>
              </w:rPr>
              <w:t>Fair Value at Acquisition</w:t>
            </w:r>
          </w:p>
        </w:tc>
        <w:tc>
          <w:tcPr>
            <w:tcW w:w="0" w:type="dxa"/>
            <w:vAlign w:val="bottom"/>
          </w:tcPr>
          <w:p>
            <w:pPr>
              <w:spacing w:after="0"/>
              <w:rPr>
                <w:sz w:val="1"/>
                <w:szCs w:val="1"/>
                <w:color w:val="auto"/>
              </w:rPr>
            </w:pPr>
          </w:p>
        </w:tc>
      </w:tr>
      <w:tr>
        <w:trPr>
          <w:trHeight w:val="189"/>
        </w:trPr>
        <w:tc>
          <w:tcPr>
            <w:tcW w:w="94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6"/>
        </w:trPr>
        <w:tc>
          <w:tcPr>
            <w:tcW w:w="948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5,165</w:t>
            </w:r>
          </w:p>
        </w:tc>
        <w:tc>
          <w:tcPr>
            <w:tcW w:w="0" w:type="dxa"/>
            <w:vAlign w:val="bottom"/>
          </w:tcPr>
          <w:p>
            <w:pPr>
              <w:spacing w:after="0"/>
              <w:rPr>
                <w:sz w:val="1"/>
                <w:szCs w:val="1"/>
                <w:color w:val="auto"/>
              </w:rPr>
            </w:pPr>
          </w:p>
        </w:tc>
      </w:tr>
      <w:tr>
        <w:trPr>
          <w:trHeight w:val="219"/>
        </w:trPr>
        <w:tc>
          <w:tcPr>
            <w:tcW w:w="9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13"/>
        </w:trPr>
        <w:tc>
          <w:tcPr>
            <w:tcW w:w="9480" w:type="dxa"/>
            <w:vAlign w:val="bottom"/>
          </w:tcPr>
          <w:p>
            <w:pPr>
              <w:ind w:left="240"/>
              <w:spacing w:after="0"/>
              <w:rPr>
                <w:sz w:val="20"/>
                <w:szCs w:val="20"/>
                <w:color w:val="auto"/>
              </w:rPr>
            </w:pPr>
            <w:r>
              <w:rPr>
                <w:rFonts w:ascii="Arial" w:cs="Arial" w:eastAsia="Arial" w:hAnsi="Arial"/>
                <w:sz w:val="16"/>
                <w:szCs w:val="16"/>
                <w:color w:val="auto"/>
              </w:rPr>
              <w:t>Property and equipment</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9"/>
        </w:trPr>
        <w:tc>
          <w:tcPr>
            <w:tcW w:w="9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 assets</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21,500</w:t>
            </w:r>
          </w:p>
        </w:tc>
        <w:tc>
          <w:tcPr>
            <w:tcW w:w="0" w:type="dxa"/>
            <w:vAlign w:val="bottom"/>
          </w:tcPr>
          <w:p>
            <w:pPr>
              <w:spacing w:after="0"/>
              <w:rPr>
                <w:sz w:val="1"/>
                <w:szCs w:val="1"/>
                <w:color w:val="auto"/>
              </w:rPr>
            </w:pPr>
          </w:p>
        </w:tc>
      </w:tr>
      <w:tr>
        <w:trPr>
          <w:trHeight w:val="213"/>
        </w:trPr>
        <w:tc>
          <w:tcPr>
            <w:tcW w:w="9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Goodwill</w:t>
            </w: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59,491</w:t>
            </w:r>
          </w:p>
        </w:tc>
        <w:tc>
          <w:tcPr>
            <w:tcW w:w="0" w:type="dxa"/>
            <w:vAlign w:val="bottom"/>
          </w:tcPr>
          <w:p>
            <w:pPr>
              <w:spacing w:after="0"/>
              <w:rPr>
                <w:sz w:val="1"/>
                <w:szCs w:val="1"/>
                <w:color w:val="auto"/>
              </w:rPr>
            </w:pPr>
          </w:p>
        </w:tc>
      </w:tr>
      <w:tr>
        <w:trPr>
          <w:trHeight w:val="213"/>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acquired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88,181</w:t>
            </w:r>
          </w:p>
        </w:tc>
        <w:tc>
          <w:tcPr>
            <w:tcW w:w="0" w:type="dxa"/>
            <w:vAlign w:val="bottom"/>
          </w:tcPr>
          <w:p>
            <w:pPr>
              <w:spacing w:after="0"/>
              <w:rPr>
                <w:sz w:val="1"/>
                <w:szCs w:val="1"/>
                <w:color w:val="auto"/>
              </w:rPr>
            </w:pPr>
          </w:p>
        </w:tc>
      </w:tr>
      <w:tr>
        <w:trPr>
          <w:trHeight w:val="34"/>
        </w:trPr>
        <w:tc>
          <w:tcPr>
            <w:tcW w:w="9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accrued expenses and other liabilities</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0" w:type="dxa"/>
            <w:vAlign w:val="bottom"/>
          </w:tcPr>
          <w:p>
            <w:pPr>
              <w:spacing w:after="0"/>
              <w:rPr>
                <w:sz w:val="1"/>
                <w:szCs w:val="1"/>
                <w:color w:val="auto"/>
              </w:rPr>
            </w:pPr>
          </w:p>
        </w:tc>
      </w:tr>
      <w:tr>
        <w:trPr>
          <w:trHeight w:val="213"/>
        </w:trPr>
        <w:tc>
          <w:tcPr>
            <w:tcW w:w="9480" w:type="dxa"/>
            <w:vAlign w:val="bottom"/>
          </w:tcPr>
          <w:p>
            <w:pPr>
              <w:ind w:left="240"/>
              <w:spacing w:after="0"/>
              <w:rPr>
                <w:sz w:val="20"/>
                <w:szCs w:val="20"/>
                <w:color w:val="auto"/>
              </w:rPr>
            </w:pPr>
            <w:r>
              <w:rPr>
                <w:rFonts w:ascii="Arial" w:cs="Arial" w:eastAsia="Arial" w:hAnsi="Arial"/>
                <w:sz w:val="16"/>
                <w:szCs w:val="16"/>
                <w:color w:val="auto"/>
              </w:rPr>
              <w:t>Contributor royalties payable</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219"/>
        </w:trPr>
        <w:tc>
          <w:tcPr>
            <w:tcW w:w="9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liability</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(3,923)</w:t>
            </w:r>
          </w:p>
        </w:tc>
        <w:tc>
          <w:tcPr>
            <w:tcW w:w="0" w:type="dxa"/>
            <w:vAlign w:val="bottom"/>
          </w:tcPr>
          <w:p>
            <w:pPr>
              <w:spacing w:after="0"/>
              <w:rPr>
                <w:sz w:val="1"/>
                <w:szCs w:val="1"/>
                <w:color w:val="auto"/>
              </w:rPr>
            </w:pPr>
          </w:p>
        </w:tc>
      </w:tr>
      <w:tr>
        <w:trPr>
          <w:trHeight w:val="207"/>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 assumed</w:t>
            </w: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(10,851)</w:t>
            </w:r>
          </w:p>
        </w:tc>
        <w:tc>
          <w:tcPr>
            <w:tcW w:w="0" w:type="dxa"/>
            <w:vAlign w:val="bottom"/>
          </w:tcPr>
          <w:p>
            <w:pPr>
              <w:spacing w:after="0"/>
              <w:rPr>
                <w:sz w:val="1"/>
                <w:szCs w:val="1"/>
                <w:color w:val="auto"/>
              </w:rPr>
            </w:pPr>
          </w:p>
        </w:tc>
      </w:tr>
      <w:tr>
        <w:trPr>
          <w:trHeight w:val="23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77,330</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identifiable intangible assets, which include customer relationships, developed technology, trade names and contributor content, have a weighted average life of approximately 8.2 years and are being amortized on a straight-line basis. The fair value of the customer relationships was determined using a variation of the income approach known as the multiple-period excess earnings method. The fair value of the trade names and developed technology were determined using the relief-from-royalty method and the fair value of the contributor content was determined using the cost-to-recreate method.</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following unaudited pro forma consolidated financial information (in thousands) reflects the results of operations of the Company for the three months ended March 31, 2021 and 2020, as if the TurboSquid acquisition had been completed on January 1, 2020, after giving effect to certain purchase accounting adjustments, primarily related to intangible assets. These pro forma results have been prepared for comparative purposes only and are not necessarily indicative of what the Company’s operating results would have been, had the acquisitions actually taken place at the beginning of the previous annual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3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193"/>
        </w:trPr>
        <w:tc>
          <w:tcPr>
            <w:tcW w:w="8360" w:type="dxa"/>
            <w:vAlign w:val="bottom"/>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 Reported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183,281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161,285</w:t>
            </w:r>
          </w:p>
        </w:tc>
      </w:tr>
      <w:tr>
        <w:trPr>
          <w:trHeight w:val="213"/>
        </w:trPr>
        <w:tc>
          <w:tcPr>
            <w:tcW w:w="8360" w:type="dxa"/>
            <w:vAlign w:val="bottom"/>
          </w:tcPr>
          <w:p>
            <w:pPr>
              <w:ind w:left="140"/>
              <w:spacing w:after="0"/>
              <w:rPr>
                <w:sz w:val="20"/>
                <w:szCs w:val="20"/>
                <w:color w:val="auto"/>
              </w:rPr>
            </w:pPr>
            <w:r>
              <w:rPr>
                <w:rFonts w:ascii="Arial" w:cs="Arial" w:eastAsia="Arial" w:hAnsi="Arial"/>
                <w:sz w:val="16"/>
                <w:szCs w:val="16"/>
                <w:color w:val="auto"/>
              </w:rPr>
              <w:t>Pro Forma</w:t>
            </w:r>
          </w:p>
        </w:tc>
        <w:tc>
          <w:tcPr>
            <w:tcW w:w="28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185,344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166,723</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360" w:type="dxa"/>
            <w:vAlign w:val="bottom"/>
          </w:tcPr>
          <w:p>
            <w:pPr>
              <w:ind w:left="140"/>
              <w:spacing w:after="0"/>
              <w:rPr>
                <w:sz w:val="20"/>
                <w:szCs w:val="20"/>
                <w:color w:val="auto"/>
              </w:rPr>
            </w:pPr>
            <w:r>
              <w:rPr>
                <w:rFonts w:ascii="Arial" w:cs="Arial" w:eastAsia="Arial" w:hAnsi="Arial"/>
                <w:sz w:val="16"/>
                <w:szCs w:val="16"/>
                <w:color w:val="auto"/>
              </w:rPr>
              <w:t>As Reported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35,656</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6,294</w:t>
            </w:r>
          </w:p>
        </w:tc>
      </w:tr>
      <w:tr>
        <w:trPr>
          <w:trHeight w:val="219"/>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 Forma</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36,957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is summarized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As of December 31, 2020</w:t>
            </w:r>
          </w:p>
        </w:tc>
      </w:tr>
      <w:tr>
        <w:trPr>
          <w:trHeight w:val="216"/>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equipment and software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200,493</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193,141</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10,245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10,235</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19,382</w:t>
            </w:r>
          </w:p>
        </w:tc>
      </w:tr>
      <w:tr>
        <w:trPr>
          <w:trHeight w:val="207"/>
        </w:trPr>
        <w:tc>
          <w:tcPr>
            <w:tcW w:w="7980" w:type="dxa"/>
            <w:vAlign w:val="bottom"/>
          </w:tcPr>
          <w:p>
            <w:pPr>
              <w:ind w:left="140"/>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230,106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222,758</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(171,852)</w:t>
            </w:r>
          </w:p>
        </w:tc>
      </w:tr>
      <w:tr>
        <w:trPr>
          <w:trHeight w:val="207"/>
        </w:trPr>
        <w:tc>
          <w:tcPr>
            <w:tcW w:w="798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50,366</w:t>
            </w:r>
          </w:p>
        </w:tc>
        <w:tc>
          <w:tcPr>
            <w:tcW w:w="100" w:type="dxa"/>
            <w:vAlign w:val="bottom"/>
          </w:tcPr>
          <w:p>
            <w:pPr>
              <w:spacing w:after="0"/>
              <w:rPr>
                <w:sz w:val="17"/>
                <w:szCs w:val="17"/>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50,906</w:t>
            </w:r>
          </w:p>
        </w:tc>
      </w:tr>
      <w:tr>
        <w:trPr>
          <w:trHeight w:val="23"/>
        </w:trPr>
        <w:tc>
          <w:tcPr>
            <w:tcW w:w="7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color w:val="auto"/>
        </w:rPr>
        <w:t>Depreciation and amortization expense related to property and equipment was $8.0 million and $9.3 million for the three months ended March 31, 2021 and 2020, respectively. Of these amounts, $7.1 million and $8.2 million are included in cost of revenue for the three months ended March 31, 2021 and 2020, respectively, and $0.9 million and $1.1 million are included in general and administrative expense for the three months ended March 31, 2021 and 2020, respectively.</w:t>
      </w:r>
    </w:p>
    <w:p>
      <w:pPr>
        <w:spacing w:after="0" w:line="18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Depreciation and amortization expense is included in cost of revenue and general and administrative expense in the Consolidated Statements of Operations based on the nature of the asset being depreciated.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Internal-Use Software</w:t>
      </w:r>
    </w:p>
    <w:p>
      <w:pPr>
        <w:spacing w:after="0" w:line="63" w:lineRule="exact"/>
        <w:rPr>
          <w:sz w:val="20"/>
          <w:szCs w:val="20"/>
          <w:color w:val="auto"/>
        </w:rPr>
      </w:pPr>
    </w:p>
    <w:p>
      <w:pPr>
        <w:jc w:val="both"/>
        <w:ind w:right="520" w:firstLine="405"/>
        <w:spacing w:after="0" w:line="263" w:lineRule="auto"/>
        <w:rPr>
          <w:sz w:val="20"/>
          <w:szCs w:val="20"/>
          <w:color w:val="auto"/>
        </w:rPr>
      </w:pPr>
      <w:r>
        <w:rPr>
          <w:rFonts w:ascii="Arial" w:cs="Arial" w:eastAsia="Arial" w:hAnsi="Arial"/>
          <w:sz w:val="18"/>
          <w:szCs w:val="18"/>
          <w:color w:val="auto"/>
        </w:rPr>
        <w:t>The Company capitalized costs related to the development of internal-use software of $7.0 million and $6.6 million for the three months ended March 31, 2021 and 2020, respectively. Capitalized amounts are included as a component of property and equipment under computer equipment and software on the Consolidated Balance Sheets.</w:t>
      </w:r>
    </w:p>
    <w:p>
      <w:pPr>
        <w:spacing w:after="0" w:line="76" w:lineRule="exact"/>
        <w:rPr>
          <w:sz w:val="20"/>
          <w:szCs w:val="20"/>
          <w:color w:val="auto"/>
        </w:rPr>
      </w:pPr>
    </w:p>
    <w:p>
      <w:pPr>
        <w:jc w:val="both"/>
        <w:ind w:right="300" w:firstLine="405"/>
        <w:spacing w:after="0" w:line="263" w:lineRule="auto"/>
        <w:rPr>
          <w:sz w:val="20"/>
          <w:szCs w:val="20"/>
          <w:color w:val="auto"/>
        </w:rPr>
      </w:pPr>
      <w:r>
        <w:rPr>
          <w:rFonts w:ascii="Arial" w:cs="Arial" w:eastAsia="Arial" w:hAnsi="Arial"/>
          <w:sz w:val="18"/>
          <w:szCs w:val="18"/>
          <w:color w:val="auto"/>
        </w:rPr>
        <w:t>The portion of total depreciation expense related to capitalized internal-use software was $6.7 million and $7.2 million for the three months ended March 31, 2021 and 2020, respectively. Depreciation expense related to capitalized internal-use software is included in cost of revenue and general and administrative expense in the Consolidated Statements of Operations based on the nature of the asset.</w:t>
      </w:r>
    </w:p>
    <w:p>
      <w:pPr>
        <w:spacing w:after="0" w:line="7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As of March 31, 2021 and December 31, 2020, the Company had capitalized internal-use software of $38.3 million and $38.0 million, respectively, net of accumulated depreciation, which was included in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Company’s goodwill balance is attributable to its Content reporting unit and is tested for impairment annually on October 1 or upon a triggering event. No triggering events were identified during the three months ended March 31, 2021.</w:t>
      </w:r>
    </w:p>
    <w:p>
      <w:pPr>
        <w:spacing w:after="0" w:line="6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summarizes the changes in the carrying value of the Company’s goodwill balance during the three months ended March 31, 2021 (in thousands):</w:t>
      </w:r>
    </w:p>
    <w:p>
      <w:pPr>
        <w:sectPr>
          <w:pgSz w:w="11900" w:h="16838" w:orient="portrait"/>
          <w:cols w:equalWidth="0" w:num="1">
            <w:col w:w="11240"/>
          </w:cols>
          <w:pgMar w:left="320" w:top="125" w:right="339" w:bottom="1440" w:gutter="0" w:footer="0" w:header="0"/>
        </w:sect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Goodwill related to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Foreign currency translation adjustment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March 31, 2021</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502"/>
        <w:spacing w:after="0"/>
        <w:rPr>
          <w:sz w:val="20"/>
          <w:szCs w:val="20"/>
          <w:color w:val="auto"/>
        </w:rPr>
      </w:pPr>
      <w:r>
        <w:rPr>
          <w:rFonts w:ascii="Arial" w:cs="Arial" w:eastAsia="Arial" w:hAnsi="Arial"/>
          <w:sz w:val="14"/>
          <w:szCs w:val="14"/>
          <w:b w:val="1"/>
          <w:bCs w:val="1"/>
          <w:color w:val="auto"/>
        </w:rPr>
        <w:t>Goodwill</w:t>
      </w:r>
    </w:p>
    <w:p>
      <w:pPr>
        <w:spacing w:after="0" w:line="54" w:lineRule="exact"/>
        <w:rPr>
          <w:sz w:val="20"/>
          <w:szCs w:val="20"/>
          <w:color w:val="auto"/>
        </w:rPr>
      </w:pPr>
    </w:p>
    <w:p>
      <w:pPr>
        <w:ind w:left="1042" w:hanging="1042"/>
        <w:spacing w:after="0"/>
        <w:tabs>
          <w:tab w:leader="none" w:pos="1042" w:val="left"/>
        </w:tabs>
        <w:numPr>
          <w:ilvl w:val="0"/>
          <w:numId w:val="5"/>
        </w:numPr>
        <w:rPr>
          <w:rFonts w:ascii="Arial" w:cs="Arial" w:eastAsia="Arial" w:hAnsi="Arial"/>
          <w:sz w:val="15"/>
          <w:szCs w:val="15"/>
          <w:color w:val="auto"/>
        </w:rPr>
      </w:pPr>
      <w:r>
        <w:rPr>
          <w:rFonts w:ascii="Arial" w:cs="Arial" w:eastAsia="Arial" w:hAnsi="Arial"/>
          <w:sz w:val="15"/>
          <w:szCs w:val="15"/>
          <w:color w:val="auto"/>
        </w:rPr>
        <w:t>89,413</w:t>
      </w:r>
    </w:p>
    <w:p>
      <w:pPr>
        <w:spacing w:after="0" w:line="44" w:lineRule="exact"/>
        <w:rPr>
          <w:sz w:val="20"/>
          <w:szCs w:val="20"/>
          <w:color w:val="auto"/>
        </w:rPr>
      </w:pPr>
    </w:p>
    <w:p>
      <w:pPr>
        <w:ind w:left="1042" w:hanging="1042"/>
        <w:spacing w:after="0"/>
        <w:tabs>
          <w:tab w:leader="none" w:pos="1042" w:val="left"/>
        </w:tabs>
        <w:numPr>
          <w:ilvl w:val="0"/>
          <w:numId w:val="6"/>
        </w:numPr>
        <w:rPr>
          <w:rFonts w:ascii="Arial" w:cs="Arial" w:eastAsia="Arial" w:hAnsi="Arial"/>
          <w:sz w:val="15"/>
          <w:szCs w:val="15"/>
          <w:color w:val="auto"/>
        </w:rPr>
      </w:pPr>
      <w:r>
        <w:rPr>
          <w:rFonts w:ascii="Arial" w:cs="Arial" w:eastAsia="Arial" w:hAnsi="Arial"/>
          <w:sz w:val="15"/>
          <w:szCs w:val="15"/>
          <w:color w:val="auto"/>
        </w:rPr>
        <w:t>59,491</w:t>
      </w:r>
    </w:p>
    <w:p>
      <w:pPr>
        <w:spacing w:after="0" w:line="43" w:lineRule="exact"/>
        <w:rPr>
          <w:rFonts w:ascii="Arial" w:cs="Arial" w:eastAsia="Arial" w:hAnsi="Arial"/>
          <w:sz w:val="15"/>
          <w:szCs w:val="15"/>
          <w:color w:val="auto"/>
        </w:rPr>
      </w:pPr>
    </w:p>
    <w:p>
      <w:pPr>
        <w:ind w:left="1242"/>
        <w:spacing w:after="0"/>
        <w:rPr>
          <w:rFonts w:ascii="Arial" w:cs="Arial" w:eastAsia="Arial" w:hAnsi="Arial"/>
          <w:sz w:val="15"/>
          <w:szCs w:val="15"/>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25400</wp:posOffset>
            </wp:positionV>
            <wp:extent cx="1003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37" w:lineRule="exact"/>
        <w:rPr>
          <w:sz w:val="20"/>
          <w:szCs w:val="20"/>
          <w:color w:val="auto"/>
        </w:rPr>
      </w:pPr>
    </w:p>
    <w:p>
      <w:pPr>
        <w:ind w:left="962" w:hanging="962"/>
        <w:spacing w:after="0"/>
        <w:tabs>
          <w:tab w:leader="none" w:pos="962" w:val="left"/>
        </w:tabs>
        <w:numPr>
          <w:ilvl w:val="0"/>
          <w:numId w:val="7"/>
        </w:numPr>
        <w:rPr>
          <w:rFonts w:ascii="Arial" w:cs="Arial" w:eastAsia="Arial" w:hAnsi="Arial"/>
          <w:sz w:val="14"/>
          <w:szCs w:val="14"/>
          <w:color w:val="auto"/>
        </w:rPr>
      </w:pPr>
      <w:r>
        <w:rPr>
          <w:rFonts w:ascii="Arial" w:cs="Arial" w:eastAsia="Arial" w:hAnsi="Arial"/>
          <w:sz w:val="14"/>
          <w:szCs w:val="14"/>
          <w:color w:val="auto"/>
        </w:rPr>
        <w:t>149,040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1003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58420</wp:posOffset>
            </wp:positionV>
            <wp:extent cx="10033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8958" w:space="720"/>
            <w:col w:w="1562"/>
          </w:cols>
          <w:pgMar w:left="320" w:top="125" w:right="339"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Intangible assets, all of which are subject to amortization, consisted of the following as of March 31, 2021 and December 31, 2020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31, 2021</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2"/>
              </w:rPr>
              <w:t>As of December 31, 2020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90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84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92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Average Life</w:t>
            </w:r>
          </w:p>
        </w:tc>
        <w:tc>
          <w:tcPr>
            <w:tcW w:w="200" w:type="dxa"/>
            <w:vAlign w:val="bottom"/>
          </w:tcPr>
          <w:p>
            <w:pPr>
              <w:spacing w:after="0"/>
              <w:rPr>
                <w:sz w:val="11"/>
                <w:szCs w:val="11"/>
                <w:color w:val="auto"/>
              </w:rPr>
            </w:pPr>
          </w:p>
        </w:tc>
        <w:tc>
          <w:tcPr>
            <w:tcW w:w="84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900" w:type="dxa"/>
            <w:vAlign w:val="bottom"/>
          </w:tcPr>
          <w:p>
            <w:pPr>
              <w:jc w:val="center"/>
              <w:ind w:right="102"/>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84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92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7"/>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27,258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15,657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18,132</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(11,032)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7,100</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name</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Developed technology</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9,238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Contributor content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16,291</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45,762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58,659</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25,765</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Amortization expense was $2.1 million and $1.2 million for the three months ended March 31, 2021 and 2020, respectively. Of these amounts, $1.2 million and $0.6 million are included in cost of revenue for the three months ended March 31, 2021 and 2020, respectively, and $0.9 million and $0.6 million are included in general and administrative expense for the three months ended March 31, 2021 and 2020, respectively.</w:t>
      </w:r>
    </w:p>
    <w:p>
      <w:pPr>
        <w:spacing w:after="0" w:line="57"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The Company determined that there was no indication of impairment of the intangible assets for any period presented. Estimated amortization expense is: $6.6 million for the remaining nine months of 2021, $8.6 million in 2022, $8.2 million in 2023, $7.3 million in 2024, $3.9 million in 2025, $2.8 million in 2026 and $8.4 million thereafter.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40" w:type="dxa"/>
            <w:vAlign w:val="bottom"/>
          </w:tcPr>
          <w:p>
            <w:pPr>
              <w:spacing w:after="0"/>
              <w:rPr>
                <w:sz w:val="14"/>
                <w:szCs w:val="14"/>
                <w:color w:val="auto"/>
              </w:rPr>
            </w:pPr>
          </w:p>
        </w:tc>
        <w:tc>
          <w:tcPr>
            <w:tcW w:w="1400" w:type="dxa"/>
            <w:vAlign w:val="bottom"/>
          </w:tcPr>
          <w:p>
            <w:pPr>
              <w:jc w:val="right"/>
              <w:ind w:right="82"/>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88"/>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31,499</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Non-income taxes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20,630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17,164</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Website hosting and marketing fees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9,991</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9,255</w:t>
            </w:r>
          </w:p>
        </w:tc>
        <w:tc>
          <w:tcPr>
            <w:tcW w:w="0" w:type="dxa"/>
            <w:vAlign w:val="bottom"/>
          </w:tcPr>
          <w:p>
            <w:pPr>
              <w:spacing w:after="0"/>
              <w:rPr>
                <w:sz w:val="1"/>
                <w:szCs w:val="1"/>
                <w:color w:val="auto"/>
              </w:rPr>
            </w:pPr>
          </w:p>
        </w:tc>
      </w:tr>
      <w:tr>
        <w:trPr>
          <w:trHeight w:val="235"/>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accrued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67,909</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 and Equity-Based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63"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The Company issued approximately 207,000 and 64,000 shares of common stock during the three months ended March 31, 2021 and 2020, respectively, related to the exercise of stock options and the vesting of Restricted Stock Units.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6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repurchase up to an additional $100 million of its outstanding common stock. During the three months ended March 31, 2021 and 2020, the Company did not repurchase any shares of its common stock under the share repurchase program. As of March 31, 2021, the Company had $100 million of remaining authorization for purchases under the share repurchase program.</w:t>
      </w:r>
    </w:p>
    <w:p>
      <w:pPr>
        <w:spacing w:after="0" w:line="8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expects to fund future repurchases, if any,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declared and paid cash dividends of $0.21 per share of common stock, or $7.6 million, during the three months ended March 31, 2021.</w:t>
      </w:r>
    </w:p>
    <w:p>
      <w:pPr>
        <w:spacing w:after="0" w:line="24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On April 19, 2021, the Company’s Board of Directors declared a quarterly cash dividend of $0.21 per share of outstanding common stock payable on June 17, 2021 to stockholders of record at the close of business on June 3, 2021.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right="280" w:firstLine="405"/>
        <w:spacing w:after="0" w:line="311" w:lineRule="auto"/>
        <w:rPr>
          <w:sz w:val="20"/>
          <w:szCs w:val="20"/>
          <w:color w:val="auto"/>
        </w:rPr>
      </w:pPr>
      <w:r>
        <w:rPr>
          <w:rFonts w:ascii="Arial" w:cs="Arial" w:eastAsia="Arial" w:hAnsi="Arial"/>
          <w:sz w:val="16"/>
          <w:szCs w:val="16"/>
          <w:color w:val="auto"/>
        </w:rPr>
        <w:t>The Company recognizes stock-based compensation expense for all equity-based payment awards, including employee Restricted Stock Units and Performance-based Restricted Stock Units (“PRSUs” and, collectively with Restricted Stock Units, “RSUs”) and stock options granted under the Company’s Amended and Restated 2012 Omnibus Equity Incentive Plan (the “2012 Plan”), based on the fair value of each award on the grant date.</w:t>
      </w:r>
    </w:p>
    <w:p>
      <w:pPr>
        <w:spacing w:after="0" w:line="200" w:lineRule="exact"/>
        <w:rPr>
          <w:sz w:val="20"/>
          <w:szCs w:val="20"/>
          <w:color w:val="auto"/>
        </w:rPr>
      </w:pPr>
    </w:p>
    <w:p>
      <w:pPr>
        <w:spacing w:after="0" w:line="3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The following table summarizes non-cash equity-based compensation expense, net of forfeitures, by financial statement line item included in the accompanying Consolidated Statements of Operations for the three months ended March 31, 2021 and 2020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development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1,125</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6,350</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4,124</w:t>
            </w:r>
          </w:p>
        </w:tc>
      </w:tr>
      <w:tr>
        <w:trPr>
          <w:trHeight w:val="235"/>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5,760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non-cash equity-based compensation expense, net of forfeitures, by award type included in the accompanying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three months ended March 31, 2021 and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1,316</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RSUs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8,035</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4,444</w:t>
            </w:r>
          </w:p>
        </w:tc>
      </w:tr>
      <w:tr>
        <w:trPr>
          <w:trHeight w:val="234"/>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5,760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225" w:lineRule="exact"/>
        <w:rPr>
          <w:sz w:val="20"/>
          <w:szCs w:val="20"/>
          <w:color w:val="auto"/>
        </w:rPr>
      </w:pPr>
    </w:p>
    <w:p>
      <w:pPr>
        <w:ind w:right="200" w:firstLine="405"/>
        <w:spacing w:after="0" w:line="311" w:lineRule="auto"/>
        <w:rPr>
          <w:sz w:val="20"/>
          <w:szCs w:val="20"/>
          <w:color w:val="auto"/>
        </w:rPr>
      </w:pPr>
      <w:r>
        <w:rPr>
          <w:rFonts w:ascii="Arial" w:cs="Arial" w:eastAsia="Arial" w:hAnsi="Arial"/>
          <w:sz w:val="16"/>
          <w:szCs w:val="16"/>
          <w:color w:val="auto"/>
        </w:rPr>
        <w:t>During the three months ended March 31, 2021, no options to purchase shares of its common stock were granted. As of March 31, 2021, there were approximately 325,000 options vested and exercisable with a weighted average exercise price of $33.29. As of March 31, 2021, the total unrecognized compensation charge related to non-vested options was approximately $1.4 million, which is expected to be recognized through 2023.</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63"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During the three months ended March 31, 2021, the Company had RSU grants, net of forfeitures, of approximately 92,000. As of March 31, 2021, there are approximately 1,169,000 non-vested RSUs outstanding with a weighted average grant-date fair value of $42.70. As of March 31, 2021, the total unrecognized non-cash equity-based compensation charge related to the non-vested RSUs was approximately $30.4 million, which is expected to be recognized through 2024.</w:t>
      </w:r>
    </w:p>
    <w:p>
      <w:pPr>
        <w:spacing w:after="0" w:line="7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During the three months ended March 31, 2021, shares of common stock with an aggregate value of $13.0 million were withheld upon vesting of RSUs and paid in connection with related remittance of employee withholding taxes to taxing authorities.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April 1, 2021, the Company granted approximately 350,000 RSUs with a grant date fair value of $31.4 million.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distributes its content offerings through two primary channels:</w:t>
      </w:r>
    </w:p>
    <w:p>
      <w:pPr>
        <w:spacing w:after="0" w:line="11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The majority of the Company’s customers license content directly through the Company’s self-service web properties. E-commerce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have the flexibility to purchase a subscription plan that is paid on a monthly or annual basis or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80" w:lineRule="exact"/>
        <w:rPr>
          <w:sz w:val="20"/>
          <w:szCs w:val="20"/>
          <w:color w:val="auto"/>
        </w:rPr>
      </w:pPr>
    </w:p>
    <w:p>
      <w:pPr>
        <w:ind w:right="780" w:firstLine="405"/>
        <w:spacing w:after="0" w:line="279" w:lineRule="auto"/>
        <w:rPr>
          <w:sz w:val="20"/>
          <w:szCs w:val="20"/>
          <w:color w:val="auto"/>
        </w:rPr>
      </w:pPr>
      <w:r>
        <w:rPr>
          <w:rFonts w:ascii="Arial" w:cs="Arial" w:eastAsia="Arial" w:hAnsi="Arial"/>
          <w:sz w:val="17"/>
          <w:szCs w:val="17"/>
          <w:i w:val="1"/>
          <w:iCs w:val="1"/>
          <w:color w:val="auto"/>
        </w:rPr>
        <w:t xml:space="preserve">Enterprise: </w:t>
      </w:r>
      <w:r>
        <w:rPr>
          <w:rFonts w:ascii="Arial" w:cs="Arial" w:eastAsia="Arial" w:hAnsi="Arial"/>
          <w:sz w:val="17"/>
          <w:szCs w:val="17"/>
          <w:color w:val="auto"/>
        </w:rPr>
        <w:t>The Company also has a base of customers with unique content, licensing and workflow needs. These customers benefit from</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revenues by distribution channel for the three months ended March 31, 2021 and 2020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Three Months Ended March 31,</w:t>
            </w:r>
          </w:p>
        </w:tc>
      </w:tr>
      <w:tr>
        <w:trPr>
          <w:trHeight w:val="190"/>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r>
      <w:tr>
        <w:trPr>
          <w:trHeight w:val="26"/>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E-commerce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99,736</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Enterprise</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64,881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61,549</w:t>
            </w:r>
          </w:p>
        </w:tc>
      </w:tr>
      <w:tr>
        <w:trPr>
          <w:trHeight w:val="237"/>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183,281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161,285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March 31, 2021 deferred revenue balance will be earned as content is downloaded or upon the expiration of subscription-based products, and nearly all is expected to be earned within the next twelve months. $64.4 million of total revenue recognized for the three months ended March 31, 2021 was reflected in deferred revenue as of December 31, 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(Loss) / Income, net</w:t>
      </w:r>
    </w:p>
    <w:p>
      <w:pPr>
        <w:spacing w:after="0" w:line="12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a summary of the Company’s other income and expense activity included in the accompanying Consolidated Statements of Operations for the three months ended March 31, 2021 and 2020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loss</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(2,510)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 net</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1,111</w:t>
            </w:r>
          </w:p>
        </w:tc>
      </w:tr>
      <w:tr>
        <w:trPr>
          <w:trHeight w:val="235"/>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other (loss) / income</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(2,462)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Company’s effective tax rates yielded a net expense of 17.2% and 31.4% for the three months ended March 31, 2021 and 2020, respectively. For the three months ended March 31, 2021, net effect of discrete items decreased the effective tax rate by 1.8%. Excluding these items, the Company’s effective tax rate would have been 19.0% for the three months ended March 31, 2021.</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three months ended March 31, 2020, the effective tax rate increased by 9.9%, primarily as a result of a loss jurisdiction with no tax benefit.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Excluding these items, the Company’s effective tax rate would have been 21.5% for the three months ended March 31, 2020.</w:t>
      </w:r>
    </w:p>
    <w:p>
      <w:pPr>
        <w:spacing w:after="0" w:line="10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Company has computed the provision for income taxes based on the estimated annual effective tax rate excluding a loss jurisdiction with no tax benefit and the application of discrete items, if any, in the applicable period.</w:t>
      </w:r>
    </w:p>
    <w:p>
      <w:pPr>
        <w:spacing w:after="0" w:line="62" w:lineRule="exact"/>
        <w:rPr>
          <w:sz w:val="20"/>
          <w:szCs w:val="20"/>
          <w:color w:val="auto"/>
        </w:rPr>
      </w:pPr>
    </w:p>
    <w:p>
      <w:pPr>
        <w:ind w:right="480" w:firstLine="405"/>
        <w:spacing w:after="0" w:line="308" w:lineRule="auto"/>
        <w:rPr>
          <w:sz w:val="20"/>
          <w:szCs w:val="20"/>
          <w:color w:val="auto"/>
        </w:rPr>
      </w:pPr>
      <w:r>
        <w:rPr>
          <w:rFonts w:ascii="Arial" w:cs="Arial" w:eastAsia="Arial" w:hAnsi="Arial"/>
          <w:sz w:val="17"/>
          <w:szCs w:val="17"/>
          <w:color w:val="auto"/>
        </w:rPr>
        <w:t>During the three months ended March 31, 2021 and 2020, uncertain tax positions recorded by the Company were not material. To the extent the remaining uncertain tax positions are ultimately recognized, the Company’s effective tax rate may be impacted in future periods.</w:t>
      </w:r>
    </w:p>
    <w:p>
      <w:pPr>
        <w:spacing w:after="0" w:line="38" w:lineRule="exact"/>
        <w:rPr>
          <w:sz w:val="20"/>
          <w:szCs w:val="20"/>
          <w:color w:val="auto"/>
        </w:rPr>
      </w:pPr>
    </w:p>
    <w:p>
      <w:pPr>
        <w:ind w:right="440" w:firstLine="405"/>
        <w:spacing w:after="0" w:line="263" w:lineRule="auto"/>
        <w:rPr>
          <w:sz w:val="20"/>
          <w:szCs w:val="20"/>
          <w:color w:val="auto"/>
        </w:rPr>
      </w:pPr>
      <w:r>
        <w:rPr>
          <w:rFonts w:ascii="Arial" w:cs="Arial" w:eastAsia="Arial" w:hAnsi="Arial"/>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material for the three months ended March 31, 2021 and 2020.</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three months ended March 31, 2021 and 2020, the Company paid net cash taxes of $3.4 million and $0.5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162"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8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for the three months ended March 31, 2021 and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3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29,514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used to compute basic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3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36,336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35,521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potential common shares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Stock options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Unvested restricted stock awards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Shares used to compute diluted net income per share</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37,249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35,882</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net income per share</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20" w:type="dxa"/>
            <w:vAlign w:val="bottom"/>
          </w:tcPr>
          <w:p>
            <w:pPr>
              <w:ind w:left="140"/>
              <w:spacing w:after="0"/>
              <w:rPr>
                <w:sz w:val="20"/>
                <w:szCs w:val="20"/>
                <w:color w:val="auto"/>
              </w:rPr>
            </w:pPr>
            <w:r>
              <w:rPr>
                <w:rFonts w:ascii="Arial" w:cs="Arial" w:eastAsia="Arial" w:hAnsi="Arial"/>
                <w:sz w:val="16"/>
                <w:szCs w:val="16"/>
                <w:color w:val="auto"/>
              </w:rPr>
              <w:t>Diluted net income per share</w:t>
            </w:r>
          </w:p>
        </w:tc>
        <w:tc>
          <w:tcPr>
            <w:tcW w:w="88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Dilutive shares included in the calculation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shares excluded from the calculation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revenue based on customer location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57,018</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Europe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62,277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53,796</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the world</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50,471</w:t>
            </w:r>
          </w:p>
        </w:tc>
      </w:tr>
      <w:tr>
        <w:trPr>
          <w:trHeight w:val="207"/>
        </w:trPr>
        <w:tc>
          <w:tcPr>
            <w:tcW w:w="832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183,281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161,285</w:t>
            </w:r>
          </w:p>
        </w:tc>
      </w:tr>
      <w:tr>
        <w:trPr>
          <w:trHeight w:val="23"/>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80" w:firstLine="447"/>
        <w:spacing w:after="0" w:line="277" w:lineRule="auto"/>
        <w:rPr>
          <w:sz w:val="20"/>
          <w:szCs w:val="20"/>
          <w:color w:val="auto"/>
        </w:rPr>
      </w:pPr>
      <w:r>
        <w:rPr>
          <w:rFonts w:ascii="Arial" w:cs="Arial" w:eastAsia="Arial" w:hAnsi="Arial"/>
          <w:sz w:val="18"/>
          <w:szCs w:val="18"/>
          <w:color w:val="auto"/>
        </w:rPr>
        <w:t>The United States, included in North America in the above table, accounted for 32% of consolidated revenue for the three months ended March 31, 2021 and 2020. No other country accounts for more than 10% of the Company’s revenue in any period presented.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long-lived tangible assets were located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 March 31,</w:t>
            </w:r>
          </w:p>
        </w:tc>
        <w:tc>
          <w:tcPr>
            <w:tcW w:w="180" w:type="dxa"/>
            <w:vAlign w:val="bottom"/>
          </w:tcPr>
          <w:p>
            <w:pPr>
              <w:spacing w:after="0"/>
              <w:rPr>
                <w:sz w:val="16"/>
                <w:szCs w:val="16"/>
                <w:color w:val="auto"/>
              </w:rPr>
            </w:pPr>
          </w:p>
        </w:tc>
        <w:tc>
          <w:tcPr>
            <w:tcW w:w="1520" w:type="dxa"/>
            <w:vAlign w:val="bottom"/>
          </w:tcPr>
          <w:p>
            <w:pPr>
              <w:jc w:val="right"/>
              <w:ind w:right="162"/>
              <w:spacing w:after="0"/>
              <w:rPr>
                <w:sz w:val="20"/>
                <w:szCs w:val="20"/>
                <w:color w:val="auto"/>
              </w:rPr>
            </w:pPr>
            <w:r>
              <w:rPr>
                <w:rFonts w:ascii="Arial" w:cs="Arial" w:eastAsia="Arial" w:hAnsi="Arial"/>
                <w:sz w:val="14"/>
                <w:szCs w:val="14"/>
                <w:b w:val="1"/>
                <w:bCs w:val="1"/>
                <w:color w:val="auto"/>
                <w:w w:val="96"/>
              </w:rPr>
              <w:t>As of December 31,</w:t>
            </w:r>
          </w:p>
        </w:tc>
      </w:tr>
      <w:tr>
        <w:trPr>
          <w:trHeight w:val="195"/>
        </w:trPr>
        <w:tc>
          <w:tcPr>
            <w:tcW w:w="7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2020</w:t>
            </w:r>
          </w:p>
        </w:tc>
      </w:tr>
      <w:tr>
        <w:trPr>
          <w:trHeight w:val="215"/>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43,010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43,451</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Europe</w:t>
            </w:r>
          </w:p>
        </w:tc>
        <w:tc>
          <w:tcPr>
            <w:tcW w:w="22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7,132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7,192</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the world</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06"/>
        </w:trPr>
        <w:tc>
          <w:tcPr>
            <w:tcW w:w="7640" w:type="dxa"/>
            <w:vAlign w:val="bottom"/>
          </w:tcPr>
          <w:p>
            <w:pPr>
              <w:ind w:left="140"/>
              <w:spacing w:after="0"/>
              <w:rPr>
                <w:sz w:val="20"/>
                <w:szCs w:val="20"/>
                <w:color w:val="auto"/>
              </w:rPr>
            </w:pPr>
            <w:r>
              <w:rPr>
                <w:rFonts w:ascii="Arial" w:cs="Arial" w:eastAsia="Arial" w:hAnsi="Arial"/>
                <w:sz w:val="16"/>
                <w:szCs w:val="16"/>
                <w:color w:val="auto"/>
              </w:rPr>
              <w:t>Total long-lived tangible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50,366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50,906</w:t>
            </w:r>
          </w:p>
        </w:tc>
      </w:tr>
      <w:tr>
        <w:trPr>
          <w:trHeight w:val="24"/>
        </w:trPr>
        <w:tc>
          <w:tcPr>
            <w:tcW w:w="7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The United States, included in North America in the above table, accounted for 76% and 75% of total long-lived tangible assets as of March 31, 2021 and December 31, 2020, respectively. No other country accounts for more than 10% of the Company’s long-lived tangible assets in any period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As of March 31, 2021, the Company had total non-lease obligations in the amount of approximately $48.8 million, which consisted primarily of minimum royalty guarantees and unconditional purchase obligations related to contracts for infrastructure and other business services. As of March 31, 2021, the Company’s non-lease obligations for the remainder of 2021 and for the years ending December 31, 2022, 2023, 2024 and 2025 were approximately $24.3 million, $12.5 million, $8.0 million, $3.2 million and $0.8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5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Employment Agreements</w:t>
      </w:r>
    </w:p>
    <w:p>
      <w:pPr>
        <w:spacing w:after="0" w:line="11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content is used. The standard maximum aggregate obligation and liability to any one customer for any single claim is generally limited to ten thousand dollars but can range to $250,000, with certain exceptions for which our indemnification obligation are uncapped. As of March 31, 2021, the Company had recorded no material liabilities related to indemnification obligations for loss contingencies. Additionally, the Company believes that it has the appropriate insurance coverage in place to adequately cover such indemnification obligations, if necessary.</w:t>
      </w:r>
    </w:p>
    <w:p>
      <w:pPr>
        <w:spacing w:after="0" w:line="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62" w:lineRule="exact"/>
        <w:rPr>
          <w:sz w:val="20"/>
          <w:szCs w:val="20"/>
          <w:color w:val="auto"/>
        </w:rPr>
      </w:pPr>
    </w:p>
    <w:p>
      <w:pPr>
        <w:jc w:val="both"/>
        <w:ind w:right="360" w:firstLine="405"/>
        <w:spacing w:after="0" w:line="263" w:lineRule="auto"/>
        <w:rPr>
          <w:sz w:val="20"/>
          <w:szCs w:val="20"/>
          <w:color w:val="auto"/>
        </w:rPr>
      </w:pPr>
      <w:r>
        <w:rPr>
          <w:rFonts w:ascii="Arial" w:cs="Arial" w:eastAsia="Arial" w:hAnsi="Arial"/>
          <w:sz w:val="18"/>
          <w:szCs w:val="18"/>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in the event of a change in control or otherwise,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interim consolidated unaudited financial statements and related notes contained elsewhere in this Quarterly Report on Form 10-Q and with information contained in our other filings, including the audited consolidated financial statements included in our 2020 Form 10-K.</w:t>
      </w:r>
    </w:p>
    <w:p>
      <w:pPr>
        <w:spacing w:after="0" w:line="11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2020 Form 10-K for additional discussion of the risks and uncertainties that could cause our actual results to differ materially from those expressed or implied in our forward-looking statements.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For a discussion as to how COVID-19 has affected our business, see “COVID-19 Update”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16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Shutterstock is a leading global creative platform offering full-service solutions, high-quality content, and tools for brands, businesses and media companies. Our platform brings together users and contributors of content by providing readily-searchable content that our customers pay to license and by compensating contributors as their content is licensed.</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content licensed by our customers includes:</w:t>
      </w:r>
    </w:p>
    <w:p>
      <w:pPr>
        <w:spacing w:after="0" w:line="158" w:lineRule="exact"/>
        <w:rPr>
          <w:sz w:val="20"/>
          <w:szCs w:val="20"/>
          <w:color w:val="auto"/>
        </w:rPr>
      </w:pPr>
    </w:p>
    <w:p>
      <w:pPr>
        <w:ind w:left="1060" w:right="160" w:hanging="404"/>
        <w:spacing w:after="0" w:line="277" w:lineRule="auto"/>
        <w:tabs>
          <w:tab w:leader="none" w:pos="10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2" w:lineRule="exact"/>
        <w:rPr>
          <w:rFonts w:ascii="Arial" w:cs="Arial" w:eastAsia="Arial" w:hAnsi="Arial"/>
          <w:sz w:val="18"/>
          <w:szCs w:val="18"/>
          <w:color w:val="auto"/>
        </w:rPr>
      </w:pPr>
    </w:p>
    <w:p>
      <w:pPr>
        <w:ind w:left="1060" w:right="320" w:hanging="404"/>
        <w:spacing w:after="0" w:line="308" w:lineRule="auto"/>
        <w:tabs>
          <w:tab w:leader="none" w:pos="1055" w:val="left"/>
        </w:tabs>
        <w:numPr>
          <w:ilvl w:val="0"/>
          <w:numId w:val="8"/>
        </w:numPr>
        <w:rPr>
          <w:rFonts w:ascii="Arial" w:cs="Arial" w:eastAsia="Arial" w:hAnsi="Arial"/>
          <w:sz w:val="17"/>
          <w:szCs w:val="17"/>
          <w:color w:val="auto"/>
        </w:rPr>
      </w:pPr>
      <w:r>
        <w:rPr>
          <w:rFonts w:ascii="Arial" w:cs="Arial" w:eastAsia="Arial" w:hAnsi="Arial"/>
          <w:sz w:val="17"/>
          <w:szCs w:val="17"/>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65" w:lineRule="exact"/>
        <w:rPr>
          <w:rFonts w:ascii="Arial" w:cs="Arial" w:eastAsia="Arial" w:hAnsi="Arial"/>
          <w:sz w:val="17"/>
          <w:szCs w:val="17"/>
          <w:color w:val="auto"/>
        </w:rPr>
      </w:pPr>
    </w:p>
    <w:p>
      <w:pPr>
        <w:ind w:left="1060" w:hanging="40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Music - consisting of high-quality music tracks and sound effects, which are often used to complement images and footage.</w:t>
      </w:r>
    </w:p>
    <w:p>
      <w:pPr>
        <w:spacing w:after="0" w:line="157" w:lineRule="exact"/>
        <w:rPr>
          <w:rFonts w:ascii="Arial" w:cs="Arial" w:eastAsia="Arial" w:hAnsi="Arial"/>
          <w:sz w:val="18"/>
          <w:szCs w:val="18"/>
          <w:color w:val="auto"/>
        </w:rPr>
      </w:pPr>
    </w:p>
    <w:p>
      <w:pPr>
        <w:ind w:left="1060" w:hanging="404"/>
        <w:spacing w:after="0" w:line="277" w:lineRule="auto"/>
        <w:tabs>
          <w:tab w:leader="none" w:pos="1055" w:val="left"/>
        </w:tabs>
        <w:numPr>
          <w:ilvl w:val="0"/>
          <w:numId w:val="8"/>
        </w:numPr>
        <w:rPr>
          <w:rFonts w:ascii="Arial" w:cs="Arial" w:eastAsia="Arial" w:hAnsi="Arial"/>
          <w:sz w:val="18"/>
          <w:szCs w:val="18"/>
          <w:color w:val="auto"/>
        </w:rPr>
      </w:pPr>
      <w:r>
        <w:rPr>
          <w:rFonts w:ascii="Arial" w:cs="Arial" w:eastAsia="Arial" w:hAnsi="Arial"/>
          <w:sz w:val="18"/>
          <w:szCs w:val="18"/>
          <w:color w:val="auto"/>
        </w:rPr>
        <w:t>3D Models - following our acquisition of TurboSquid, Inc. (“TurboSquid”) on February 1, 2021, we now offer 3D models, used in industries such as advertising, media &amp; video production, gaming, retail, education, design and architecture.</w:t>
      </w:r>
    </w:p>
    <w:p>
      <w:pPr>
        <w:spacing w:after="0" w:line="103"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For customers seeking specialized solutions, we also create custom, on-brand content by matching our global contributor network to the unique needs of our customers. This solution allows us to offer customers a fast and scalable way to produce cost-effective content that is in line with the visual footprint of their brand. We typically offer a royalty-free non-exclusive license and the processes we maintain to properly license content and the indemnification protections we provide, allow individuals and businesses of all sizes, including media agencies, publishers, production companies and creative service providers, to confidently utilize such content for their unique commercial or editorial needs.</w:t>
      </w:r>
    </w:p>
    <w:p>
      <w:pPr>
        <w:spacing w:after="0" w:line="95" w:lineRule="exact"/>
        <w:rPr>
          <w:sz w:val="20"/>
          <w:szCs w:val="20"/>
          <w:color w:val="auto"/>
        </w:rPr>
      </w:pPr>
    </w:p>
    <w:p>
      <w:pPr>
        <w:ind w:right="240" w:firstLine="405"/>
        <w:spacing w:after="0" w:line="301" w:lineRule="auto"/>
        <w:rPr>
          <w:sz w:val="20"/>
          <w:szCs w:val="20"/>
          <w:color w:val="auto"/>
        </w:rPr>
      </w:pPr>
      <w:r>
        <w:rPr>
          <w:rFonts w:ascii="Arial" w:cs="Arial" w:eastAsia="Arial" w:hAnsi="Arial"/>
          <w:sz w:val="16"/>
          <w:szCs w:val="16"/>
          <w:color w:val="auto"/>
        </w:rPr>
        <w:t>Over 2.0 million active, paying customers contributed to our revenue for the twelve-month period ended March 31, 2021. As of March 31, 2021, more than 1.7 million approved contributors made their images, footage and music tracks available in our collection, which has grown to more than 370 million images and more than 21 million footage clips as of March 31, 2021. This makes our collection of content one of the largest of its kind, and we delivered 45.8 million paid downloads to our customers across all of our brands during the three months ended March 31, 2021.</w:t>
      </w:r>
    </w:p>
    <w:p>
      <w:pPr>
        <w:spacing w:after="0" w:line="90"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Through our platform, we generate revenue by licensing content to our customers. During the three months ended March 31, 2021, 65% of our revenue and the majority of our content licenses came from our E-commerce sales channel. The majority of our customers license content directly through our self-service web properties, including our Shutterstock.com, bigstock.com, premiumbeat.com and turbosquid.com websites. E-commerce customers have the ability to purchase plans that are paid on either a monthly or annual basis or to license content on a transactional basis. E-commerce customers generally license content under our standard or enhanced licenses, with additional licensing options available to meet customers’ individual needs.</w:t>
      </w:r>
    </w:p>
    <w:p>
      <w:pPr>
        <w:spacing w:after="0" w:line="94"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Customers in our Enterprise sales channel generally have unique content, licensing and workflow needs. These customers benefit from communication with our dedicated sales, service and research teams which provide a number of personalized enhancements to their creative workflows including non-standard licensing rights, multi-seat access, ability to pay on credit</w:t>
      </w: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terms, multi-brand licensing packages, increased indemnification protection and content licensed for use-cases outside of those available on our e-commerce platform. Customers in our enterprise sales channel may also benefit from our API platform as well as access to Shutterstock Editorial, which includes our library of editorial images and videos and Shutterstock Studios, our offering which provides custom, high-quality content matched with production tools and services. Our Enterprise sales channel provided approximately 35% of our revenue for the three months ended March 31, 2021.</w:t>
      </w:r>
    </w:p>
    <w:p>
      <w:pPr>
        <w:spacing w:after="0" w:line="7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As the use cases for our creative solutions expand, we believe our customers are seeking alternative means to consume our offerings. As a result, we have seen strong growth in customers purchasing monthly subscription products. Our monthly subscriptions provide for a fixed number of content licenses that may be downloaded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11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48"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In December 2019, a novel coronavirus disease (“COVID-19”) was initially reported and on March 11, 2020, the World Health Organization characterized COVID-19 as a pandemic. Our operations have been impacted by office closures globally and restrictions on employee travel and in-person meetings, however, we have generally been able to deliver our services remotely. We believe the economic uncertainty caused by COVID-19 has had an impact on our customers and their ability to spend marketing budgets on our products, which we believe has resulted in an unfavorable impact, to varying degrees geographically, on our revenue growth and number of paid downloads for the three months ended March 31, 2021. See Item 1A. Risk Factors in our 2020 Form 10-K for further discussion of the possible impact of the COVID-19 pandemic on our business.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three months ended March 31, 2021 and 2020:</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r>
      <w:tr>
        <w:trPr>
          <w:trHeight w:val="170"/>
        </w:trPr>
        <w:tc>
          <w:tcPr>
            <w:tcW w:w="81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r>
      <w:tr>
        <w:trPr>
          <w:trHeight w:val="161"/>
        </w:trPr>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Subscribers (end of period)</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306,000</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209,000</w:t>
            </w: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Subscriber revenue (in millions)</w:t>
            </w:r>
          </w:p>
        </w:tc>
        <w:tc>
          <w:tcPr>
            <w:tcW w:w="880" w:type="dxa"/>
            <w:vAlign w:val="bottom"/>
          </w:tcPr>
          <w:p>
            <w:pPr>
              <w:jc w:val="right"/>
              <w:ind w:right="706"/>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76.5</w:t>
            </w:r>
          </w:p>
        </w:tc>
        <w:tc>
          <w:tcPr>
            <w:tcW w:w="960" w:type="dxa"/>
            <w:vAlign w:val="bottom"/>
          </w:tcPr>
          <w:p>
            <w:pPr>
              <w:jc w:val="right"/>
              <w:ind w:right="70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114"/>
        </w:trPr>
        <w:tc>
          <w:tcPr>
            <w:tcW w:w="8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revenue per customer (last twelve months)</w:t>
            </w:r>
          </w:p>
        </w:tc>
        <w:tc>
          <w:tcPr>
            <w:tcW w:w="880" w:type="dxa"/>
            <w:vAlign w:val="bottom"/>
            <w:shd w:val="clear" w:color="auto" w:fill="CCEEFF"/>
          </w:tcPr>
          <w:p>
            <w:pPr>
              <w:jc w:val="right"/>
              <w:ind w:right="706"/>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96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Paid downloads (in millions)</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45.8</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per download</w:t>
            </w:r>
          </w:p>
        </w:tc>
        <w:tc>
          <w:tcPr>
            <w:tcW w:w="880" w:type="dxa"/>
            <w:vAlign w:val="bottom"/>
            <w:shd w:val="clear" w:color="auto" w:fill="CCEEFF"/>
          </w:tcPr>
          <w:p>
            <w:pPr>
              <w:jc w:val="right"/>
              <w:ind w:right="706"/>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96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Content in our collection (end of period, in millions):</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Images</w:t>
            </w: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10"/>
        </w:trPr>
        <w:tc>
          <w:tcPr>
            <w:tcW w:w="8180" w:type="dxa"/>
            <w:vAlign w:val="bottom"/>
          </w:tcPr>
          <w:p>
            <w:pPr>
              <w:ind w:left="140"/>
              <w:spacing w:after="0"/>
              <w:rPr>
                <w:sz w:val="20"/>
                <w:szCs w:val="20"/>
                <w:color w:val="auto"/>
              </w:rPr>
            </w:pPr>
            <w:r>
              <w:rPr>
                <w:rFonts w:ascii="Arial" w:cs="Arial" w:eastAsia="Arial" w:hAnsi="Arial"/>
                <w:sz w:val="16"/>
                <w:szCs w:val="16"/>
                <w:color w:val="auto"/>
              </w:rPr>
              <w:t>Footage clips</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200" w:lineRule="exact"/>
        <w:rPr>
          <w:sz w:val="20"/>
          <w:szCs w:val="20"/>
          <w:color w:val="auto"/>
        </w:rPr>
      </w:pPr>
    </w:p>
    <w:p>
      <w:pPr>
        <w:spacing w:after="0" w:line="34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and its growth. We believe that an increase in our number of subscribers is an indicator of engagement in our platform and potential for future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 Revenue</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define subscriber revenue as the revenue generated from subscribers during the period. We believe subscriber revenue, together with our number of subscribers, provide insight into the portion of our business and growth driven by our monthly recurring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Revenue Per Customer</w:t>
      </w:r>
    </w:p>
    <w:p>
      <w:pPr>
        <w:spacing w:after="0" w:line="11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Average revenue per customer is calculated by dividing total revenue for the last twelve month period by customers. We define customers as total active, paying customers that contributed to total revenue over the last twelve month period. Changes in our average revenue per customer will be driven by changes in the mix of our subscription-based products and the pricing in our transactional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117"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We define paid downloads as the number of downloads that our customers make in a given period of our content. Paid downloads exclude custom content and downloads of content that are offered to customers for no charge, including our free image of the week. Measuring the number of paid downloads that our customers make in a given period is important because they are the primary method of delivering licensed content, which drives a significant portion of the Company’s revenue and contributor royalties.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117" w:lineRule="exact"/>
        <w:rPr>
          <w:sz w:val="20"/>
          <w:szCs w:val="20"/>
          <w:color w:val="auto"/>
        </w:rPr>
      </w:pPr>
    </w:p>
    <w:p>
      <w:pPr>
        <w:ind w:right="120" w:firstLine="405"/>
        <w:spacing w:after="0" w:line="296" w:lineRule="auto"/>
        <w:rPr>
          <w:sz w:val="20"/>
          <w:szCs w:val="20"/>
          <w:color w:val="auto"/>
        </w:rPr>
      </w:pPr>
      <w:r>
        <w:rPr>
          <w:rFonts w:ascii="Arial" w:cs="Arial" w:eastAsia="Arial" w:hAnsi="Arial"/>
          <w:sz w:val="16"/>
          <w:szCs w:val="16"/>
          <w:color w:val="auto"/>
        </w:rPr>
        <w:t>We define revenue per download as the amount of revenue recognized in a given period divided by the number of paid downloads in that period excluding revenue from custom content and revenue that is not derived from or associated with content licenses.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mix and customer utilization of our products.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in our Collection</w:t>
      </w:r>
    </w:p>
    <w:p>
      <w:pPr>
        <w:spacing w:after="0" w:line="117"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We define content in our collection as the total number of approved images (photographs, vectors and illustrations) and footage (in number of clips) in our library on shutterstock.com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We believe that our large selection of high-quality content enables us to attract and retain customers and drives our network effect.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97"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We believe that the policies, assumptions and estimates associated with our revenue recognition, allowance for doubtful accounts, goodwill and intangible assets and accounting for income taxes have the greatest potential impact on our financial statements. Therefore, we consider these to be our critical accounting policies and estimates.</w:t>
      </w:r>
    </w:p>
    <w:p>
      <w:pPr>
        <w:spacing w:after="0" w:line="200" w:lineRule="exact"/>
        <w:rPr>
          <w:sz w:val="20"/>
          <w:szCs w:val="20"/>
          <w:color w:val="auto"/>
        </w:rPr>
      </w:pPr>
    </w:p>
    <w:p>
      <w:pPr>
        <w:spacing w:after="0" w:line="36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80" w:firstLine="405"/>
        <w:spacing w:after="0" w:line="342" w:lineRule="auto"/>
        <w:rPr>
          <w:sz w:val="20"/>
          <w:szCs w:val="20"/>
          <w:color w:val="auto"/>
        </w:rPr>
      </w:pPr>
      <w:r>
        <w:rPr>
          <w:rFonts w:ascii="Arial" w:cs="Arial" w:eastAsia="Arial" w:hAnsi="Arial"/>
          <w:sz w:val="16"/>
          <w:szCs w:val="16"/>
          <w:color w:val="auto"/>
        </w:rPr>
        <w:t>A description of our critical accounting policies that involve significant management judgments appears in our 2020 Form 10-K, under “Management’s Discussion and Analysis of Financial Condition and Results of Operations—Critical Accounting Policies and Estimates.”</w:t>
      </w:r>
    </w:p>
    <w:p>
      <w:pPr>
        <w:spacing w:after="0" w:line="16"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policies and estimates as compared to our critical accounting policies and estimates included in our 2020 Form 10-K.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distribute our content offerings through two primary channels:</w:t>
      </w:r>
    </w:p>
    <w:p>
      <w:pPr>
        <w:spacing w:after="0" w:line="117" w:lineRule="exact"/>
        <w:rPr>
          <w:sz w:val="20"/>
          <w:szCs w:val="20"/>
          <w:color w:val="auto"/>
        </w:rPr>
      </w:pPr>
    </w:p>
    <w:p>
      <w:pPr>
        <w:ind w:right="320" w:firstLine="405"/>
        <w:spacing w:after="0" w:line="301" w:lineRule="auto"/>
        <w:rPr>
          <w:sz w:val="20"/>
          <w:szCs w:val="20"/>
          <w:color w:val="auto"/>
        </w:rPr>
      </w:pPr>
      <w:r>
        <w:rPr>
          <w:rFonts w:ascii="Arial" w:cs="Arial" w:eastAsia="Arial" w:hAnsi="Arial"/>
          <w:sz w:val="16"/>
          <w:szCs w:val="16"/>
          <w:i w:val="1"/>
          <w:iCs w:val="1"/>
          <w:color w:val="auto"/>
        </w:rPr>
        <w:t xml:space="preserve">E-commerce: </w:t>
      </w:r>
      <w:r>
        <w:rPr>
          <w:rFonts w:ascii="Arial" w:cs="Arial" w:eastAsia="Arial" w:hAnsi="Arial"/>
          <w:sz w:val="16"/>
          <w:szCs w:val="16"/>
          <w:color w:val="auto"/>
        </w:rPr>
        <w:t>The majority of our customers license content directly through our self-service web properties. E-commerce customers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flexibility to purchase a subscription-based plan 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49"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i w:val="1"/>
          <w:iCs w:val="1"/>
          <w:color w:val="auto"/>
        </w:rPr>
        <w:t xml:space="preserve">Enterprise: </w:t>
      </w:r>
      <w:r>
        <w:rPr>
          <w:rFonts w:ascii="Arial" w:cs="Arial" w:eastAsia="Arial" w:hAnsi="Arial"/>
          <w:sz w:val="18"/>
          <w:szCs w:val="18"/>
          <w:color w:val="auto"/>
        </w:rPr>
        <w:t>We also have a base of customers with unique content, licensing and workflow needs. These customers benefit from communication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revenues by distribution channel for the three months ended March 31, 2021 and 2020 are as follows (in thousands):</w:t>
      </w:r>
    </w:p>
    <w:p>
      <w:pPr>
        <w:spacing w:after="0" w:line="163"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9"/>
        </w:trPr>
        <w:tc>
          <w:tcPr>
            <w:tcW w:w="7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2020</w:t>
            </w:r>
          </w:p>
        </w:tc>
      </w:tr>
      <w:tr>
        <w:trPr>
          <w:trHeight w:val="26"/>
        </w:trPr>
        <w:tc>
          <w:tcPr>
            <w:tcW w:w="7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E-commerce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118,400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99,736</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Enterprise</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64,881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61,549</w:t>
            </w:r>
          </w:p>
        </w:tc>
      </w:tr>
      <w:tr>
        <w:trPr>
          <w:trHeight w:val="237"/>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183,281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161,285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5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royalties paid to contributors, credit card processing fees, content review costs, customer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infrastructure and hosting costs related to maintaining our creative platform and cloud-based software platform, depreciation and amortization of capitalized internal-use software, content and technology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7"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third-party marketing, advertising, branding, public relations and sales expenses.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expenses also include associated employee compensation, including non-cash equity-based compensation, bonuses and benefits, and commissions as well as allocated facility and other supporting overhead costs.</w:t>
      </w:r>
    </w:p>
    <w:p>
      <w:pPr>
        <w:spacing w:after="0" w:line="116" w:lineRule="exact"/>
        <w:rPr>
          <w:sz w:val="20"/>
          <w:szCs w:val="20"/>
          <w:color w:val="auto"/>
        </w:rPr>
      </w:pPr>
    </w:p>
    <w:p>
      <w:pPr>
        <w:ind w:right="280" w:firstLine="405"/>
        <w:spacing w:after="0" w:line="311"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consist of employee compensation, including non-cash equity-based compensation,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and 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8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include employee compensation, including non-cash equity-based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90"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i w:val="1"/>
          <w:iCs w:val="1"/>
          <w:color w:val="auto"/>
        </w:rPr>
        <w:t xml:space="preserve">Other (Expense) / Income, Net. </w:t>
      </w:r>
      <w:r>
        <w:rPr>
          <w:rFonts w:ascii="Arial" w:cs="Arial" w:eastAsia="Arial" w:hAnsi="Arial"/>
          <w:sz w:val="18"/>
          <w:szCs w:val="18"/>
          <w:color w:val="auto"/>
        </w:rPr>
        <w:t>Other (expense) / income, net consists of non-operating costs such as foreign currency transaction gains and losses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interest income.</w:t>
      </w:r>
    </w:p>
    <w:p>
      <w:pPr>
        <w:spacing w:after="0" w:line="103"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compute income taxes using the asset and liability method, under which deferred tax assets and liabilities are determined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36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183,281</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161,285</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61,832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69,123</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Product development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13,069</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30,679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30,652</w:t>
            </w:r>
          </w:p>
        </w:tc>
      </w:tr>
      <w:tr>
        <w:trPr>
          <w:trHeight w:val="207"/>
        </w:trPr>
        <w:tc>
          <w:tcPr>
            <w:tcW w:w="82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145,163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155,504</w:t>
            </w:r>
          </w:p>
        </w:tc>
      </w:tr>
      <w:tr>
        <w:trPr>
          <w:trHeight w:val="213"/>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5,781</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 / income, net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r>
      <w:tr>
        <w:trPr>
          <w:trHeight w:val="213"/>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6,294</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r>
      <w:tr>
        <w:trPr>
          <w:trHeight w:val="234"/>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29,514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149"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9060" w:type="dxa"/>
            <w:vAlign w:val="bottom"/>
            <w:gridSpan w:val="2"/>
          </w:tcPr>
          <w:p>
            <w:pPr>
              <w:ind w:left="140"/>
              <w:spacing w:after="0"/>
              <w:rPr>
                <w:sz w:val="20"/>
                <w:szCs w:val="20"/>
                <w:color w:val="auto"/>
              </w:rPr>
            </w:pPr>
            <w:r>
              <w:rPr>
                <w:rFonts w:ascii="Arial" w:cs="Arial" w:eastAsia="Arial" w:hAnsi="Arial"/>
                <w:sz w:val="16"/>
                <w:szCs w:val="16"/>
                <w:color w:val="auto"/>
              </w:rPr>
              <w:t>Revenue</w:t>
            </w:r>
          </w:p>
        </w:tc>
        <w:tc>
          <w:tcPr>
            <w:tcW w:w="5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19"/>
        </w:trPr>
        <w:tc>
          <w:tcPr>
            <w:tcW w:w="90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9060" w:type="dxa"/>
            <w:vAlign w:val="bottom"/>
            <w:gridSpan w:val="2"/>
          </w:tcPr>
          <w:p>
            <w:pPr>
              <w:ind w:left="360"/>
              <w:spacing w:after="0"/>
              <w:rPr>
                <w:sz w:val="20"/>
                <w:szCs w:val="20"/>
                <w:color w:val="auto"/>
              </w:rPr>
            </w:pPr>
            <w:r>
              <w:rPr>
                <w:rFonts w:ascii="Arial" w:cs="Arial" w:eastAsia="Arial" w:hAnsi="Arial"/>
                <w:sz w:val="16"/>
                <w:szCs w:val="16"/>
                <w:color w:val="auto"/>
              </w:rPr>
              <w:t>Cost of revenue</w:t>
            </w:r>
          </w:p>
        </w:tc>
        <w:tc>
          <w:tcPr>
            <w:tcW w:w="54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19"/>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3"/>
        </w:trPr>
        <w:tc>
          <w:tcPr>
            <w:tcW w:w="9060" w:type="dxa"/>
            <w:vAlign w:val="bottom"/>
            <w:gridSpan w:val="2"/>
          </w:tcPr>
          <w:p>
            <w:pPr>
              <w:ind w:left="360"/>
              <w:spacing w:after="0"/>
              <w:rPr>
                <w:sz w:val="20"/>
                <w:szCs w:val="20"/>
                <w:color w:val="auto"/>
              </w:rPr>
            </w:pPr>
            <w:r>
              <w:rPr>
                <w:rFonts w:ascii="Arial" w:cs="Arial" w:eastAsia="Arial" w:hAnsi="Arial"/>
                <w:sz w:val="16"/>
                <w:szCs w:val="16"/>
                <w:color w:val="auto"/>
              </w:rPr>
              <w:t>Product development</w:t>
            </w:r>
          </w:p>
        </w:tc>
        <w:tc>
          <w:tcPr>
            <w:tcW w:w="540" w:type="dxa"/>
            <w:vAlign w:val="bottom"/>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19"/>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06"/>
        </w:trPr>
        <w:tc>
          <w:tcPr>
            <w:tcW w:w="8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96 %</w:t>
            </w:r>
          </w:p>
        </w:tc>
      </w:tr>
      <w:tr>
        <w:trPr>
          <w:trHeight w:val="213"/>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13"/>
        </w:trPr>
        <w:tc>
          <w:tcPr>
            <w:tcW w:w="9060" w:type="dxa"/>
            <w:vAlign w:val="bottom"/>
            <w:gridSpan w:val="2"/>
          </w:tcPr>
          <w:p>
            <w:pPr>
              <w:ind w:left="140"/>
              <w:spacing w:after="0"/>
              <w:rPr>
                <w:sz w:val="20"/>
                <w:szCs w:val="20"/>
                <w:color w:val="auto"/>
              </w:rPr>
            </w:pPr>
            <w:r>
              <w:rPr>
                <w:rFonts w:ascii="Arial" w:cs="Arial" w:eastAsia="Arial" w:hAnsi="Arial"/>
                <w:sz w:val="16"/>
                <w:szCs w:val="16"/>
                <w:color w:val="auto"/>
              </w:rPr>
              <w:t>Other (expense) / income, net</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8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before income taxes</w:t>
            </w: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13"/>
        </w:trPr>
        <w:tc>
          <w:tcPr>
            <w:tcW w:w="9060" w:type="dxa"/>
            <w:vAlign w:val="bottom"/>
            <w:gridSpan w:val="2"/>
          </w:tcPr>
          <w:p>
            <w:pPr>
              <w:ind w:left="140"/>
              <w:spacing w:after="0"/>
              <w:rPr>
                <w:sz w:val="20"/>
                <w:szCs w:val="20"/>
                <w:color w:val="auto"/>
              </w:rPr>
            </w:pPr>
            <w:r>
              <w:rPr>
                <w:rFonts w:ascii="Arial" w:cs="Arial" w:eastAsia="Arial" w:hAnsi="Arial"/>
                <w:sz w:val="16"/>
                <w:szCs w:val="16"/>
                <w:color w:val="auto"/>
              </w:rPr>
              <w:t>Provision for income taxes</w:t>
            </w:r>
          </w:p>
        </w:tc>
        <w:tc>
          <w:tcPr>
            <w:tcW w:w="54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35"/>
        </w:trPr>
        <w:tc>
          <w:tcPr>
            <w:tcW w:w="8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Note: Due to rounding, percentages may not sum to totals.</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 March 31,</w:t>
            </w:r>
          </w:p>
        </w:tc>
        <w:tc>
          <w:tcPr>
            <w:tcW w:w="156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8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183,281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161,285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21,996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120" w:type="dxa"/>
            <w:vAlign w:val="bottom"/>
          </w:tcPr>
          <w:p>
            <w:pPr>
              <w:ind w:left="36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61,832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69,123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(7,291)</w:t>
            </w:r>
          </w:p>
        </w:tc>
        <w:tc>
          <w:tcPr>
            <w:tcW w:w="100" w:type="dxa"/>
            <w:vAlign w:val="bottom"/>
          </w:tcPr>
          <w:p>
            <w:pPr>
              <w:spacing w:after="0"/>
              <w:rPr>
                <w:sz w:val="18"/>
                <w:szCs w:val="18"/>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(11)</w:t>
            </w:r>
          </w:p>
        </w:tc>
      </w:tr>
      <w:tr>
        <w:trPr>
          <w:trHeight w:val="219"/>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r>
      <w:tr>
        <w:trPr>
          <w:trHeight w:val="213"/>
        </w:trPr>
        <w:tc>
          <w:tcPr>
            <w:tcW w:w="5120" w:type="dxa"/>
            <w:vAlign w:val="bottom"/>
          </w:tcPr>
          <w:p>
            <w:pPr>
              <w:ind w:left="36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(2,338)</w:t>
            </w:r>
          </w:p>
        </w:tc>
        <w:tc>
          <w:tcPr>
            <w:tcW w:w="100" w:type="dxa"/>
            <w:vAlign w:val="bottom"/>
          </w:tcPr>
          <w:p>
            <w:pPr>
              <w:spacing w:after="0"/>
              <w:rPr>
                <w:sz w:val="18"/>
                <w:szCs w:val="18"/>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(18)</w:t>
            </w:r>
          </w:p>
        </w:tc>
      </w:tr>
      <w:tr>
        <w:trPr>
          <w:trHeight w:val="219"/>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51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145,163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155,504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(10,341)</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w:t>
            </w:r>
          </w:p>
        </w:tc>
      </w:tr>
      <w:tr>
        <w:trPr>
          <w:trHeight w:val="213"/>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559</w:t>
            </w:r>
          </w:p>
        </w:tc>
      </w:tr>
      <w:tr>
        <w:trPr>
          <w:trHeight w:val="213"/>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 / income,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467</w:t>
            </w:r>
          </w:p>
        </w:tc>
      </w:tr>
      <w:tr>
        <w:trPr>
          <w:trHeight w:val="213"/>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211</w:t>
            </w:r>
          </w:p>
        </w:tc>
      </w:tr>
      <w:tr>
        <w:trPr>
          <w:trHeight w:val="234"/>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25,196</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w:t>
      </w:r>
    </w:p>
    <w:p>
      <w:pPr>
        <w:spacing w:after="0" w:line="113" w:lineRule="exact"/>
        <w:rPr>
          <w:sz w:val="20"/>
          <w:szCs w:val="20"/>
          <w:color w:val="auto"/>
        </w:rPr>
      </w:pPr>
    </w:p>
    <w:p>
      <w:pPr>
        <w:ind w:left="420"/>
        <w:spacing w:after="0"/>
        <w:tabs>
          <w:tab w:leader="none" w:pos="6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Percentage change is 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Revenue increased by $22.0 million, or 14%, to $183.3 million in the three months ended March 31, 2021 compared to the same period in 2020. On a constant currency basis, revenue increased approximately 11%, in the three months ended March 31, 2021, compared to the same period in 2020.</w:t>
      </w:r>
    </w:p>
    <w:p>
      <w:pPr>
        <w:spacing w:after="0" w:line="4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Company’s E-commerce revenues increased by 19%, to $118.4 million in the three months ended March 31, 2021, compared to the same period in 2020. On a constant currency basis, the Company’s E-commerce revenues increased by 16% in the three months ended March 31, 2021, compared to the same period in 2020. During the three months ended March 31, 2021, growth in our E-commerce sales channel was primarily driven by increased subscriber revenue. E-commerce revenues also benefited from our acquisition of TurboSquid on February 1, 2021.</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Enterprise revenues increased by 5%, to $64.9 million in the three months ended March 31, 2021, compared to the same period in</w:t>
      </w:r>
    </w:p>
    <w:p>
      <w:pPr>
        <w:spacing w:after="0" w:line="46"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2020. On a constant currency basis, the Company’s Enterprise revenues increased by 3% in the three months ended March 31, 2021, compared to the same period in 2020. During the quarter, the Company has continued to identify and implement changes to respond to market trends including making updates to product offerings and continuously improving our platform. We believe these enhancements impacted our Enterprise sales operations during the period and is one of the drivers of the increased deferred revenue balance as of March 31, 2021.</w:t>
      </w:r>
    </w:p>
    <w:p>
      <w:pPr>
        <w:spacing w:after="0" w:line="10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addition, we believe our revenue growth for the three months ended March 31, 2021 was unfavorably affected by the global COVID-19 pandemic and its impact on our customers and their ability to spend marketing budgets on our products.</w:t>
      </w:r>
    </w:p>
    <w:p>
      <w:pPr>
        <w:spacing w:after="0" w:line="8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the three months ended March 31, 2021 and 2020, we delivered 45.8 million and 46.8 million paid downloads, respectively, and our revenue per download was $3.96 and $3.42 for the three months ended March 31, 2021 and 2020, respectively. During the three months ended March 31, 2021, the 2% decrease in the number of paid downloads compared to the same period in 2020, is due to lower customer utilization of our products. We believe that the decline in usage during the quarter is partially attributable to COVID-19.</w:t>
      </w:r>
    </w:p>
    <w:p>
      <w:pPr>
        <w:spacing w:after="0" w:line="119"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Changes in our revenue by region were as follows: revenue from North America increased by $7.3 million, or 13%, to $64.3 million, revenue from Europe increased by $8.5 million, or 16%, to $62.3 million and revenue from outside Europe and North America increased by $6.2 million, or 12%, to $56.7 million, in the three months ended March 31, 2021 compared to the same period in 2020.</w:t>
      </w:r>
    </w:p>
    <w:p>
      <w:pPr>
        <w:spacing w:after="0" w:line="200" w:lineRule="exact"/>
        <w:rPr>
          <w:sz w:val="20"/>
          <w:szCs w:val="20"/>
          <w:color w:val="auto"/>
        </w:rPr>
      </w:pPr>
    </w:p>
    <w:p>
      <w:pPr>
        <w:spacing w:after="0" w:line="36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decreased by $7.3 million, or 11% to $61.8 million in the three months ended March 31, 2021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2020, due to lower royalty expense, content procurement costs and depreciation and amortization expense, partially offset by higher costs associated with hardware and software licenses as well as increased credit card fees. In addition, for the three months ended March 31, 2020, cost of revenue includes severance charges of $1.1 million. The reduction in royalty expense was driven by the 2% decline in paid downloads as well as a modification in the way we compensate contributors. We expect that our cost of revenue will fluctuate in line with changes in revenue and paid downloads.</w:t>
      </w:r>
    </w:p>
    <w:p>
      <w:pPr>
        <w:spacing w:after="0" w:line="5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by $0.7 million, or 2%, to $41.9 million in the three months ended March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2020. As a percent of revenue, sales and marketing expenses decreased to 23% for the three months ended March 31, 2021, from 26% for the same period in 2020. This decrease was primarily driven by a $1.7 million decline in marketing spend as we focused resources on more efficient customer acquisition and improved marketing return on investment. In addition, travel and related expense costs declined by $0.5 million due to travel restrictions resulting from COVID-19. These declines were partially offset by $1.3 million in higher employee-related costs. We expect sales and marketing expenses to fluctuate as we optimize our sales channels and invest in new customer acquisition, products and geographies.</w:t>
      </w:r>
    </w:p>
    <w:p>
      <w:pPr>
        <w:spacing w:after="0" w:line="56"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i w:val="1"/>
          <w:iCs w:val="1"/>
          <w:color w:val="auto"/>
        </w:rPr>
        <w:t>Product Development</w:t>
      </w:r>
      <w:r>
        <w:rPr>
          <w:rFonts w:ascii="Arial" w:cs="Arial" w:eastAsia="Arial" w:hAnsi="Arial"/>
          <w:sz w:val="16"/>
          <w:szCs w:val="16"/>
          <w:color w:val="auto"/>
        </w:rPr>
        <w:t>. Product development expenses decreased by $2.3 million, or 18%, to $10.7 million in the three months ended March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2020. This decrease was driven by (i) lower employee and third-party contractor related costs, net of capitalized labor, and</w:t>
      </w:r>
    </w:p>
    <w:p>
      <w:pPr>
        <w:ind w:right="180" w:firstLine="8"/>
        <w:spacing w:after="0" w:line="277" w:lineRule="auto"/>
        <w:tabs>
          <w:tab w:leader="none" w:pos="265" w:val="left"/>
        </w:tabs>
        <w:numPr>
          <w:ilvl w:val="0"/>
          <w:numId w:val="9"/>
        </w:numPr>
        <w:rPr>
          <w:rFonts w:ascii="Arial" w:cs="Arial" w:eastAsia="Arial" w:hAnsi="Arial"/>
          <w:sz w:val="17"/>
          <w:szCs w:val="17"/>
          <w:color w:val="auto"/>
        </w:rPr>
      </w:pPr>
      <w:r>
        <w:rPr>
          <w:rFonts w:ascii="Arial" w:cs="Arial" w:eastAsia="Arial" w:hAnsi="Arial"/>
          <w:sz w:val="17"/>
          <w:szCs w:val="17"/>
          <w:color w:val="auto"/>
        </w:rPr>
        <w:t>a reduction in software and other IT-related costs, for the three months ended March 31, 2021, as compared to the same period in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6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remained flat at $30.7 million in the three months ended March 31,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2020. During the three months ended March 31, 2021, general and administrative expenses included higher non-cash compensation expense of $2.1 million, attributable to certain performance-based awards, partially offset by a $1.4 million reduction in employee-related costs and other reductions resulting from our ongoing vendor management initiatives. For the three months ended March 31, 2020, general and administrative expenses includes severance charges of $0.7 million.</w:t>
      </w:r>
    </w:p>
    <w:p>
      <w:pPr>
        <w:spacing w:after="0" w:line="80"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i w:val="1"/>
          <w:iCs w:val="1"/>
          <w:color w:val="auto"/>
        </w:rPr>
        <w:t>Other (Expense) / Income, Net</w:t>
      </w:r>
      <w:r>
        <w:rPr>
          <w:rFonts w:ascii="Arial" w:cs="Arial" w:eastAsia="Arial" w:hAnsi="Arial"/>
          <w:sz w:val="18"/>
          <w:szCs w:val="18"/>
          <w:color w:val="auto"/>
        </w:rPr>
        <w:t>. In the three months ended March 31, 2021, other (expense) / income, net substantially consisted of $2.5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unfavorable foreign currency fluctuations.</w:t>
      </w:r>
    </w:p>
    <w:p>
      <w:pPr>
        <w:spacing w:after="0" w:line="62" w:lineRule="exact"/>
        <w:rPr>
          <w:sz w:val="20"/>
          <w:szCs w:val="20"/>
          <w:color w:val="auto"/>
        </w:rPr>
      </w:pPr>
    </w:p>
    <w:p>
      <w:pPr>
        <w:ind w:right="160" w:firstLine="405"/>
        <w:spacing w:after="0" w:line="311" w:lineRule="auto"/>
        <w:rPr>
          <w:sz w:val="20"/>
          <w:szCs w:val="20"/>
          <w:color w:val="auto"/>
        </w:rPr>
      </w:pPr>
      <w:r>
        <w:rPr>
          <w:rFonts w:ascii="Arial" w:cs="Arial" w:eastAsia="Arial" w:hAnsi="Arial"/>
          <w:sz w:val="16"/>
          <w:szCs w:val="16"/>
          <w:color w:val="auto"/>
        </w:rPr>
        <w:t>During the three months ended March 31, 2020, approximately $1.1 million of other (expense) / income, net consisted of interest income which was partially offset by $0.6 million of unfavorable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41"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Income tax expense increased by $4.2 million for the three months ended March 31, 2021 as compared to the same period in 2020. Our</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tax rates yielded a net expense of 17.2% and 31.4% for the three months ended March 31, 2021 and 2020, respectively.</w:t>
      </w:r>
    </w:p>
    <w:p>
      <w:pPr>
        <w:spacing w:after="0" w:line="3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For the three months ended March 31, 2021, the net effect of discrete items decreased the effective tax rate by 1.8%. Excluding these items, our effective tax rate would have been 19.0% for the three months ended March 31, 2021.</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three months ended March 31, 2020, the effective tax rate increased by 9.9%, primarily as a result of a loss jurisdiction with no tax benefit.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Excluding these items, our effective tax rate would have been 21.5% for the three months ended March 31, 2020.</w:t>
      </w:r>
    </w:p>
    <w:p>
      <w:pPr>
        <w:spacing w:after="0" w:line="143"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5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operating results may fluctuate from quarter to quarter as a result of a variety of factors, including the effects of some seasonal trends in customer behavior.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 Additionally, because a significant portion of our revenue is derived from repeat customers who have purchased subscription plans, our revenues have historically been less volatile than if we had no subscription-based customers.</w:t>
      </w:r>
    </w:p>
    <w:p>
      <w:pPr>
        <w:spacing w:after="0" w:line="8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including any impacts from COVID-19. As a result of these and other factors, the results of any prior quarterly or annual periods should not be relied upon as indicators of our future operating performance.</w:t>
      </w:r>
    </w:p>
    <w:p>
      <w:pPr>
        <w:spacing w:after="0" w:line="119" w:lineRule="exact"/>
        <w:rPr>
          <w:sz w:val="20"/>
          <w:szCs w:val="20"/>
          <w:color w:val="auto"/>
        </w:rPr>
      </w:pPr>
    </w:p>
    <w:p>
      <w:pPr>
        <w:ind w:right="120" w:firstLine="405"/>
        <w:spacing w:after="0" w:line="311" w:lineRule="auto"/>
        <w:rPr>
          <w:sz w:val="20"/>
          <w:szCs w:val="20"/>
          <w:color w:val="auto"/>
        </w:rPr>
      </w:pPr>
      <w:r>
        <w:rPr>
          <w:rFonts w:ascii="Arial" w:cs="Arial" w:eastAsia="Arial" w:hAnsi="Arial"/>
          <w:sz w:val="16"/>
          <w:szCs w:val="16"/>
          <w:color w:val="auto"/>
        </w:rPr>
        <w:t>See “Risks Related to the Coronavirus (COVID-19) Pandemic, The effect of the COVID-19 pandemic on our operations, and the operations of our customers, partners and suppliers, could have a material adverse effect on our business, financial condition, cash flows and results of operations” in Part I, Item 1A, “Risk Factors” in our 2020 Form 10-K for further discussion of the possible impact of the COVID-19 pandemic on our business.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As of March 31, 2021, we had cash and cash equivalents totaling $363.9 million which primarily consisted of bank balances, money market funds and commercial paper. Since inception, we have financed our operations primarily through cash flows generated from operations.</w:t>
      </w:r>
    </w:p>
    <w:p>
      <w:pPr>
        <w:spacing w:after="0" w:line="38"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Historically, our principal uses of cash have included funding our operations, capital expenditures, content acquisitions, business combinations that enhance our strategic position, cash dividend payments and share purchases under our share repurchase program. We plan to 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declared and paid cash dividends of $0.21 per share of common stock, or $7.6 million during the three months ended March 31, 2021.</w:t>
      </w:r>
    </w:p>
    <w:p>
      <w:pPr>
        <w:spacing w:after="0" w:line="1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April 19, 2021, our Board of Directors declared a quarterly cash dividend of $0.21 per share of outstanding common stock payable on June 17, 2021 to stockholders of record at the close of business on June 3, 2021.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6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8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As of March 31, 2021, we have repurchased approximately 2,558,000 shares of our common stock under the share repurchase program at an average per-share cost of $39.09. During the three months ended March 31, 2021, we did not repurchase any shares of our common stock under the share repurchase program. As of March 31, 2021, we had $100 million of repurchase capacity remaining under the share repurchase program.</w:t>
      </w:r>
    </w:p>
    <w:p>
      <w:pPr>
        <w:spacing w:after="0" w:line="200" w:lineRule="exact"/>
        <w:rPr>
          <w:sz w:val="20"/>
          <w:szCs w:val="20"/>
          <w:color w:val="auto"/>
        </w:rPr>
      </w:pPr>
    </w:p>
    <w:p>
      <w:pPr>
        <w:spacing w:after="0" w:line="3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w:t>
      </w:r>
    </w:p>
    <w:p>
      <w:pPr>
        <w:spacing w:after="0" w:line="6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Upon the vesting of restricted stock units (“RSUs”), the Company has a practice of net share settlement, to cover any required withholding taxes by retaining the number of shares with a value equal to the amount of the tax and remitting an equal amount of cash to the appropriate taxing authorities, rather than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equity-based compensation programs on stockholders.</w:t>
      </w:r>
    </w:p>
    <w:p>
      <w:pPr>
        <w:spacing w:after="0" w:line="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During the three months ended March 31, 2021, shares with an aggregate value of $13.0 million were withheld upon vesting of RSUs and paid in connection with related remittance to taxing authorities.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We believe, based on our current operating plan, that our cash and cash equivalents, and cash from operations, will be sufficient to meet our anticipated cash needs for at least the next 12 months. Future capital expenditures could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 See Note 13 to our Unaudited Consolidated Financial Statements included in Part I, Item 1 of this Quarterly Report on Form 10-Q for information regarding our existing capital commitments as of March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data for the three months ended March 31, 2021 and 2020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center"/>
              <w:ind w:left="403"/>
              <w:spacing w:after="0"/>
              <w:rPr>
                <w:sz w:val="20"/>
                <w:szCs w:val="20"/>
                <w:color w:val="auto"/>
              </w:rPr>
            </w:pPr>
            <w:r>
              <w:rPr>
                <w:rFonts w:ascii="Arial" w:cs="Arial" w:eastAsia="Arial" w:hAnsi="Arial"/>
                <w:sz w:val="16"/>
                <w:szCs w:val="16"/>
                <w:color w:val="auto"/>
                <w:w w:val="89"/>
              </w:rPr>
              <w:t>35,828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center"/>
              <w:ind w:left="441"/>
              <w:spacing w:after="0"/>
              <w:rPr>
                <w:sz w:val="20"/>
                <w:szCs w:val="20"/>
                <w:color w:val="auto"/>
              </w:rPr>
            </w:pPr>
            <w:r>
              <w:rPr>
                <w:rFonts w:ascii="Arial" w:cs="Arial" w:eastAsia="Arial" w:hAnsi="Arial"/>
                <w:sz w:val="16"/>
                <w:szCs w:val="16"/>
                <w:color w:val="auto"/>
                <w:w w:val="94"/>
              </w:rPr>
              <w:t>6,859</w:t>
            </w: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center"/>
              <w:ind w:left="383"/>
              <w:spacing w:after="0"/>
              <w:rPr>
                <w:sz w:val="20"/>
                <w:szCs w:val="20"/>
                <w:color w:val="auto"/>
              </w:rPr>
            </w:pPr>
            <w:r>
              <w:rPr>
                <w:rFonts w:ascii="Arial" w:cs="Arial" w:eastAsia="Arial" w:hAnsi="Arial"/>
                <w:sz w:val="16"/>
                <w:szCs w:val="16"/>
                <w:color w:val="auto"/>
                <w:w w:val="90"/>
              </w:rPr>
              <w:t>(81,213)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center"/>
              <w:ind w:left="421"/>
              <w:spacing w:after="0"/>
              <w:rPr>
                <w:sz w:val="20"/>
                <w:szCs w:val="20"/>
                <w:color w:val="auto"/>
              </w:rPr>
            </w:pPr>
            <w:r>
              <w:rPr>
                <w:rFonts w:ascii="Arial" w:cs="Arial" w:eastAsia="Arial" w:hAnsi="Arial"/>
                <w:sz w:val="16"/>
                <w:szCs w:val="16"/>
                <w:color w:val="auto"/>
                <w:w w:val="94"/>
              </w:rPr>
              <w:t>(8,411)</w:t>
            </w: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w w:val="90"/>
              </w:rPr>
              <w:t>(19,371)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center"/>
              <w:ind w:left="421"/>
              <w:spacing w:after="0"/>
              <w:rPr>
                <w:sz w:val="20"/>
                <w:szCs w:val="20"/>
                <w:color w:val="auto"/>
              </w:rPr>
            </w:pPr>
            <w:r>
              <w:rPr>
                <w:rFonts w:ascii="Arial" w:cs="Arial" w:eastAsia="Arial" w:hAnsi="Arial"/>
                <w:sz w:val="16"/>
                <w:szCs w:val="16"/>
                <w:color w:val="auto"/>
                <w:w w:val="94"/>
              </w:rPr>
              <w:t>(7,801)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63"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8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Net cash provided by operating activities was $35.8 million for the three months ended March 31, 2021, compared to $6.9 million for the three months ended March 31, 2020. In the three months ended March 31, 2021, operating cash flows were favorably impacted from our increased operating income and changes in the timing of payments pertaining to operating expenses, which can cause operating cash flow to fluctuate from period to period. In addition, the three months ended March 31, 2020 were impacted by $7.8 million in one-time payments associated with long-term incentives related to our 2017 acquisition of Flashstock.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Cash used in investing activities for the three months ended March 31, 2021 was $81.2 million, consisting primarily of cash used in the acquisition of TurboSquid of $72.2 million, net of cash acquired and capital expenditures of $8.5 million for internal-use software and website development costs and purchases of software and equipment.</w:t>
      </w:r>
    </w:p>
    <w:p>
      <w:pPr>
        <w:spacing w:after="0" w:line="76" w:lineRule="exact"/>
        <w:rPr>
          <w:sz w:val="20"/>
          <w:szCs w:val="20"/>
          <w:color w:val="auto"/>
        </w:rPr>
      </w:pPr>
    </w:p>
    <w:p>
      <w:pPr>
        <w:jc w:val="both"/>
        <w:ind w:right="300" w:firstLine="405"/>
        <w:spacing w:after="0" w:line="263" w:lineRule="auto"/>
        <w:rPr>
          <w:sz w:val="20"/>
          <w:szCs w:val="20"/>
          <w:color w:val="auto"/>
        </w:rPr>
      </w:pPr>
      <w:r>
        <w:rPr>
          <w:rFonts w:ascii="Arial" w:cs="Arial" w:eastAsia="Arial" w:hAnsi="Arial"/>
          <w:sz w:val="18"/>
          <w:szCs w:val="18"/>
          <w:color w:val="auto"/>
        </w:rPr>
        <w:t>Cash used in investing activities in the three months ended March 31, 2020 was $8.4 million, consisting primarily of capital expenditures of $7.7 million for internal-use software and website development costs and purchases of software and equipment, and $0.7 million paid to acquire the rights to distribute certain digital content into perpetuity.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63"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Cash used in financing activities in the three months ended March 31, 2021 was $19.4 million, consisting primarily of $13.0 million, paid in settlement of tax withholding obligations related to employee stock-based compensation awards and $7.6 million, related to the payment of the quarterly cash dividend. These amounts were partially offset by approximately $1.3 million received from the issuance of common stock in connection with the exercise of stock options.</w:t>
      </w:r>
    </w:p>
    <w:p>
      <w:pPr>
        <w:spacing w:after="0" w:line="200" w:lineRule="exact"/>
        <w:rPr>
          <w:sz w:val="20"/>
          <w:szCs w:val="20"/>
          <w:color w:val="auto"/>
        </w:rPr>
      </w:pPr>
    </w:p>
    <w:p>
      <w:pPr>
        <w:spacing w:after="0" w:line="32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40" w:firstLine="405"/>
        <w:spacing w:after="0" w:line="263" w:lineRule="auto"/>
        <w:rPr>
          <w:sz w:val="20"/>
          <w:szCs w:val="20"/>
          <w:color w:val="auto"/>
        </w:rPr>
      </w:pPr>
      <w:r>
        <w:rPr>
          <w:rFonts w:ascii="Arial" w:cs="Arial" w:eastAsia="Arial" w:hAnsi="Arial"/>
          <w:sz w:val="18"/>
          <w:szCs w:val="18"/>
          <w:color w:val="auto"/>
        </w:rPr>
        <w:t>Cash used in financing activities in the three months ended March 31, 2020 was $7.8 million, consisting primarily of $6.0 million related to the payment of the quarterly cash dividend and $1.8 million, which was paid in settlement of tax withholding obligations related to employee stock-based compensation awards.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lease real estate under operating lease agreements that expire on various dates during the period from 2021 through 2029. We do not have any material finance lease obligations and our property, equipment and software have been purchased primarily with cash. We do not anticipate any difficulties in renewing those leases and co-location agreements that expire within the next several years and that we currently plan to renew, or in leasing other space or hosting facilities, if required.</w:t>
      </w:r>
    </w:p>
    <w:p>
      <w:pPr>
        <w:spacing w:after="0" w:line="7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March 21, 2013, we entered into an operating lease agreement to lease our headquarters in New York City, which was amended in 2016. The aggregate undiscounted future minimum lease payments under the lease, as amended, are approximately $54.9 million. We are also party to a letter of credit as a security deposit for this leased facility in the amount of $1.7 million. As of March 31, 2020, the Company is no longer required to provide cash collateral for its letter of credit, and, accordingly, these funds are no longer restricted.</w:t>
      </w:r>
    </w:p>
    <w:p>
      <w:pPr>
        <w:spacing w:after="0" w:line="7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Additionally, as of March 31, 2021, aggregate undiscounted future minimum lease payments under other operating leases are approximately $6.9 million.</w:t>
      </w:r>
    </w:p>
    <w:p>
      <w:pPr>
        <w:spacing w:after="0" w:line="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enter into unconditional purchase obligations related to contracts for cloud-based services, infrastructure and other business services as well as minimum royalty guarantees in connection with certain content licenses. As of March 31, 2021, our guaranteed royalty payments and unconditional purchase obligations for the remainder of 2021 and for the fiscal years ending December 31, 2022, 2023, 2024 and 2025 were approximately $24.3 million, $12.5 million, $8.0 million, $3.2 million and $0.8 million, respectively.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2820" w:type="dxa"/>
            <w:vAlign w:val="bottom"/>
            <w:tcBorders>
              <w:bottom w:val="single" w:sz="8" w:color="auto"/>
            </w:tcBorders>
            <w:gridSpan w:val="3"/>
            <w:shd w:val="clear" w:color="auto" w:fill="CCEEFF"/>
          </w:tcPr>
          <w:p>
            <w:pPr>
              <w:jc w:val="right"/>
              <w:ind w:right="521"/>
              <w:spacing w:after="0"/>
              <w:rPr>
                <w:sz w:val="20"/>
                <w:szCs w:val="20"/>
                <w:color w:val="auto"/>
              </w:rPr>
            </w:pPr>
            <w:r>
              <w:rPr>
                <w:rFonts w:ascii="Arial" w:cs="Arial" w:eastAsia="Arial" w:hAnsi="Arial"/>
                <w:sz w:val="14"/>
                <w:szCs w:val="14"/>
                <w:b w:val="1"/>
                <w:bCs w:val="1"/>
                <w:color w:val="auto"/>
              </w:rPr>
              <w:t>Three Months Ended March 31,</w:t>
            </w:r>
          </w:p>
        </w:tc>
      </w:tr>
      <w:tr>
        <w:trPr>
          <w:trHeight w:val="181"/>
        </w:trPr>
        <w:tc>
          <w:tcPr>
            <w:tcW w:w="80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Financial Measures:</w:t>
            </w:r>
          </w:p>
        </w:tc>
        <w:tc>
          <w:tcPr>
            <w:tcW w:w="3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shd w:val="clear" w:color="auto" w:fill="CCEEFF"/>
          </w:tcPr>
          <w:p>
            <w:pPr>
              <w:spacing w:after="0"/>
              <w:rPr>
                <w:sz w:val="17"/>
                <w:szCs w:val="17"/>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83"/>
              <w:spacing w:after="0"/>
              <w:rPr>
                <w:sz w:val="20"/>
                <w:szCs w:val="20"/>
                <w:color w:val="auto"/>
              </w:rPr>
            </w:pPr>
            <w:r>
              <w:rPr>
                <w:rFonts w:ascii="Arial" w:cs="Arial" w:eastAsia="Arial" w:hAnsi="Arial"/>
                <w:sz w:val="16"/>
                <w:szCs w:val="16"/>
                <w:color w:val="auto"/>
              </w:rPr>
              <w:t>56,419</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22,060</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36,636</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9,159</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83"/>
              <w:spacing w:after="0"/>
              <w:rPr>
                <w:sz w:val="20"/>
                <w:szCs w:val="20"/>
                <w:color w:val="auto"/>
              </w:rPr>
            </w:pPr>
            <w:r>
              <w:rPr>
                <w:rFonts w:ascii="Arial" w:cs="Arial" w:eastAsia="Arial" w:hAnsi="Arial"/>
                <w:sz w:val="16"/>
                <w:szCs w:val="16"/>
                <w:color w:val="auto"/>
              </w:rPr>
              <w:t>26,791</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6,176</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growth on a constant currency basis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11 %</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39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6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w:t>
      </w:r>
    </w:p>
    <w:p>
      <w:pPr>
        <w:spacing w:after="0" w:line="200" w:lineRule="exact"/>
        <w:rPr>
          <w:sz w:val="20"/>
          <w:szCs w:val="20"/>
          <w:color w:val="auto"/>
        </w:rPr>
      </w:pPr>
    </w:p>
    <w:p>
      <w:pPr>
        <w:spacing w:after="0" w:line="30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8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our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our underlying operating performance; and that revenue growth (including by distribution channel) on a constant currency basis, provides useful information to investors by eliminating the effect of foreign currency fluctuations that are not directly attributable to our operating performance. Management also believes that providing these non-GAAP financial measures enhances the comparability for investors in assessing our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after excluding the impact of nonrecurring payments associated with long-term incentives related to our 2017 acquisition of Flashstock, and provides them with the same measures that management uses as the basis for making resource allocation decisions.</w:t>
      </w:r>
    </w:p>
    <w:p>
      <w:pPr>
        <w:spacing w:after="0" w:line="60"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in addition to other financial performance measures, including various cash flow metrics, net income and our other GAAP results.</w:t>
      </w:r>
    </w:p>
    <w:p>
      <w:pPr>
        <w:spacing w:after="0" w:line="80"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63"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 xml:space="preserve">We define adjusted EBITDA as net income adjusted for depreciation and amortization, non-cash equity-based compensation, foreign currency transaction gains and losses, interest income and expense and income taxes. We define adjusted EBITDA margin as </w:t>
      </w:r>
      <w:r>
        <w:rPr>
          <w:rFonts w:ascii="Arial" w:cs="Arial" w:eastAsia="Arial" w:hAnsi="Arial"/>
          <w:sz w:val="15"/>
          <w:szCs w:val="15"/>
          <w:color w:val="auto"/>
        </w:rPr>
        <w:t>the ratio of adjusted EBITDA to revenue.</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of net income to adjusted EBITDA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8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8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29,514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4,318</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Add / (less) Non-GAAP adjustments: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10,091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10,519</w:t>
            </w: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Non-cash equity-based compensation</w:t>
            </w:r>
          </w:p>
        </w:tc>
        <w:tc>
          <w:tcPr>
            <w:tcW w:w="34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8,210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5,760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 adjustments, net</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2,462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6,142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56,419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22,060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Adjusted EBITDA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30.8 %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113"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other adjustments, net is foreign currency transaction gains and losses and interest income and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63" w:lineRule="exact"/>
        <w:rPr>
          <w:sz w:val="20"/>
          <w:szCs w:val="20"/>
          <w:color w:val="auto"/>
        </w:rPr>
      </w:pPr>
    </w:p>
    <w:p>
      <w:pPr>
        <w:jc w:val="both"/>
        <w:ind w:right="80" w:firstLine="405"/>
        <w:spacing w:after="0" w:line="253" w:lineRule="auto"/>
        <w:rPr>
          <w:sz w:val="20"/>
          <w:szCs w:val="20"/>
          <w:color w:val="auto"/>
        </w:rPr>
      </w:pPr>
      <w:r>
        <w:rPr>
          <w:rFonts w:ascii="Arial" w:cs="Arial" w:eastAsia="Arial" w:hAnsi="Arial"/>
          <w:sz w:val="18"/>
          <w:szCs w:val="18"/>
          <w:color w:val="auto"/>
        </w:rPr>
        <w:t xml:space="preserve">We define adjusted net income as net income adjusted for the impact of non-cash equity-based compensation, the amortization of acquisition-related intangible assets and the estimated tax impact of such adjustments. We define adjusted net income per diluted common share as </w:t>
      </w:r>
      <w:r>
        <w:rPr>
          <w:rFonts w:ascii="Arial" w:cs="Arial" w:eastAsia="Arial" w:hAnsi="Arial"/>
          <w:sz w:val="17"/>
          <w:szCs w:val="17"/>
          <w:color w:val="auto"/>
        </w:rPr>
        <w:t>adjusted net income divided</w:t>
      </w:r>
      <w:r>
        <w:rPr>
          <w:rFonts w:ascii="Arial" w:cs="Arial" w:eastAsia="Arial" w:hAnsi="Arial"/>
          <w:sz w:val="18"/>
          <w:szCs w:val="18"/>
          <w:color w:val="auto"/>
        </w:rPr>
        <w:t xml:space="preserve"> </w:t>
      </w:r>
      <w:r>
        <w:rPr>
          <w:rFonts w:ascii="Arial" w:cs="Arial" w:eastAsia="Arial" w:hAnsi="Arial"/>
          <w:sz w:val="17"/>
          <w:szCs w:val="17"/>
          <w:color w:val="auto"/>
        </w:rPr>
        <w:t>by weighted average diluted shares.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of net income to adjusted net income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r>
      <w:tr>
        <w:trPr>
          <w:trHeight w:val="181"/>
        </w:trPr>
        <w:tc>
          <w:tcPr>
            <w:tcW w:w="8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gridSpan w:val="3"/>
          </w:tcPr>
          <w:p>
            <w:pPr>
              <w:jc w:val="right"/>
              <w:ind w:right="461"/>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r>
      <w:tr>
        <w:trPr>
          <w:trHeight w:val="57"/>
        </w:trPr>
        <w:tc>
          <w:tcPr>
            <w:tcW w:w="8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29,514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Add / (less) Non-GAAP adjustments: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equity-based compensation</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5,760</w:t>
            </w:r>
          </w:p>
        </w:tc>
      </w:tr>
      <w:tr>
        <w:trPr>
          <w:trHeight w:val="216"/>
        </w:trPr>
        <w:tc>
          <w:tcPr>
            <w:tcW w:w="8260" w:type="dxa"/>
            <w:vAlign w:val="bottom"/>
          </w:tcPr>
          <w:p>
            <w:pPr>
              <w:ind w:left="140"/>
              <w:spacing w:after="0" w:line="216" w:lineRule="exact"/>
              <w:rPr>
                <w:sz w:val="20"/>
                <w:szCs w:val="20"/>
                <w:color w:val="auto"/>
              </w:rPr>
            </w:pPr>
            <w:r>
              <w:rPr>
                <w:rFonts w:ascii="Arial" w:cs="Arial" w:eastAsia="Arial" w:hAnsi="Arial"/>
                <w:sz w:val="16"/>
                <w:szCs w:val="16"/>
                <w:color w:val="auto"/>
              </w:rPr>
              <w:t>Tax effect of non-cash equity-based compensation</w:t>
            </w:r>
            <w:r>
              <w:rPr>
                <w:rFonts w:ascii="Arial" w:cs="Arial" w:eastAsia="Arial" w:hAnsi="Arial"/>
                <w:sz w:val="21"/>
                <w:szCs w:val="21"/>
                <w:color w:val="auto"/>
                <w:vertAlign w:val="superscript"/>
              </w:rPr>
              <w:t>(1)</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(1,929)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(1,354)</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Acquisition-related amortization expense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216"/>
        </w:trPr>
        <w:tc>
          <w:tcPr>
            <w:tcW w:w="82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Tax effect of acquisition-related amortization expense</w:t>
            </w:r>
            <w:r>
              <w:rPr>
                <w:rFonts w:ascii="Arial" w:cs="Arial" w:eastAsia="Arial" w:hAnsi="Arial"/>
                <w:sz w:val="21"/>
                <w:szCs w:val="21"/>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36,636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per diluted common share</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r>
    </w:tbl>
    <w:p>
      <w:pPr>
        <w:spacing w:after="0" w:line="8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Tax effect reflects the estimated impact of the adjustment on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Growth (including by distribution channel) on a Constant Currency Basis</w:t>
      </w:r>
    </w:p>
    <w:p>
      <w:pPr>
        <w:spacing w:after="0" w:line="63" w:lineRule="exact"/>
        <w:rPr>
          <w:sz w:val="20"/>
          <w:szCs w:val="20"/>
          <w:color w:val="auto"/>
        </w:rPr>
      </w:pPr>
    </w:p>
    <w:p>
      <w:pPr>
        <w:jc w:val="both"/>
        <w:ind w:right="460" w:firstLine="405"/>
        <w:spacing w:after="0" w:line="342" w:lineRule="auto"/>
        <w:rPr>
          <w:sz w:val="20"/>
          <w:szCs w:val="20"/>
          <w:color w:val="auto"/>
        </w:rPr>
      </w:pPr>
      <w:r>
        <w:rPr>
          <w:rFonts w:ascii="Arial" w:cs="Arial" w:eastAsia="Arial" w:hAnsi="Arial"/>
          <w:sz w:val="16"/>
          <w:szCs w:val="16"/>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r>
      <w:tr>
        <w:trPr>
          <w:trHeight w:val="181"/>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57"/>
        </w:trPr>
        <w:tc>
          <w:tcPr>
            <w:tcW w:w="8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 (in thousands)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183,281</w:t>
            </w:r>
          </w:p>
        </w:tc>
        <w:tc>
          <w:tcPr>
            <w:tcW w:w="5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161,285</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i w:val="1"/>
                <w:iCs w:val="1"/>
                <w:color w:val="auto"/>
              </w:rPr>
              <w:t>Revenue growth</w:t>
            </w:r>
          </w:p>
        </w:tc>
        <w:tc>
          <w:tcPr>
            <w:tcW w:w="3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i w:val="1"/>
                <w:iCs w:val="1"/>
                <w:color w:val="auto"/>
              </w:rPr>
              <w:t>14 %</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Revenue growth on a constant currency basis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i w:val="1"/>
                <w:iCs w:val="1"/>
                <w:color w:val="auto"/>
              </w:rPr>
              <w:t>11 %</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w:t>
            </w:r>
          </w:p>
        </w:tc>
      </w:tr>
      <w:tr>
        <w:trPr>
          <w:trHeight w:val="54"/>
        </w:trPr>
        <w:tc>
          <w:tcPr>
            <w:tcW w:w="8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E-commerce reported revenue (in thousands)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118,400</w:t>
            </w:r>
          </w:p>
        </w:tc>
        <w:tc>
          <w:tcPr>
            <w:tcW w:w="5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99,736</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i w:val="1"/>
                <w:iCs w:val="1"/>
                <w:color w:val="auto"/>
              </w:rPr>
              <w:t>E-commerce revenue growth</w:t>
            </w:r>
          </w:p>
        </w:tc>
        <w:tc>
          <w:tcPr>
            <w:tcW w:w="3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i w:val="1"/>
                <w:iCs w:val="1"/>
                <w:color w:val="auto"/>
              </w:rPr>
              <w:t>19 %</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2 %</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E-commerce revenue growth on a constant currency basis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i w:val="1"/>
                <w:iCs w:val="1"/>
                <w:color w:val="auto"/>
              </w:rPr>
              <w:t>16 %</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2 %</w:t>
            </w:r>
          </w:p>
        </w:tc>
      </w:tr>
      <w:tr>
        <w:trPr>
          <w:trHeight w:val="94"/>
        </w:trPr>
        <w:tc>
          <w:tcPr>
            <w:tcW w:w="8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Enterprise reported revenue (in thousands)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64,881</w:t>
            </w:r>
          </w:p>
        </w:tc>
        <w:tc>
          <w:tcPr>
            <w:tcW w:w="5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61,549</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i w:val="1"/>
                <w:iCs w:val="1"/>
                <w:color w:val="auto"/>
              </w:rPr>
              <w:t>Enterprise revenue growth</w:t>
            </w:r>
          </w:p>
        </w:tc>
        <w:tc>
          <w:tcPr>
            <w:tcW w:w="3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i w:val="1"/>
                <w:iCs w:val="1"/>
                <w:color w:val="auto"/>
              </w:rPr>
              <w:t>5 %</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(6)%</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Enterprise revenue growth on a constant currency basis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i w:val="1"/>
                <w:iCs w:val="1"/>
                <w:color w:val="auto"/>
              </w:rPr>
              <w:t>3 %</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158"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We define free cash flow as our cash provided by operating activities, adjusted for capital expenditures and content acquisition, and, with respect to the three months ended March 31, 2020, a payment associated with long-term incentives related to our 2017 acquisition of Flashstock.</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of net cash provided by operating activities to free cash flow for each of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r>
      <w:tr>
        <w:trPr>
          <w:trHeight w:val="181"/>
        </w:trPr>
        <w:tc>
          <w:tcPr>
            <w:tcW w:w="8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r>
      <w:tr>
        <w:trPr>
          <w:trHeight w:val="57"/>
        </w:trPr>
        <w:tc>
          <w:tcPr>
            <w:tcW w:w="8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35,828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6,859</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(8,548)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(7,719)</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Content acquisitions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Payments related to long-term incentives related to acquisitions</w:t>
            </w: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7,759</w:t>
            </w:r>
          </w:p>
        </w:tc>
      </w:tr>
      <w:tr>
        <w:trPr>
          <w:trHeight w:val="23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90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26,791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20" w:firstLine="405"/>
        <w:spacing w:after="0" w:line="263" w:lineRule="auto"/>
        <w:rPr>
          <w:sz w:val="20"/>
          <w:szCs w:val="20"/>
          <w:color w:val="auto"/>
        </w:rPr>
      </w:pPr>
      <w:r>
        <w:rPr>
          <w:rFonts w:ascii="Arial" w:cs="Arial" w:eastAsia="Arial" w:hAnsi="Arial"/>
          <w:sz w:val="18"/>
          <w:szCs w:val="18"/>
          <w:color w:val="auto"/>
        </w:rPr>
        <w:t>As of March 31, 2021,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related to foreign currency exchange rate fluctuation, interest rate fluctuation and inflation.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36% for the three months ended March 31, 2021 and 2020.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three months ended March 31, 2021, we estimate that a 10% change in the exchange rate of the U.S. dollar against all foreign currency denominated revenues would result in an approximately 3% impact on our revenue.</w:t>
      </w:r>
    </w:p>
    <w:p>
      <w:pPr>
        <w:spacing w:after="0" w:line="12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historical revenue by currency is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9"/>
              </w:rPr>
              <w:t>Three Months Ended March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75"/>
              </w:rPr>
              <w:t>2021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2"/>
              </w:rPr>
              <w:t>2020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U.S. Dollars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0"/>
              <w:spacing w:after="0" w:line="121" w:lineRule="exact"/>
              <w:rPr>
                <w:sz w:val="20"/>
                <w:szCs w:val="20"/>
                <w:color w:val="auto"/>
              </w:rPr>
            </w:pPr>
            <w:r>
              <w:rPr>
                <w:rFonts w:ascii="Arial" w:cs="Arial" w:eastAsia="Arial" w:hAnsi="Arial"/>
                <w:sz w:val="13"/>
                <w:szCs w:val="13"/>
                <w:b w:val="1"/>
                <w:bCs w:val="1"/>
                <w:color w:val="auto"/>
                <w:w w:val="89"/>
              </w:rPr>
              <w:t>Originating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0"/>
              </w:rPr>
              <w:t>U.S. Dollars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88"/>
              <w:spacing w:after="0" w:line="121" w:lineRule="exact"/>
              <w:rPr>
                <w:sz w:val="20"/>
                <w:szCs w:val="20"/>
                <w:color w:val="auto"/>
              </w:rPr>
            </w:pPr>
            <w:r>
              <w:rPr>
                <w:rFonts w:ascii="Arial" w:cs="Arial" w:eastAsia="Arial" w:hAnsi="Arial"/>
                <w:sz w:val="13"/>
                <w:szCs w:val="13"/>
                <w:b w:val="1"/>
                <w:bCs w:val="1"/>
                <w:color w:val="auto"/>
                <w:w w:val="89"/>
              </w:rPr>
              <w:t>Originating</w:t>
            </w:r>
          </w:p>
        </w:tc>
        <w:tc>
          <w:tcPr>
            <w:tcW w:w="0" w:type="dxa"/>
            <w:vAlign w:val="bottom"/>
          </w:tcPr>
          <w:p>
            <w:pPr>
              <w:spacing w:after="0"/>
              <w:rPr>
                <w:sz w:val="1"/>
                <w:szCs w:val="1"/>
                <w:color w:val="auto"/>
              </w:rPr>
            </w:pPr>
          </w:p>
        </w:tc>
      </w:tr>
      <w:tr>
        <w:trPr>
          <w:trHeight w:val="169"/>
        </w:trPr>
        <w:tc>
          <w:tcPr>
            <w:tcW w:w="7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Currency</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3"/>
                <w:szCs w:val="13"/>
                <w:b w:val="1"/>
                <w:bCs w:val="1"/>
                <w:color w:val="auto"/>
              </w:rPr>
              <w:t>Currency</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37,890</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31,955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33,692</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30,378</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British pounds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9,470</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All other non-U.S. currencies</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foreign currency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7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dollar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117,451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103,595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6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183,281</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161,285</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no single currency which exceeded 5% of total revenue for any of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have any long-term borrowings as of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2021.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88"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Based on the evaluation of our disclosure controls and procedures as of March 31, 2021, our Chief Executive Officer and Chief Financial Officer concluded that, as of such date, our disclosure controls and procedures were effective at the reasonable assurance level.</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 We acquired TurboSquid, Inc. during the first quarter of 2021 and are in the process of integrating the acquired business into our overall internal control over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5" w:name="page36"/>
    <w:bookmarkEnd w:id="35"/>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PART II.</w:t>
        <w:tab/>
        <w:t>OTHER INFORMATION</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2020 Form 10-K, which could materially affect our business, financial condition or future results. During the three months ended March 31, 2021, there were no material changes to these risk factors as described in our 2020 Form 10-K.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ind w:left="4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60" w:type="dxa"/>
            <w:vAlign w:val="bottom"/>
            <w:gridSpan w:val="4"/>
          </w:tcPr>
          <w:p>
            <w:pPr>
              <w:ind w:left="2080"/>
              <w:spacing w:after="0"/>
              <w:rPr>
                <w:sz w:val="20"/>
                <w:szCs w:val="20"/>
                <w:color w:val="auto"/>
              </w:rPr>
            </w:pPr>
            <w:r>
              <w:rPr>
                <w:rFonts w:ascii="Arial" w:cs="Arial" w:eastAsia="Arial" w:hAnsi="Arial"/>
                <w:sz w:val="18"/>
                <w:szCs w:val="18"/>
                <w:b w:val="1"/>
                <w:bCs w:val="1"/>
                <w:color w:val="auto"/>
              </w:rPr>
              <w:t>EXHIBIT INDEX</w:t>
            </w:r>
          </w:p>
        </w:tc>
      </w:tr>
      <w:tr>
        <w:trPr>
          <w:trHeight w:val="447"/>
        </w:trPr>
        <w:tc>
          <w:tcPr>
            <w:tcW w:w="9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960" w:type="dxa"/>
            <w:vAlign w:val="bottom"/>
            <w:gridSpan w:val="4"/>
          </w:tcPr>
          <w:p>
            <w:pPr>
              <w:ind w:left="2600"/>
              <w:spacing w:after="0"/>
              <w:rPr>
                <w:sz w:val="20"/>
                <w:szCs w:val="20"/>
                <w:color w:val="auto"/>
              </w:rPr>
            </w:pPr>
            <w:r>
              <w:rPr>
                <w:rFonts w:ascii="Arial" w:cs="Arial" w:eastAsia="Arial" w:hAnsi="Arial"/>
                <w:sz w:val="14"/>
                <w:szCs w:val="14"/>
                <w:b w:val="1"/>
                <w:bCs w:val="1"/>
                <w:color w:val="auto"/>
              </w:rPr>
              <w:t>Exhibit Description</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10.1#</w:t>
            </w:r>
          </w:p>
        </w:tc>
        <w:tc>
          <w:tcPr>
            <w:tcW w:w="9800" w:type="dxa"/>
            <w:vAlign w:val="bottom"/>
            <w:tcBorders>
              <w:bottom w:val="single" w:sz="8" w:color="0000FF"/>
            </w:tcBorders>
            <w:gridSpan w:val="7"/>
          </w:tcPr>
          <w:p>
            <w:pPr>
              <w:spacing w:after="0"/>
              <w:rPr>
                <w:rFonts w:ascii="Arial" w:cs="Arial" w:eastAsia="Arial" w:hAnsi="Arial"/>
                <w:sz w:val="16"/>
                <w:szCs w:val="16"/>
                <w:color w:val="0000FF"/>
                <w:w w:val="92"/>
              </w:rPr>
            </w:pPr>
            <w:hyperlink w:anchor="page39">
              <w:r>
                <w:rPr>
                  <w:rFonts w:ascii="Arial" w:cs="Arial" w:eastAsia="Arial" w:hAnsi="Arial"/>
                  <w:sz w:val="16"/>
                  <w:szCs w:val="16"/>
                  <w:color w:val="0000FF"/>
                  <w:w w:val="92"/>
                </w:rPr>
                <w:t>Shutterstock, Inc. 2012 Amended and Restated Omnibus Equity Incentive Plan Restricted Stock Unit Award Agreement, for grants subsequent to April</w:t>
              </w:r>
            </w:hyperlink>
          </w:p>
        </w:tc>
      </w:tr>
      <w:tr>
        <w:trPr>
          <w:trHeight w:val="142"/>
        </w:trPr>
        <w:tc>
          <w:tcPr>
            <w:tcW w:w="980" w:type="dxa"/>
            <w:vAlign w:val="bottom"/>
          </w:tcPr>
          <w:p>
            <w:pPr>
              <w:spacing w:after="0"/>
              <w:rPr>
                <w:sz w:val="12"/>
                <w:szCs w:val="12"/>
                <w:color w:val="auto"/>
              </w:rPr>
            </w:pPr>
          </w:p>
        </w:tc>
        <w:tc>
          <w:tcPr>
            <w:tcW w:w="360" w:type="dxa"/>
            <w:vAlign w:val="bottom"/>
            <w:tcBorders>
              <w:bottom w:val="single" w:sz="8" w:color="0000FF"/>
            </w:tcBorders>
          </w:tcPr>
          <w:p>
            <w:pPr>
              <w:spacing w:after="0" w:line="142" w:lineRule="exact"/>
              <w:rPr>
                <w:rFonts w:ascii="Arial" w:cs="Arial" w:eastAsia="Arial" w:hAnsi="Arial"/>
                <w:sz w:val="16"/>
                <w:szCs w:val="16"/>
                <w:color w:val="0000FF"/>
                <w:w w:val="84"/>
              </w:rPr>
            </w:pPr>
            <w:hyperlink w:anchor="page39">
              <w:r>
                <w:rPr>
                  <w:rFonts w:ascii="Arial" w:cs="Arial" w:eastAsia="Arial" w:hAnsi="Arial"/>
                  <w:sz w:val="16"/>
                  <w:szCs w:val="16"/>
                  <w:color w:val="0000FF"/>
                  <w:w w:val="84"/>
                </w:rPr>
                <w:t>2020.</w:t>
              </w:r>
            </w:hyperlink>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auto"/>
              </w:rPr>
              <w:t>31.1#</w:t>
            </w:r>
          </w:p>
        </w:tc>
        <w:tc>
          <w:tcPr>
            <w:tcW w:w="9800" w:type="dxa"/>
            <w:vAlign w:val="bottom"/>
            <w:gridSpan w:val="7"/>
          </w:tcPr>
          <w:p>
            <w:pPr>
              <w:spacing w:after="0"/>
              <w:rPr>
                <w:rFonts w:ascii="Arial" w:cs="Arial" w:eastAsia="Arial" w:hAnsi="Arial"/>
                <w:sz w:val="16"/>
                <w:szCs w:val="16"/>
                <w:color w:val="0000FF"/>
                <w:w w:val="91"/>
              </w:rPr>
            </w:pPr>
            <w:hyperlink w:anchor="page46">
              <w:r>
                <w:rPr>
                  <w:rFonts w:ascii="Arial" w:cs="Arial" w:eastAsia="Arial" w:hAnsi="Arial"/>
                  <w:sz w:val="16"/>
                  <w:szCs w:val="16"/>
                  <w:color w:val="0000FF"/>
                  <w:w w:val="91"/>
                </w:rPr>
                <w:t>Certification of Chief Executive Officer pursuant to Exchange Act Rules 13a-14(a) and 15d-14(a), as adopted pursuant to Section 302 of the Sarbanes-</w:t>
              </w:r>
            </w:hyperlink>
          </w:p>
        </w:tc>
      </w:tr>
      <w:tr>
        <w:trPr>
          <w:trHeight w:val="142"/>
        </w:trPr>
        <w:tc>
          <w:tcPr>
            <w:tcW w:w="980" w:type="dxa"/>
            <w:vAlign w:val="bottom"/>
          </w:tcPr>
          <w:p>
            <w:pPr>
              <w:spacing w:after="0"/>
              <w:rPr>
                <w:sz w:val="12"/>
                <w:szCs w:val="12"/>
                <w:color w:val="auto"/>
              </w:rPr>
            </w:pPr>
          </w:p>
        </w:tc>
        <w:tc>
          <w:tcPr>
            <w:tcW w:w="978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w:anchor="page46">
              <w:r>
                <w:rPr>
                  <w:rFonts w:ascii="Arial" w:cs="Arial" w:eastAsia="Arial" w:hAnsi="Arial"/>
                  <w:sz w:val="16"/>
                  <w:szCs w:val="16"/>
                  <w:color w:val="0000FF"/>
                </w:rPr>
                <w:t>Oxley Act of 2002</w:t>
              </w:r>
            </w:hyperlink>
          </w:p>
        </w:tc>
        <w:tc>
          <w:tcPr>
            <w:tcW w:w="20" w:type="dxa"/>
            <w:vAlign w:val="bottom"/>
          </w:tcPr>
          <w:p>
            <w:pPr>
              <w:spacing w:after="0"/>
              <w:rPr>
                <w:sz w:val="12"/>
                <w:szCs w:val="12"/>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auto"/>
              </w:rPr>
              <w:t>31.2#</w:t>
            </w:r>
          </w:p>
        </w:tc>
        <w:tc>
          <w:tcPr>
            <w:tcW w:w="9800" w:type="dxa"/>
            <w:vAlign w:val="bottom"/>
            <w:gridSpan w:val="7"/>
          </w:tcPr>
          <w:p>
            <w:pPr>
              <w:spacing w:after="0"/>
              <w:rPr>
                <w:rFonts w:ascii="Arial" w:cs="Arial" w:eastAsia="Arial" w:hAnsi="Arial"/>
                <w:sz w:val="16"/>
                <w:szCs w:val="16"/>
                <w:color w:val="0000FF"/>
                <w:w w:val="92"/>
              </w:rPr>
            </w:pPr>
            <w:hyperlink w:anchor="page47">
              <w:r>
                <w:rPr>
                  <w:rFonts w:ascii="Arial" w:cs="Arial" w:eastAsia="Arial" w:hAnsi="Arial"/>
                  <w:sz w:val="16"/>
                  <w:szCs w:val="16"/>
                  <w:color w:val="0000FF"/>
                  <w:w w:val="92"/>
                </w:rPr>
                <w:t>Certification of Chief Financial Officer pursuant to Exchange Act Rules 13a-14(a) and 15d-14(a), as adopted pursuant to Section 302 of the Sarbanes-</w:t>
              </w:r>
            </w:hyperlink>
          </w:p>
        </w:tc>
      </w:tr>
      <w:tr>
        <w:trPr>
          <w:trHeight w:val="142"/>
        </w:trPr>
        <w:tc>
          <w:tcPr>
            <w:tcW w:w="980" w:type="dxa"/>
            <w:vAlign w:val="bottom"/>
          </w:tcPr>
          <w:p>
            <w:pPr>
              <w:spacing w:after="0"/>
              <w:rPr>
                <w:sz w:val="12"/>
                <w:szCs w:val="12"/>
                <w:color w:val="auto"/>
              </w:rPr>
            </w:pPr>
          </w:p>
        </w:tc>
        <w:tc>
          <w:tcPr>
            <w:tcW w:w="972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w:anchor="page47">
              <w:r>
                <w:rPr>
                  <w:rFonts w:ascii="Arial" w:cs="Arial" w:eastAsia="Arial" w:hAnsi="Arial"/>
                  <w:sz w:val="16"/>
                  <w:szCs w:val="16"/>
                  <w:color w:val="0000FF"/>
                </w:rPr>
                <w:t>Oxley Act of 2002</w:t>
              </w:r>
            </w:hyperlink>
          </w:p>
        </w:tc>
        <w:tc>
          <w:tcPr>
            <w:tcW w:w="80" w:type="dxa"/>
            <w:vAlign w:val="bottom"/>
            <w:gridSpan w:val="2"/>
          </w:tcPr>
          <w:p>
            <w:pPr>
              <w:spacing w:after="0"/>
              <w:rPr>
                <w:sz w:val="12"/>
                <w:szCs w:val="12"/>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auto"/>
              </w:rPr>
              <w:t>32#</w:t>
            </w:r>
          </w:p>
        </w:tc>
        <w:tc>
          <w:tcPr>
            <w:tcW w:w="9800" w:type="dxa"/>
            <w:vAlign w:val="bottom"/>
            <w:gridSpan w:val="7"/>
          </w:tcPr>
          <w:p>
            <w:pPr>
              <w:spacing w:after="0"/>
              <w:rPr>
                <w:rFonts w:ascii="Arial" w:cs="Arial" w:eastAsia="Arial" w:hAnsi="Arial"/>
                <w:sz w:val="16"/>
                <w:szCs w:val="16"/>
                <w:color w:val="0000FF"/>
                <w:w w:val="95"/>
              </w:rPr>
            </w:pPr>
            <w:hyperlink w:anchor="page48">
              <w:r>
                <w:rPr>
                  <w:rFonts w:ascii="Arial" w:cs="Arial" w:eastAsia="Arial" w:hAnsi="Arial"/>
                  <w:sz w:val="16"/>
                  <w:szCs w:val="16"/>
                  <w:color w:val="0000FF"/>
                  <w:w w:val="95"/>
                </w:rPr>
                <w:t>Certification of Chief Executive Officer and Chief Financial Officer pursuant to 18 U.S.C. Section 1350, as adopted pursuant to Section 906 of the</w:t>
              </w:r>
            </w:hyperlink>
          </w:p>
        </w:tc>
      </w:tr>
      <w:tr>
        <w:trPr>
          <w:trHeight w:val="142"/>
        </w:trPr>
        <w:tc>
          <w:tcPr>
            <w:tcW w:w="980" w:type="dxa"/>
            <w:vAlign w:val="bottom"/>
          </w:tcPr>
          <w:p>
            <w:pPr>
              <w:spacing w:after="0"/>
              <w:rPr>
                <w:sz w:val="12"/>
                <w:szCs w:val="12"/>
                <w:color w:val="auto"/>
              </w:rPr>
            </w:pPr>
          </w:p>
        </w:tc>
        <w:tc>
          <w:tcPr>
            <w:tcW w:w="9500" w:type="dxa"/>
            <w:vAlign w:val="bottom"/>
            <w:tcBorders>
              <w:top w:val="single" w:sz="8" w:color="0000FF"/>
            </w:tcBorders>
            <w:gridSpan w:val="4"/>
          </w:tcPr>
          <w:p>
            <w:pPr>
              <w:spacing w:after="0" w:line="142" w:lineRule="exact"/>
              <w:rPr>
                <w:rFonts w:ascii="Arial" w:cs="Arial" w:eastAsia="Arial" w:hAnsi="Arial"/>
                <w:sz w:val="16"/>
                <w:szCs w:val="16"/>
                <w:color w:val="0000FF"/>
              </w:rPr>
            </w:pPr>
            <w:hyperlink w:anchor="page48">
              <w:r>
                <w:rPr>
                  <w:rFonts w:ascii="Arial" w:cs="Arial" w:eastAsia="Arial" w:hAnsi="Arial"/>
                  <w:sz w:val="16"/>
                  <w:szCs w:val="16"/>
                  <w:color w:val="0000FF"/>
                </w:rPr>
                <w:t>Sarbanes-Oxley Act of 2002</w:t>
              </w:r>
            </w:hyperlink>
          </w:p>
        </w:tc>
        <w:tc>
          <w:tcPr>
            <w:tcW w:w="300" w:type="dxa"/>
            <w:vAlign w:val="bottom"/>
            <w:gridSpan w:val="3"/>
          </w:tcPr>
          <w:p>
            <w:pPr>
              <w:spacing w:after="0"/>
              <w:rPr>
                <w:sz w:val="12"/>
                <w:szCs w:val="12"/>
                <w:color w:val="auto"/>
              </w:rPr>
            </w:pPr>
          </w:p>
        </w:tc>
      </w:tr>
      <w:tr>
        <w:trPr>
          <w:trHeight w:val="20"/>
        </w:trPr>
        <w:tc>
          <w:tcPr>
            <w:tcW w:w="98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7960" w:type="dxa"/>
            <w:vAlign w:val="bottom"/>
            <w:gridSpan w:val="4"/>
          </w:tcPr>
          <w:p>
            <w:pPr>
              <w:spacing w:after="0" w:line="20" w:lineRule="exact"/>
              <w:rPr>
                <w:sz w:val="1"/>
                <w:szCs w:val="1"/>
                <w:color w:val="auto"/>
              </w:rPr>
            </w:pPr>
          </w:p>
        </w:tc>
      </w:tr>
      <w:tr>
        <w:trPr>
          <w:trHeight w:val="186"/>
        </w:trPr>
        <w:tc>
          <w:tcPr>
            <w:tcW w:w="980" w:type="dxa"/>
            <w:vAlign w:val="bottom"/>
          </w:tcPr>
          <w:p>
            <w:pPr>
              <w:spacing w:after="0"/>
              <w:rPr>
                <w:sz w:val="20"/>
                <w:szCs w:val="20"/>
                <w:color w:val="auto"/>
              </w:rPr>
            </w:pPr>
            <w:r>
              <w:rPr>
                <w:rFonts w:ascii="Arial" w:cs="Arial" w:eastAsia="Arial" w:hAnsi="Arial"/>
                <w:sz w:val="16"/>
                <w:szCs w:val="16"/>
                <w:color w:val="auto"/>
              </w:rPr>
              <w:t>101.INS</w:t>
            </w:r>
          </w:p>
        </w:tc>
        <w:tc>
          <w:tcPr>
            <w:tcW w:w="9800" w:type="dxa"/>
            <w:vAlign w:val="bottom"/>
            <w:gridSpan w:val="7"/>
          </w:tcPr>
          <w:p>
            <w:pPr>
              <w:spacing w:after="0"/>
              <w:rPr>
                <w:sz w:val="20"/>
                <w:szCs w:val="20"/>
                <w:color w:val="auto"/>
              </w:rPr>
            </w:pPr>
            <w:r>
              <w:rPr>
                <w:rFonts w:ascii="Arial" w:cs="Arial" w:eastAsia="Arial" w:hAnsi="Arial"/>
                <w:sz w:val="16"/>
                <w:szCs w:val="16"/>
                <w:color w:val="auto"/>
                <w:w w:val="92"/>
              </w:rPr>
              <w:t>XBRL Instance Document - the instance document does not appear in the Interactive Data File because its XBRL tags are embedded within the Inline</w:t>
            </w:r>
          </w:p>
        </w:tc>
      </w:tr>
      <w:tr>
        <w:trPr>
          <w:trHeight w:val="206"/>
        </w:trPr>
        <w:tc>
          <w:tcPr>
            <w:tcW w:w="980" w:type="dxa"/>
            <w:vAlign w:val="bottom"/>
          </w:tcPr>
          <w:p>
            <w:pPr>
              <w:spacing w:after="0"/>
              <w:rPr>
                <w:sz w:val="17"/>
                <w:szCs w:val="17"/>
                <w:color w:val="auto"/>
              </w:rPr>
            </w:pPr>
          </w:p>
        </w:tc>
        <w:tc>
          <w:tcPr>
            <w:tcW w:w="9800" w:type="dxa"/>
            <w:vAlign w:val="bottom"/>
            <w:gridSpan w:val="7"/>
          </w:tcPr>
          <w:p>
            <w:pPr>
              <w:spacing w:after="0"/>
              <w:rPr>
                <w:sz w:val="20"/>
                <w:szCs w:val="20"/>
                <w:color w:val="auto"/>
              </w:rPr>
            </w:pPr>
            <w:r>
              <w:rPr>
                <w:rFonts w:ascii="Arial" w:cs="Arial" w:eastAsia="Arial" w:hAnsi="Arial"/>
                <w:sz w:val="16"/>
                <w:szCs w:val="16"/>
                <w:color w:val="auto"/>
              </w:rPr>
              <w:t>XBRL document.</w:t>
            </w:r>
          </w:p>
        </w:tc>
      </w:tr>
      <w:tr>
        <w:trPr>
          <w:trHeight w:val="216"/>
        </w:trPr>
        <w:tc>
          <w:tcPr>
            <w:tcW w:w="980" w:type="dxa"/>
            <w:vAlign w:val="bottom"/>
          </w:tcPr>
          <w:p>
            <w:pPr>
              <w:spacing w:after="0"/>
              <w:rPr>
                <w:sz w:val="20"/>
                <w:szCs w:val="20"/>
                <w:color w:val="auto"/>
              </w:rPr>
            </w:pPr>
            <w:r>
              <w:rPr>
                <w:rFonts w:ascii="Arial" w:cs="Arial" w:eastAsia="Arial" w:hAnsi="Arial"/>
                <w:sz w:val="16"/>
                <w:szCs w:val="16"/>
                <w:color w:val="auto"/>
              </w:rPr>
              <w:t>101.SCH</w:t>
            </w:r>
          </w:p>
        </w:tc>
        <w:tc>
          <w:tcPr>
            <w:tcW w:w="9800" w:type="dxa"/>
            <w:vAlign w:val="bottom"/>
            <w:gridSpan w:val="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980" w:type="dxa"/>
            <w:vAlign w:val="bottom"/>
          </w:tcPr>
          <w:p>
            <w:pPr>
              <w:spacing w:after="0"/>
              <w:rPr>
                <w:sz w:val="20"/>
                <w:szCs w:val="20"/>
                <w:color w:val="auto"/>
              </w:rPr>
            </w:pPr>
            <w:r>
              <w:rPr>
                <w:rFonts w:ascii="Arial" w:cs="Arial" w:eastAsia="Arial" w:hAnsi="Arial"/>
                <w:sz w:val="16"/>
                <w:szCs w:val="16"/>
                <w:color w:val="auto"/>
              </w:rPr>
              <w:t>101.CAL</w:t>
            </w:r>
          </w:p>
        </w:tc>
        <w:tc>
          <w:tcPr>
            <w:tcW w:w="980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980" w:type="dxa"/>
            <w:vAlign w:val="bottom"/>
          </w:tcPr>
          <w:p>
            <w:pPr>
              <w:spacing w:after="0"/>
              <w:rPr>
                <w:sz w:val="20"/>
                <w:szCs w:val="20"/>
                <w:color w:val="auto"/>
              </w:rPr>
            </w:pPr>
            <w:r>
              <w:rPr>
                <w:rFonts w:ascii="Arial" w:cs="Arial" w:eastAsia="Arial" w:hAnsi="Arial"/>
                <w:sz w:val="16"/>
                <w:szCs w:val="16"/>
                <w:color w:val="auto"/>
              </w:rPr>
              <w:t>101.DEF</w:t>
            </w:r>
          </w:p>
        </w:tc>
        <w:tc>
          <w:tcPr>
            <w:tcW w:w="9800" w:type="dxa"/>
            <w:vAlign w:val="bottom"/>
            <w:gridSpan w:val="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980" w:type="dxa"/>
            <w:vAlign w:val="bottom"/>
          </w:tcPr>
          <w:p>
            <w:pPr>
              <w:spacing w:after="0"/>
              <w:rPr>
                <w:sz w:val="20"/>
                <w:szCs w:val="20"/>
                <w:color w:val="auto"/>
              </w:rPr>
            </w:pPr>
            <w:r>
              <w:rPr>
                <w:rFonts w:ascii="Arial" w:cs="Arial" w:eastAsia="Arial" w:hAnsi="Arial"/>
                <w:sz w:val="16"/>
                <w:szCs w:val="16"/>
                <w:color w:val="auto"/>
              </w:rPr>
              <w:t>101.LAB</w:t>
            </w:r>
          </w:p>
        </w:tc>
        <w:tc>
          <w:tcPr>
            <w:tcW w:w="9800" w:type="dxa"/>
            <w:vAlign w:val="bottom"/>
            <w:gridSpan w:val="7"/>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6"/>
        </w:trPr>
        <w:tc>
          <w:tcPr>
            <w:tcW w:w="980" w:type="dxa"/>
            <w:vAlign w:val="bottom"/>
          </w:tcPr>
          <w:p>
            <w:pPr>
              <w:spacing w:after="0"/>
              <w:rPr>
                <w:sz w:val="20"/>
                <w:szCs w:val="20"/>
                <w:color w:val="auto"/>
              </w:rPr>
            </w:pPr>
            <w:r>
              <w:rPr>
                <w:rFonts w:ascii="Arial" w:cs="Arial" w:eastAsia="Arial" w:hAnsi="Arial"/>
                <w:sz w:val="16"/>
                <w:szCs w:val="16"/>
                <w:color w:val="auto"/>
              </w:rPr>
              <w:t>101.PRE</w:t>
            </w:r>
          </w:p>
        </w:tc>
        <w:tc>
          <w:tcPr>
            <w:tcW w:w="980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6"/>
        </w:trPr>
        <w:tc>
          <w:tcPr>
            <w:tcW w:w="980" w:type="dxa"/>
            <w:vAlign w:val="bottom"/>
          </w:tcPr>
          <w:p>
            <w:pPr>
              <w:spacing w:after="0"/>
              <w:rPr>
                <w:sz w:val="20"/>
                <w:szCs w:val="20"/>
                <w:color w:val="auto"/>
              </w:rPr>
            </w:pPr>
            <w:r>
              <w:rPr>
                <w:rFonts w:ascii="Arial" w:cs="Arial" w:eastAsia="Arial" w:hAnsi="Arial"/>
                <w:sz w:val="16"/>
                <w:szCs w:val="16"/>
                <w:color w:val="auto"/>
              </w:rPr>
              <w:t>104</w:t>
            </w:r>
          </w:p>
        </w:tc>
        <w:tc>
          <w:tcPr>
            <w:tcW w:w="9800" w:type="dxa"/>
            <w:vAlign w:val="bottom"/>
            <w:gridSpan w:val="7"/>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______________________________________</w:t>
      </w:r>
    </w:p>
    <w:p>
      <w:pPr>
        <w:spacing w:after="0" w:line="113" w:lineRule="exact"/>
        <w:rPr>
          <w:sz w:val="20"/>
          <w:szCs w:val="20"/>
          <w:color w:val="auto"/>
        </w:rPr>
      </w:pPr>
    </w:p>
    <w:p>
      <w:pPr>
        <w:ind w:left="400"/>
        <w:spacing w:after="0"/>
        <w:tabs>
          <w:tab w:leader="none" w:pos="5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139065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25" w:right="779" w:bottom="1440" w:gutter="0" w:footer="0" w:header="0"/>
        </w:sectPr>
      </w:pPr>
    </w:p>
    <w:bookmarkStart w:id="37" w:name="page38"/>
    <w:bookmarkEnd w:id="37"/>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7780" w:type="dxa"/>
            <w:vAlign w:val="bottom"/>
            <w:gridSpan w:val="2"/>
          </w:tcPr>
          <w:p>
            <w:pPr>
              <w:ind w:left="2000"/>
              <w:spacing w:after="0"/>
              <w:rPr>
                <w:sz w:val="20"/>
                <w:szCs w:val="20"/>
                <w:color w:val="auto"/>
              </w:rPr>
            </w:pPr>
            <w:r>
              <w:rPr>
                <w:rFonts w:ascii="Arial" w:cs="Arial" w:eastAsia="Arial" w:hAnsi="Arial"/>
                <w:sz w:val="16"/>
                <w:szCs w:val="16"/>
                <w:b w:val="1"/>
                <w:bCs w:val="1"/>
                <w:color w:val="auto"/>
              </w:rPr>
              <w:t>SHUTTERSTOCK, INC.</w:t>
            </w:r>
          </w:p>
        </w:tc>
      </w:tr>
      <w:tr>
        <w:trPr>
          <w:trHeight w:val="435"/>
        </w:trPr>
        <w:tc>
          <w:tcPr>
            <w:tcW w:w="3420" w:type="dxa"/>
            <w:vAlign w:val="bottom"/>
          </w:tcPr>
          <w:p>
            <w:pPr>
              <w:spacing w:after="0"/>
              <w:rPr>
                <w:sz w:val="20"/>
                <w:szCs w:val="20"/>
                <w:color w:val="auto"/>
              </w:rPr>
            </w:pPr>
            <w:r>
              <w:rPr>
                <w:rFonts w:ascii="Arial" w:cs="Arial" w:eastAsia="Arial" w:hAnsi="Arial"/>
                <w:sz w:val="16"/>
                <w:szCs w:val="16"/>
                <w:color w:val="auto"/>
              </w:rPr>
              <w:t>Dated: April 27, 2021</w:t>
            </w:r>
          </w:p>
        </w:tc>
        <w:tc>
          <w:tcPr>
            <w:tcW w:w="2640" w:type="dxa"/>
            <w:vAlign w:val="bottom"/>
          </w:tcPr>
          <w:p>
            <w:pPr>
              <w:ind w:left="2000"/>
              <w:spacing w:after="0"/>
              <w:rPr>
                <w:sz w:val="20"/>
                <w:szCs w:val="20"/>
                <w:color w:val="auto"/>
              </w:rPr>
            </w:pPr>
            <w:r>
              <w:rPr>
                <w:rFonts w:ascii="Arial" w:cs="Arial" w:eastAsia="Arial" w:hAnsi="Arial"/>
                <w:sz w:val="16"/>
                <w:szCs w:val="16"/>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Jarrod Yahes</w:t>
            </w:r>
          </w:p>
        </w:tc>
      </w:tr>
      <w:tr>
        <w:trPr>
          <w:trHeight w:val="207"/>
        </w:trPr>
        <w:tc>
          <w:tcPr>
            <w:tcW w:w="3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Jarrod Yahes</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r>
      <w:tr>
        <w:trPr>
          <w:trHeight w:val="435"/>
        </w:trPr>
        <w:tc>
          <w:tcPr>
            <w:tcW w:w="3420" w:type="dxa"/>
            <w:vAlign w:val="bottom"/>
          </w:tcPr>
          <w:p>
            <w:pPr>
              <w:spacing w:after="0"/>
              <w:rPr>
                <w:sz w:val="20"/>
                <w:szCs w:val="20"/>
                <w:color w:val="auto"/>
              </w:rPr>
            </w:pPr>
            <w:r>
              <w:rPr>
                <w:rFonts w:ascii="Arial" w:cs="Arial" w:eastAsia="Arial" w:hAnsi="Arial"/>
                <w:sz w:val="16"/>
                <w:szCs w:val="16"/>
                <w:color w:val="auto"/>
              </w:rPr>
              <w:t>Dated: April 27, 2021</w:t>
            </w:r>
          </w:p>
        </w:tc>
        <w:tc>
          <w:tcPr>
            <w:tcW w:w="2640" w:type="dxa"/>
            <w:vAlign w:val="bottom"/>
          </w:tcPr>
          <w:p>
            <w:pPr>
              <w:ind w:left="2000"/>
              <w:spacing w:after="0"/>
              <w:rPr>
                <w:sz w:val="20"/>
                <w:szCs w:val="20"/>
                <w:color w:val="auto"/>
              </w:rPr>
            </w:pPr>
            <w:r>
              <w:rPr>
                <w:rFonts w:ascii="Arial" w:cs="Arial" w:eastAsia="Arial" w:hAnsi="Arial"/>
                <w:sz w:val="16"/>
                <w:szCs w:val="16"/>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Steven Ciardiello</w:t>
            </w:r>
          </w:p>
        </w:tc>
      </w:tr>
      <w:tr>
        <w:trPr>
          <w:trHeight w:val="207"/>
        </w:trPr>
        <w:tc>
          <w:tcPr>
            <w:tcW w:w="3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Steven Ciardiello</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Chief Accounting Officer</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5" w:right="3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2012 OMNIBUS EQUITY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Unless otherwise defined herein, the capitalized terms used in this Restricted Stock Unit Award Agreement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shall have the meanings ascribed to them in the Shutterstock, Inc. Amended and Restated 2012 Omnibus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142" w:lineRule="exact"/>
        <w:rPr>
          <w:sz w:val="20"/>
          <w:szCs w:val="20"/>
          <w:color w:val="auto"/>
        </w:rPr>
      </w:pPr>
    </w:p>
    <w:p>
      <w:pPr>
        <w:ind w:left="600" w:hanging="592"/>
        <w:spacing w:after="0"/>
        <w:tabs>
          <w:tab w:leader="none" w:pos="6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OF RESTRICTED STOCK UNIT GRANT</w:t>
      </w:r>
    </w:p>
    <w:p>
      <w:pPr>
        <w:spacing w:after="0" w:line="225"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b w:val="1"/>
          <w:bCs w:val="1"/>
          <w:color w:val="auto"/>
        </w:rPr>
        <w:t>Participant Name:</w:t>
      </w:r>
      <w:r>
        <w:rPr>
          <w:sz w:val="20"/>
          <w:szCs w:val="20"/>
          <w:color w:val="auto"/>
        </w:rPr>
        <w:tab/>
      </w:r>
      <w:r>
        <w:rPr>
          <w:rFonts w:ascii="Arial" w:cs="Arial" w:eastAsia="Arial" w:hAnsi="Arial"/>
          <w:sz w:val="16"/>
          <w:szCs w:val="16"/>
          <w:color w:val="auto"/>
        </w:rPr>
        <w:t>#ParticipantName#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have been granted an Award of Restricted Stock Units, subject to the terms and conditions of the Plan and this Award Agreement, as follows:</w:t>
      </w:r>
    </w:p>
    <w:p>
      <w:pPr>
        <w:sectPr>
          <w:pgSz w:w="11900" w:h="16838" w:orient="portrait"/>
          <w:cols w:equalWidth="0" w:num="1">
            <w:col w:w="11220"/>
          </w:cols>
          <w:pgMar w:left="320" w:top="1417" w:right="359" w:bottom="1440" w:gutter="0" w:footer="0" w:header="0"/>
        </w:sect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Grant Number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#ClientGrantID#</w:t>
      </w:r>
    </w:p>
    <w:p>
      <w:pPr>
        <w:spacing w:after="0" w:line="200" w:lineRule="exact"/>
        <w:rPr>
          <w:sz w:val="20"/>
          <w:szCs w:val="20"/>
          <w:color w:val="auto"/>
        </w:rPr>
      </w:pPr>
    </w:p>
    <w:p>
      <w:pPr>
        <w:sectPr>
          <w:pgSz w:w="11900" w:h="16838" w:orient="portrait"/>
          <w:cols w:equalWidth="0" w:num="2">
            <w:col w:w="2060" w:space="720"/>
            <w:col w:w="8440"/>
          </w:cols>
          <w:pgMar w:left="320" w:top="1417" w:right="35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#GrantDate#</w:t>
      </w:r>
    </w:p>
    <w:p>
      <w:pPr>
        <w:spacing w:after="0" w:line="200" w:lineRule="exact"/>
        <w:rPr>
          <w:sz w:val="20"/>
          <w:szCs w:val="20"/>
          <w:color w:val="auto"/>
        </w:rPr>
      </w:pPr>
    </w:p>
    <w:p>
      <w:pPr>
        <w:sectPr>
          <w:pgSz w:w="11900" w:h="16838" w:orient="portrait"/>
          <w:cols w:equalWidth="0" w:num="2">
            <w:col w:w="2000" w:space="720"/>
            <w:col w:w="8500"/>
          </w:cols>
          <w:pgMar w:left="320" w:top="1417" w:right="359" w:bottom="1440" w:gutter="0" w:footer="0" w:header="0"/>
          <w:type w:val="continuous"/>
        </w:sectPr>
      </w:pPr>
    </w:p>
    <w:p>
      <w:pPr>
        <w:spacing w:after="0" w:line="48"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#GrantDate#</w:t>
      </w:r>
    </w:p>
    <w:p>
      <w:pPr>
        <w:spacing w:after="0" w:line="200" w:lineRule="exact"/>
        <w:rPr>
          <w:sz w:val="20"/>
          <w:szCs w:val="20"/>
          <w:color w:val="auto"/>
        </w:rPr>
      </w:pPr>
    </w:p>
    <w:p>
      <w:pPr>
        <w:sectPr>
          <w:pgSz w:w="11900" w:h="16838" w:orient="portrait"/>
          <w:cols w:equalWidth="0" w:num="2">
            <w:col w:w="2800" w:space="720"/>
            <w:col w:w="7700"/>
          </w:cols>
          <w:pgMar w:left="320" w:top="1417" w:right="359" w:bottom="1440" w:gutter="0" w:footer="0" w:header="0"/>
          <w:type w:val="continuous"/>
        </w:sectPr>
      </w:pPr>
    </w:p>
    <w:p>
      <w:pPr>
        <w:spacing w:after="0" w:line="48"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Number of Restricted Stock Units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#QuantityGranted#</w:t>
      </w:r>
    </w:p>
    <w:p>
      <w:pPr>
        <w:spacing w:after="0" w:line="200" w:lineRule="exact"/>
        <w:rPr>
          <w:sz w:val="20"/>
          <w:szCs w:val="20"/>
          <w:color w:val="auto"/>
        </w:rPr>
      </w:pPr>
    </w:p>
    <w:p>
      <w:pPr>
        <w:sectPr>
          <w:pgSz w:w="11900" w:h="16838" w:orient="portrait"/>
          <w:cols w:equalWidth="0" w:num="2">
            <w:col w:w="3100" w:space="720"/>
            <w:col w:w="7400"/>
          </w:cols>
          <w:pgMar w:left="320" w:top="1417" w:right="35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Vesting Schedule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#VestingDateandQuantity#</w:t>
      </w:r>
    </w:p>
    <w:p>
      <w:pPr>
        <w:spacing w:after="0" w:line="200" w:lineRule="exact"/>
        <w:rPr>
          <w:sz w:val="20"/>
          <w:szCs w:val="20"/>
          <w:color w:val="auto"/>
        </w:rPr>
      </w:pPr>
    </w:p>
    <w:p>
      <w:pPr>
        <w:sectPr>
          <w:pgSz w:w="11900" w:h="16838" w:orient="portrait"/>
          <w:cols w:equalWidth="0" w:num="2">
            <w:col w:w="2260" w:space="720"/>
            <w:col w:w="8240"/>
          </w:cols>
          <w:pgMar w:left="320" w:top="1417" w:right="359" w:bottom="1440" w:gutter="0" w:footer="0" w:header="0"/>
          <w:type w:val="continuous"/>
        </w:sectPr>
      </w:pPr>
    </w:p>
    <w:p>
      <w:pPr>
        <w:spacing w:after="0" w:line="48"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the event Participant ceases to be a Service Provider (or gives or is given notice of such termination) for any or no reason before Participant vests in the Restricted Stock Unit, the Restricted Stock Unit and Participant’s right to acquire any Shares hereunder, or the cash equivalent of all or some portion of such Shares, as determined by the Administrator in its sole discretion, will immediately terminate.</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By Participant’s acknowledgment on the Fidelity website and the signature of the representative of Shutterstock,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below, Participant and the Company agree that this Award of Restricted Stock Units is granted under and governed by the terms and conditions of the Plan and this Award Agreement, including the Terms and Conditions of Restricted Stock Unit Grant (and any country-specific addendum thereto),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all of which are made a part of this document.</w:t>
      </w:r>
    </w:p>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Participant’s residence address.</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SHUTTERSTOCK,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Stan Pavlovsky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20"/>
          </w:cols>
          <w:pgMar w:left="320" w:top="1417" w:right="359" w:bottom="1440" w:gutter="0" w:footer="0" w:header="0"/>
          <w:type w:val="continuous"/>
        </w:sectPr>
      </w:pPr>
    </w:p>
    <w:bookmarkStart w:id="39" w:name="page40"/>
    <w:bookmarkEnd w:id="39"/>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AND CONDITIONS OF RESTRICTED STOCK UNIT GRANT</w:t>
      </w:r>
    </w:p>
    <w:p>
      <w:pPr>
        <w:spacing w:after="0" w:line="229" w:lineRule="exact"/>
        <w:rPr>
          <w:sz w:val="20"/>
          <w:szCs w:val="20"/>
          <w:color w:val="auto"/>
        </w:rPr>
      </w:pPr>
    </w:p>
    <w:p>
      <w:pPr>
        <w:ind w:left="1260" w:hanging="604"/>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 Company hereby grants to the individual named in the Notice of Grant attached as Part I of this Award Agreement (the</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under the Plan an Award of Restricted Stock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90" w:lineRule="exact"/>
        <w:rPr>
          <w:sz w:val="20"/>
          <w:szCs w:val="20"/>
          <w:color w:val="auto"/>
        </w:rPr>
      </w:pPr>
    </w:p>
    <w:p>
      <w:pPr>
        <w:ind w:right="80" w:firstLine="656"/>
        <w:spacing w:after="0" w:line="270" w:lineRule="auto"/>
        <w:tabs>
          <w:tab w:leader="none" w:pos="125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Company’s Obligation to Pay</w:t>
      </w:r>
      <w:r>
        <w:rPr>
          <w:rFonts w:ascii="Arial" w:cs="Arial" w:eastAsia="Arial" w:hAnsi="Arial"/>
          <w:sz w:val="17"/>
          <w:szCs w:val="17"/>
          <w:color w:val="auto"/>
        </w:rPr>
        <w:t>. Each Restricted Stock Unit represents the right to receive a Share, or the cash equivalent thereof, as determined by the Administrator in its sole discretion, on the date it vests. Unless and until the Restricted Stock Units will have vested in the manner set forth in Section 3, Participant will have no right to settlement of any such Restricted Stock Units. Prior to actual settlement of any vested Restricted Stock Units, such Restricted Stock Unit will represent an unsecured obligation of the Company, payable (if at all) only from the general assets of the Company. Any Restricted Stock Units that vest in accordance with Sections 3 or 4 will be settled in whole Shares, or the cash equivalent of some or all of such Shares, as determined by the Administrator in its sole discretion, subject to Participant satisfying any applicable tax withholding or other obligations as set forth in Section 7. Subject to the provisions of Section 4, such vested Restricted Stock Units will be paid in Shares and/or cash, as determined by the Administrator, as soon as practicable after vesting, but in each such case no later than two and one-half (2½) months from the end of the Company’s tax year that includes the vesting date.</w:t>
      </w:r>
    </w:p>
    <w:p>
      <w:pPr>
        <w:spacing w:after="0" w:line="180" w:lineRule="exact"/>
        <w:rPr>
          <w:rFonts w:ascii="Arial" w:cs="Arial" w:eastAsia="Arial" w:hAnsi="Arial"/>
          <w:sz w:val="17"/>
          <w:szCs w:val="17"/>
          <w:color w:val="auto"/>
        </w:rPr>
      </w:pPr>
    </w:p>
    <w:p>
      <w:pPr>
        <w:ind w:firstLine="656"/>
        <w:spacing w:after="0" w:line="254" w:lineRule="auto"/>
        <w:tabs>
          <w:tab w:leader="none" w:pos="125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day that notice of termination is provided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discretion to determine when Participant is no longer providing active service for purposes of Service Provider status and participation in the Plan.</w:t>
      </w:r>
    </w:p>
    <w:p>
      <w:pPr>
        <w:spacing w:after="0" w:line="191" w:lineRule="exact"/>
        <w:rPr>
          <w:rFonts w:ascii="Arial" w:cs="Arial" w:eastAsia="Arial" w:hAnsi="Arial"/>
          <w:sz w:val="18"/>
          <w:szCs w:val="18"/>
          <w:color w:val="auto"/>
        </w:rPr>
      </w:pPr>
    </w:p>
    <w:p>
      <w:pPr>
        <w:ind w:right="300" w:firstLine="656"/>
        <w:spacing w:after="0" w:line="263" w:lineRule="auto"/>
        <w:tabs>
          <w:tab w:leader="none" w:pos="125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84" w:lineRule="exact"/>
        <w:rPr>
          <w:sz w:val="20"/>
          <w:szCs w:val="20"/>
          <w:color w:val="auto"/>
        </w:rPr>
      </w:pPr>
    </w:p>
    <w:p>
      <w:pPr>
        <w:ind w:right="60" w:firstLine="1296"/>
        <w:spacing w:after="0" w:line="284" w:lineRule="auto"/>
        <w:rPr>
          <w:sz w:val="20"/>
          <w:szCs w:val="20"/>
          <w:color w:val="auto"/>
        </w:rPr>
      </w:pPr>
      <w:r>
        <w:rPr>
          <w:rFonts w:ascii="Arial" w:cs="Arial" w:eastAsia="Arial" w:hAnsi="Arial"/>
          <w:sz w:val="16"/>
          <w:szCs w:val="16"/>
          <w:color w:val="auto"/>
        </w:rPr>
        <w:t>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6"/>
          <w:szCs w:val="16"/>
          <w:b w:val="1"/>
          <w:bCs w:val="1"/>
          <w:color w:val="auto"/>
        </w:rPr>
        <w:t>,</w:t>
      </w:r>
      <w:r>
        <w:rPr>
          <w:rFonts w:ascii="Arial" w:cs="Arial" w:eastAsia="Arial" w:hAnsi="Arial"/>
          <w:sz w:val="16"/>
          <w:szCs w:val="16"/>
          <w:color w:val="auto"/>
        </w:rPr>
        <w:t xml:space="preserve">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settlement of such accelerated Restricted Stock Units will not occur until the date six</w:t>
      </w:r>
    </w:p>
    <w:p>
      <w:pPr>
        <w:spacing w:after="0" w:line="4" w:lineRule="exact"/>
        <w:rPr>
          <w:sz w:val="20"/>
          <w:szCs w:val="20"/>
          <w:color w:val="auto"/>
        </w:rPr>
      </w:pPr>
    </w:p>
    <w:p>
      <w:pPr>
        <w:ind w:right="20" w:firstLine="8"/>
        <w:spacing w:after="0" w:line="253"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months and one (1) day following the date of Participant’s termination as a Service Provider, unless the Participant dies following his or her termination as a Service Provider, in which case, the Restricted Stock Units will be settled in Shares and/or cash as soon as practicable following his or her death. It is the intent of this Award Agreement to comply with the requirements of Section 409A so that none of the Restricted Stock Units provided under this Award Agreement or Shares and/or cash issuable thereunder will be subject to the additional tax imposed under Section 409A, and any ambiguities herein will be interpreted to so comply. For purposes of this Award</w:t>
      </w:r>
    </w:p>
    <w:p>
      <w:pPr>
        <w:sectPr>
          <w:pgSz w:w="11900" w:h="16838" w:orient="portrait"/>
          <w:cols w:equalWidth="0" w:num="1">
            <w:col w:w="11220"/>
          </w:cols>
          <w:pgMar w:left="320" w:top="1440" w:right="359" w:bottom="1440" w:gutter="0" w:footer="0" w:header="0"/>
        </w:sectPr>
      </w:pPr>
    </w:p>
    <w:bookmarkStart w:id="40" w:name="page41"/>
    <w:bookmarkEnd w:id="40"/>
    <w:p>
      <w:pPr>
        <w:ind w:right="260"/>
        <w:spacing w:after="0" w:line="277" w:lineRule="auto"/>
        <w:rPr>
          <w:sz w:val="20"/>
          <w:szCs w:val="20"/>
          <w:color w:val="auto"/>
        </w:rPr>
      </w:pPr>
      <w:r>
        <w:rPr>
          <w:rFonts w:ascii="Arial" w:cs="Arial" w:eastAsia="Arial" w:hAnsi="Arial"/>
          <w:sz w:val="18"/>
          <w:szCs w:val="18"/>
          <w:color w:val="auto"/>
        </w:rPr>
        <w:t>Agreement, “Section 409A” means Section 409A of the Code, and any proposed, temporary or final Treasury Regulations and Internal Revenue Service guidance thereunder, as each may be amended from time to time.</w:t>
      </w:r>
    </w:p>
    <w:p>
      <w:pPr>
        <w:spacing w:after="0" w:line="170" w:lineRule="exact"/>
        <w:rPr>
          <w:sz w:val="20"/>
          <w:szCs w:val="20"/>
          <w:color w:val="auto"/>
        </w:rPr>
      </w:pPr>
    </w:p>
    <w:p>
      <w:pPr>
        <w:ind w:firstLine="656"/>
        <w:spacing w:after="0" w:line="289" w:lineRule="auto"/>
        <w:tabs>
          <w:tab w:leader="none" w:pos="125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Forfeiture upon Termination of Status as a Service Provider</w:t>
      </w:r>
      <w:r>
        <w:rPr>
          <w:rFonts w:ascii="Arial" w:cs="Arial" w:eastAsia="Arial" w:hAnsi="Arial"/>
          <w:sz w:val="16"/>
          <w:szCs w:val="16"/>
          <w:color w:val="auto"/>
        </w:rPr>
        <w:t>. Notwithstanding any contrary provision of this Award Agreement, except as set forth in this Section 5, the balance of the Restricted Stock Units that have not vested as of the time notice is provided (whether by Participant or the Company or Parent or Subsidiary) of Participant’s termination as a Service Provider for any or no reason and Participant’s right to acquire any Shares and/or cash hereunder will immediately terminate. Without limiting the authority set forth in Section 4, and except if otherwise provided in a written employment agreement between the Participant and the Company, if (i) a Change in Control occurs, (ii) the Participant has been a Service Provider for at least twelve (12) months at the time of the effective date of the Change in Control, and (iii) on or within the twelve (12) months following the effective date of the Change in Control, the Participant incurs a termination as a Service Provider by the Company (or the applicable surviving entity, or Parent or Subsidiary) without Cause, then the balance of the Restricted Stock Units that have not vested as of the time of the Participant’s termination will become 100% vested and payable as of the effective date of the Participant’s termination as a Service Provider, subject to Section 4.</w:t>
      </w:r>
    </w:p>
    <w:p>
      <w:pPr>
        <w:spacing w:after="0" w:line="19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For purposes of this Agreement, Cause shall have the meaning ascribed to it in any written agreement between the Participant and the Company defining such term, and, in the absence of such term, Cause shall mean with the respect to the Participant, the occurrence of any of the following events (i) such Participant’s gross negligence or willful misconduct in the performance of his or her duties and responsibilities to the Company or Participant’s violation of any written Company policy; (ii) Participant’s commission of any act of fraud, theft, embezzlement, financial dishonesty or any other willful misconduct that has caused or is reasonably expected to result in injury to the Company; (iii) Participant’s conviction of, or pleading guilty or nolo contendre to, any felony or a lesser crime involving dishonesty or moral turpitude; (iv) Participant’s alcohol abuse or other substance abuse; (v) unauthorized use or disclosure of any proprietary information or trade secrets (other than as explicitly set forth in any Company policy) of the Company or any other party to whom Participant owes an obligation of nondisclosure as a result of his or her relationship with the Company; or (vi) Participant’s material breach of any of his or her obligations under any written agreement or covenant with the Company. The determination that a termination of the Participant’s Service Provider status is either for Cause or without Cause shall be made by the Company, in its sole discretion. Any determination by the Company to terminate a Participant’s Service Provider status with or without Cause for the purposes of outstanding Awards held by such Participant will have no effect upon any determination of the rights or obligations of the Company or such Participant for any other purpose.</w:t>
      </w:r>
    </w:p>
    <w:p>
      <w:pPr>
        <w:spacing w:after="0" w:line="168" w:lineRule="exact"/>
        <w:rPr>
          <w:sz w:val="20"/>
          <w:szCs w:val="20"/>
          <w:color w:val="auto"/>
        </w:rPr>
      </w:pPr>
    </w:p>
    <w:p>
      <w:pPr>
        <w:ind w:right="300" w:firstLine="656"/>
        <w:spacing w:after="0" w:line="279" w:lineRule="auto"/>
        <w:tabs>
          <w:tab w:leader="none" w:pos="125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1" w:lineRule="exact"/>
        <w:rPr>
          <w:rFonts w:ascii="Arial" w:cs="Arial" w:eastAsia="Arial" w:hAnsi="Arial"/>
          <w:sz w:val="17"/>
          <w:szCs w:val="17"/>
          <w:color w:val="auto"/>
        </w:rPr>
      </w:pPr>
    </w:p>
    <w:p>
      <w:pPr>
        <w:ind w:right="60" w:firstLine="656"/>
        <w:spacing w:after="0" w:line="269" w:lineRule="auto"/>
        <w:tabs>
          <w:tab w:leader="none" w:pos="125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Withholding of Taxes</w:t>
      </w:r>
      <w:r>
        <w:rPr>
          <w:rFonts w:ascii="Arial" w:cs="Arial" w:eastAsia="Arial" w:hAnsi="Arial"/>
          <w:sz w:val="17"/>
          <w:szCs w:val="17"/>
          <w:color w:val="auto"/>
        </w:rPr>
        <w:t>. Regardless of any action the Company or Participant’s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 the Employer (a) make no representations or undertakings regarding the treatment of any Tax-Related Items in connection with any aspect of the Restricted Stock Units, including grant or vesting, the subsequent sale of Shares acquired under the Plan, and the receipt of dividends, if any; and (b) does not commit to and is under no obligation to structure the terms of the Restricted Stock Units or any aspect of the Restricted Stock Units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w:t>
      </w:r>
    </w:p>
    <w:p>
      <w:pPr>
        <w:sectPr>
          <w:pgSz w:w="11900" w:h="16838" w:orient="portrait"/>
          <w:cols w:equalWidth="0" w:num="1">
            <w:col w:w="11220"/>
          </w:cols>
          <w:pgMar w:left="320" w:top="1421" w:right="359" w:bottom="1440" w:gutter="0" w:footer="0" w:header="0"/>
        </w:sectPr>
      </w:pPr>
    </w:p>
    <w:bookmarkStart w:id="41" w:name="page42"/>
    <w:bookmarkEnd w:id="41"/>
    <w:p>
      <w:pPr>
        <w:ind w:right="60"/>
        <w:spacing w:after="0" w:line="263" w:lineRule="auto"/>
        <w:rPr>
          <w:sz w:val="20"/>
          <w:szCs w:val="20"/>
          <w:color w:val="auto"/>
        </w:rPr>
      </w:pPr>
      <w:r>
        <w:rPr>
          <w:rFonts w:ascii="Arial" w:cs="Arial" w:eastAsia="Arial" w:hAnsi="Arial"/>
          <w:sz w:val="18"/>
          <w:szCs w:val="18"/>
          <w:color w:val="auto"/>
        </w:rPr>
        <w:t>representing the Shares will be issued and no cash will be paid to Participant, unless and until satisfactory arrangements (as determined by the Administrator) will have been made by Participant with respect to the payment of any Tax-Related Items which the Company determines must be withheld with respect to the Restricted Stock Units.</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each vesting date (or other date or time at which the Company is required to withhold Tax-Related Items), the Company will retain from the Shares otherwise issuable on such date a number of Shares having a fair market value (as determined by the Company in its sole discretion) equal to the Company’s minimum statutory withholding obligation with respect to Tax-Related Items. If the Company is unable to retain sufficient Shares to satisfy such Tax-Related Items, the Participant acknowledges and agrees that the Company or an affiliate of the Company has the right to deduct from payments of any kind otherwise due to the Participant any national, state, local or other taxes of any kind required by law to be withheld for Tax-Related Items relating to the vesting of the Restricted Stock Units. If Participant fails to make satisfactory arrangements for the payment of any required Tax-Related Items hereunder at the time any applicable Restricted Stock Units otherwise are scheduled to vest pursuant to Sections 3 or 4, Participant will permanently forfeit such Restricted Stock Units and any right to receive Shares and/or cash thereunder and the Restricted Stock Units will be returned to the Company at no cost to the Company.</w:t>
      </w:r>
    </w:p>
    <w:p>
      <w:pPr>
        <w:spacing w:after="0" w:line="196" w:lineRule="exact"/>
        <w:rPr>
          <w:sz w:val="20"/>
          <w:szCs w:val="20"/>
          <w:color w:val="auto"/>
        </w:rPr>
      </w:pPr>
    </w:p>
    <w:p>
      <w:pPr>
        <w:ind w:right="120" w:firstLine="656"/>
        <w:spacing w:after="0" w:line="257" w:lineRule="auto"/>
        <w:tabs>
          <w:tab w:leader="none" w:pos="125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Rights as Stockholder; Dividend Equivalent Rights</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and only to the extent that, certificates representing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21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During the period that the Restricted Stock Units remain unvested, if and when any dividends are declared on Shares and if authorized by the Board at the time such dividend is declared or at any other time in the Board’s sole discretion, on the date such dividend is paid, the Company will credit to a bookkeeping account (the “</w:t>
      </w:r>
      <w:r>
        <w:rPr>
          <w:rFonts w:ascii="Arial" w:cs="Arial" w:eastAsia="Arial" w:hAnsi="Arial"/>
          <w:sz w:val="17"/>
          <w:szCs w:val="17"/>
          <w:b w:val="1"/>
          <w:bCs w:val="1"/>
          <w:i w:val="1"/>
          <w:iCs w:val="1"/>
          <w:color w:val="auto"/>
        </w:rPr>
        <w:t>Account</w:t>
      </w:r>
      <w:r>
        <w:rPr>
          <w:rFonts w:ascii="Arial" w:cs="Arial" w:eastAsia="Arial" w:hAnsi="Arial"/>
          <w:sz w:val="17"/>
          <w:szCs w:val="17"/>
          <w:color w:val="auto"/>
        </w:rPr>
        <w:t>”) maintained by the Company (or a third party on behalf of the Company) for the Participant’s benefit an amount equal to the amount of such dividend that would have been paid on the same number of Restricted Stock Units that are unvested and outstanding pursuant to this Award Agreement as of the record date of such dividend. Such credited amount shall be subject to the vesting and forfeiture provisions applicable to the Restricted Stock Units to which such credited amount relates, as set forth this Award Agreement. Any credited amount that becomes vested as set forth herein, will be payable at the same time as Shares are otherwise delivered upon the settlement of the vested Restricted Stock Units, if any, to which the credited amounts relate, as set forth in this Award Agreement, and will be payable in cash or Shares, in the sole discretion of the Administrator as determined at the time of payment.</w:t>
      </w:r>
    </w:p>
    <w:p>
      <w:pPr>
        <w:spacing w:after="0" w:line="181" w:lineRule="exact"/>
        <w:rPr>
          <w:sz w:val="20"/>
          <w:szCs w:val="20"/>
          <w:color w:val="auto"/>
        </w:rPr>
      </w:pPr>
    </w:p>
    <w:p>
      <w:pPr>
        <w:ind w:right="20" w:firstLine="656"/>
        <w:spacing w:after="0" w:line="253" w:lineRule="auto"/>
        <w:tabs>
          <w:tab w:leader="none" w:pos="125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 or Grants</w:t>
      </w:r>
      <w:r>
        <w:rPr>
          <w:rFonts w:ascii="Arial" w:cs="Arial" w:eastAsia="Arial" w:hAnsi="Arial"/>
          <w:sz w:val="18"/>
          <w:szCs w:val="18"/>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OR CASH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9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w:t>
      </w:r>
    </w:p>
    <w:p>
      <w:pPr>
        <w:sectPr>
          <w:pgSz w:w="11900" w:h="16838" w:orient="portrait"/>
          <w:cols w:equalWidth="0" w:num="1">
            <w:col w:w="11220"/>
          </w:cols>
          <w:pgMar w:left="320" w:top="1421" w:right="359" w:bottom="1440" w:gutter="0" w:footer="0" w:header="0"/>
        </w:sectPr>
      </w:pPr>
    </w:p>
    <w:bookmarkStart w:id="42" w:name="page43"/>
    <w:bookmarkEnd w:id="42"/>
    <w:p>
      <w:pPr>
        <w:ind w:right="100"/>
        <w:spacing w:after="0" w:line="284" w:lineRule="auto"/>
        <w:rPr>
          <w:sz w:val="20"/>
          <w:szCs w:val="20"/>
          <w:color w:val="auto"/>
        </w:rPr>
      </w:pPr>
      <w:r>
        <w:rPr>
          <w:rFonts w:ascii="Arial" w:cs="Arial" w:eastAsia="Arial" w:hAnsi="Arial"/>
          <w:sz w:val="16"/>
          <w:szCs w:val="16"/>
          <w:color w:val="auto"/>
        </w:rPr>
        <w:t>Stock Units have been granted repeatedly in the past; (c) all decisions with respect to future awards of Restricted Stock Units, if any, will be at the sole discretion of the Company; (d) Participant’s participation in the Plan is voluntary; (e) the Restricted Stock Units and the Shares and/or cash subject to the Restricted Stock Units are extraordinary items that do not constitute regular compensation for services rendered to the Company or the Employer, and that are outside the scope of Participant’s employment contract, if any; (f) the Restricted Stock Units and the Shares and/or cash subject to the Restricted Stock Units are not intended to replace any pension rights or compensation; (g) the Restricted Stock Units and the Shares and/or cash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and</w:t>
      </w:r>
    </w:p>
    <w:p>
      <w:pPr>
        <w:spacing w:after="0" w:line="1"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accepting this Award of Restricted Stock Units, Participant will be bound by any clawback policy that the Company may adopt in the future.</w:t>
      </w:r>
    </w:p>
    <w:p>
      <w:pPr>
        <w:spacing w:after="0" w:line="222" w:lineRule="exact"/>
        <w:rPr>
          <w:rFonts w:ascii="Arial" w:cs="Arial" w:eastAsia="Arial" w:hAnsi="Arial"/>
          <w:sz w:val="17"/>
          <w:szCs w:val="17"/>
          <w:color w:val="auto"/>
        </w:rPr>
      </w:pPr>
    </w:p>
    <w:p>
      <w:pPr>
        <w:ind w:right="40" w:firstLine="656"/>
        <w:spacing w:after="0" w:line="263" w:lineRule="auto"/>
        <w:tabs>
          <w:tab w:leader="none" w:pos="1233"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Award Agreement will be addressed to the Company, in care of its General Counsel at Shutterstock, Inc., 350 Fifth Avenue, 21</w:t>
      </w:r>
      <w:r>
        <w:rPr>
          <w:rFonts w:ascii="Arial" w:cs="Arial" w:eastAsia="Arial" w:hAnsi="Arial"/>
          <w:sz w:val="10"/>
          <w:szCs w:val="10"/>
          <w:color w:val="auto"/>
        </w:rPr>
        <w:t>st</w:t>
      </w:r>
      <w:r>
        <w:rPr>
          <w:rFonts w:ascii="Arial" w:cs="Arial" w:eastAsia="Arial" w:hAnsi="Arial"/>
          <w:sz w:val="18"/>
          <w:szCs w:val="18"/>
          <w:color w:val="auto"/>
        </w:rPr>
        <w:t xml:space="preserve"> Floor, New York, NY 10118 or at such other address as the Company may hereafter designate in writing.</w:t>
      </w:r>
    </w:p>
    <w:p>
      <w:pPr>
        <w:spacing w:after="0" w:line="183" w:lineRule="exact"/>
        <w:rPr>
          <w:rFonts w:ascii="Arial" w:cs="Arial" w:eastAsia="Arial" w:hAnsi="Arial"/>
          <w:sz w:val="18"/>
          <w:szCs w:val="18"/>
          <w:color w:val="auto"/>
        </w:rPr>
      </w:pPr>
    </w:p>
    <w:p>
      <w:pPr>
        <w:ind w:firstLine="656"/>
        <w:spacing w:after="0" w:line="257" w:lineRule="auto"/>
        <w:tabs>
          <w:tab w:leader="none" w:pos="1226"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7" w:lineRule="exact"/>
        <w:rPr>
          <w:rFonts w:ascii="Arial" w:cs="Arial" w:eastAsia="Arial" w:hAnsi="Arial"/>
          <w:sz w:val="18"/>
          <w:szCs w:val="18"/>
          <w:color w:val="auto"/>
        </w:rPr>
      </w:pPr>
    </w:p>
    <w:p>
      <w:pPr>
        <w:ind w:right="160" w:firstLine="656"/>
        <w:spacing w:after="0" w:line="277" w:lineRule="auto"/>
        <w:tabs>
          <w:tab w:leader="none" w:pos="1233"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70" w:lineRule="exact"/>
        <w:rPr>
          <w:rFonts w:ascii="Arial" w:cs="Arial" w:eastAsia="Arial" w:hAnsi="Arial"/>
          <w:sz w:val="18"/>
          <w:szCs w:val="18"/>
          <w:color w:val="auto"/>
        </w:rPr>
      </w:pPr>
    </w:p>
    <w:p>
      <w:pPr>
        <w:ind w:right="40" w:firstLine="656"/>
        <w:spacing w:after="0" w:line="253" w:lineRule="auto"/>
        <w:tabs>
          <w:tab w:leader="none" w:pos="1233"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will determine, in its discretion, that the listing, registration or qualification of any Shares issuable hereunder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 The Company shall not be obligated to issue any Shares pursuant to the Restricted Stock Units at any time if the issuance of Shares violates or is not in compliance with any laws, rules or regulations of the United States or any state or country.</w:t>
      </w:r>
    </w:p>
    <w:p>
      <w:pPr>
        <w:spacing w:after="0" w:line="19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and/or cash shall be subject to any</w:t>
      </w:r>
    </w:p>
    <w:p>
      <w:pPr>
        <w:sectPr>
          <w:pgSz w:w="11900" w:h="16838" w:orient="portrait"/>
          <w:cols w:equalWidth="0" w:num="1">
            <w:col w:w="11240"/>
          </w:cols>
          <w:pgMar w:left="320" w:top="1421" w:right="339" w:bottom="1440" w:gutter="0" w:footer="0" w:header="0"/>
        </w:sectPr>
      </w:pPr>
    </w:p>
    <w:bookmarkStart w:id="43" w:name="page44"/>
    <w:bookmarkEnd w:id="43"/>
    <w:p>
      <w:pPr>
        <w:ind w:right="280"/>
        <w:spacing w:after="0" w:line="277" w:lineRule="auto"/>
        <w:rPr>
          <w:sz w:val="20"/>
          <w:szCs w:val="20"/>
          <w:color w:val="auto"/>
        </w:rPr>
      </w:pPr>
      <w:r>
        <w:rPr>
          <w:rFonts w:ascii="Arial" w:cs="Arial" w:eastAsia="Arial" w:hAnsi="Arial"/>
          <w:sz w:val="18"/>
          <w:szCs w:val="18"/>
          <w:color w:val="auto"/>
        </w:rPr>
        <w:t>special terms and conditions or disclosures as set forth in any addendum for Participant’s country (the “Country-Specific Addendum,” which forms part this Award Agreement).</w:t>
      </w:r>
    </w:p>
    <w:p>
      <w:pPr>
        <w:spacing w:after="0" w:line="170" w:lineRule="exact"/>
        <w:rPr>
          <w:sz w:val="20"/>
          <w:szCs w:val="20"/>
          <w:color w:val="auto"/>
        </w:rPr>
      </w:pPr>
    </w:p>
    <w:p>
      <w:pPr>
        <w:ind w:right="20" w:firstLine="656"/>
        <w:spacing w:after="0" w:line="263" w:lineRule="auto"/>
        <w:tabs>
          <w:tab w:leader="none" w:pos="123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83" w:lineRule="exact"/>
        <w:rPr>
          <w:rFonts w:ascii="Arial" w:cs="Arial" w:eastAsia="Arial" w:hAnsi="Arial"/>
          <w:sz w:val="18"/>
          <w:szCs w:val="18"/>
          <w:color w:val="auto"/>
        </w:rPr>
      </w:pPr>
    </w:p>
    <w:p>
      <w:pPr>
        <w:ind w:left="1240" w:hanging="584"/>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Administrator Authority</w:t>
      </w:r>
      <w:r>
        <w:rPr>
          <w:rFonts w:ascii="Arial" w:cs="Arial" w:eastAsia="Arial" w:hAnsi="Arial"/>
          <w:sz w:val="17"/>
          <w:szCs w:val="17"/>
          <w:color w:val="auto"/>
        </w:rPr>
        <w:t>. The Administrator will have the power to interpret the Plan and this Award Agreement and to adopt such</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61" w:lineRule="exact"/>
        <w:rPr>
          <w:sz w:val="20"/>
          <w:szCs w:val="20"/>
          <w:color w:val="auto"/>
        </w:rPr>
      </w:pPr>
    </w:p>
    <w:p>
      <w:pPr>
        <w:ind w:right="20" w:firstLine="656"/>
        <w:spacing w:after="0" w:line="293" w:lineRule="auto"/>
        <w:tabs>
          <w:tab w:leader="none" w:pos="123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Electronic Delivery and Language</w:t>
      </w:r>
      <w:r>
        <w:rPr>
          <w:rFonts w:ascii="Arial" w:cs="Arial" w:eastAsia="Arial" w:hAnsi="Arial"/>
          <w:sz w:val="16"/>
          <w:szCs w:val="16"/>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164" w:lineRule="exact"/>
        <w:rPr>
          <w:rFonts w:ascii="Arial" w:cs="Arial" w:eastAsia="Arial" w:hAnsi="Arial"/>
          <w:sz w:val="16"/>
          <w:szCs w:val="16"/>
          <w:color w:val="auto"/>
        </w:rPr>
      </w:pPr>
    </w:p>
    <w:p>
      <w:pPr>
        <w:ind w:right="480" w:firstLine="656"/>
        <w:spacing w:after="0" w:line="277" w:lineRule="auto"/>
        <w:tabs>
          <w:tab w:leader="none" w:pos="123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provided herein are for convenience only and are not to serve as a basis for interpretation or construction of this Award Agreement.</w:t>
      </w:r>
    </w:p>
    <w:p>
      <w:pPr>
        <w:spacing w:after="0" w:line="170" w:lineRule="exact"/>
        <w:rPr>
          <w:rFonts w:ascii="Arial" w:cs="Arial" w:eastAsia="Arial" w:hAnsi="Arial"/>
          <w:sz w:val="18"/>
          <w:szCs w:val="18"/>
          <w:color w:val="auto"/>
        </w:rPr>
      </w:pPr>
    </w:p>
    <w:p>
      <w:pPr>
        <w:ind w:right="80" w:firstLine="656"/>
        <w:spacing w:after="0" w:line="342" w:lineRule="auto"/>
        <w:tabs>
          <w:tab w:leader="none" w:pos="123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23" w:lineRule="exact"/>
        <w:rPr>
          <w:rFonts w:ascii="Arial" w:cs="Arial" w:eastAsia="Arial" w:hAnsi="Arial"/>
          <w:sz w:val="16"/>
          <w:szCs w:val="16"/>
          <w:color w:val="auto"/>
        </w:rPr>
      </w:pPr>
    </w:p>
    <w:p>
      <w:pPr>
        <w:ind w:right="20" w:firstLine="656"/>
        <w:spacing w:after="0" w:line="286" w:lineRule="auto"/>
        <w:tabs>
          <w:tab w:leader="none" w:pos="123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may be made in the manner, and to the extent, set forth in the Plan.</w:t>
      </w:r>
    </w:p>
    <w:p>
      <w:pPr>
        <w:spacing w:after="0" w:line="165" w:lineRule="exact"/>
        <w:rPr>
          <w:rFonts w:ascii="Arial" w:cs="Arial" w:eastAsia="Arial" w:hAnsi="Arial"/>
          <w:sz w:val="17"/>
          <w:szCs w:val="17"/>
          <w:color w:val="auto"/>
        </w:rPr>
      </w:pPr>
    </w:p>
    <w:p>
      <w:pPr>
        <w:ind w:firstLine="656"/>
        <w:spacing w:after="0" w:line="309" w:lineRule="auto"/>
        <w:tabs>
          <w:tab w:leader="none" w:pos="1233"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Data Privacy</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Participant hereby explicitly and unambiguously consents to the collection, use and transfer, in electronic or other form,</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of Participant’s personal data as described in this Award Agreement by and among, as applicable, the Company and its affiliates for the exclusive purpose of implementing, administering and managing Participant’s participation in the Plan. 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5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For Participants located in the European Union, the following paragraph applies: Participant understands that he or she may request a list with the names and addresses of any potential recipients of the</w:t>
      </w:r>
    </w:p>
    <w:p>
      <w:pPr>
        <w:sectPr>
          <w:pgSz w:w="11900" w:h="16838" w:orient="portrait"/>
          <w:cols w:equalWidth="0" w:num="1">
            <w:col w:w="11220"/>
          </w:cols>
          <w:pgMar w:left="320" w:top="1421" w:right="359" w:bottom="1440" w:gutter="0" w:footer="0" w:header="0"/>
        </w:sectPr>
      </w:pPr>
    </w:p>
    <w:bookmarkStart w:id="44" w:name="page45"/>
    <w:bookmarkEnd w:id="44"/>
    <w:p>
      <w:pPr>
        <w:spacing w:after="0" w:line="269" w:lineRule="auto"/>
        <w:rPr>
          <w:sz w:val="20"/>
          <w:szCs w:val="20"/>
          <w:color w:val="auto"/>
        </w:rPr>
      </w:pPr>
      <w:r>
        <w:rPr>
          <w:rFonts w:ascii="Arial" w:cs="Arial" w:eastAsia="Arial" w:hAnsi="Arial"/>
          <w:sz w:val="17"/>
          <w:szCs w:val="17"/>
          <w:b w:val="1"/>
          <w:bCs w:val="1"/>
          <w:i w:val="1"/>
          <w:iCs w:val="1"/>
          <w:color w:val="auto"/>
        </w:rPr>
        <w:t>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Plan. For more information on the consequences of Participant’s refusal to consent or withdrawal of consent, Participant understands that he or she may contact his or her local human resources representative.</w:t>
      </w:r>
    </w:p>
    <w:p>
      <w:pPr>
        <w:spacing w:after="0" w:line="185" w:lineRule="exact"/>
        <w:rPr>
          <w:sz w:val="20"/>
          <w:szCs w:val="20"/>
          <w:color w:val="auto"/>
        </w:rPr>
      </w:pPr>
    </w:p>
    <w:p>
      <w:pPr>
        <w:ind w:firstLine="656"/>
        <w:spacing w:after="0" w:line="272" w:lineRule="auto"/>
        <w:tabs>
          <w:tab w:leader="none" w:pos="122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Foreign Exchange Fluctuations and Restrictions</w:t>
      </w:r>
      <w:r>
        <w:rPr>
          <w:rFonts w:ascii="Arial" w:cs="Arial" w:eastAsia="Arial" w:hAnsi="Arial"/>
          <w:sz w:val="17"/>
          <w:szCs w:val="17"/>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77" w:lineRule="exact"/>
        <w:rPr>
          <w:sz w:val="20"/>
          <w:szCs w:val="20"/>
          <w:color w:val="auto"/>
        </w:rPr>
      </w:pPr>
    </w:p>
    <w:p>
      <w:pPr>
        <w:ind w:firstLine="656"/>
        <w:spacing w:after="0" w:line="263" w:lineRule="auto"/>
        <w:tabs>
          <w:tab w:leader="none" w:pos="123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83" w:lineRule="exact"/>
        <w:rPr>
          <w:rFonts w:ascii="Arial" w:cs="Arial" w:eastAsia="Arial" w:hAnsi="Arial"/>
          <w:sz w:val="18"/>
          <w:szCs w:val="18"/>
          <w:color w:val="auto"/>
        </w:rPr>
      </w:pPr>
    </w:p>
    <w:p>
      <w:pPr>
        <w:jc w:val="both"/>
        <w:ind w:right="200" w:firstLine="656"/>
        <w:spacing w:after="0" w:line="279" w:lineRule="auto"/>
        <w:tabs>
          <w:tab w:leader="none" w:pos="123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Award Agreement will be governed by the laws of the State of New York, without giving effect to the conflict of law principles thereof. For purposes of litigating any dispute that arises under this Award of Restricted Stock Units or this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 other courts.</w:t>
      </w:r>
    </w:p>
    <w:p>
      <w:pPr>
        <w:sectPr>
          <w:pgSz w:w="11900" w:h="16838" w:orient="portrait"/>
          <w:cols w:equalWidth="0" w:num="1">
            <w:col w:w="11200"/>
          </w:cols>
          <w:pgMar w:left="320" w:top="1421" w:right="37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line="263"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 Stan Pavlovsky, certify that:</w:t>
      </w:r>
    </w:p>
    <w:p>
      <w:pPr>
        <w:spacing w:after="0" w:line="194" w:lineRule="exact"/>
        <w:rPr>
          <w:sz w:val="20"/>
          <w:szCs w:val="20"/>
          <w:color w:val="auto"/>
        </w:rPr>
      </w:pPr>
    </w:p>
    <w:p>
      <w:pPr>
        <w:ind w:left="860" w:hanging="528"/>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Shutterstock, Inc.;</w:t>
      </w:r>
    </w:p>
    <w:p>
      <w:pPr>
        <w:spacing w:after="0" w:line="194" w:lineRule="exact"/>
        <w:rPr>
          <w:rFonts w:ascii="Arial" w:cs="Arial" w:eastAsia="Arial" w:hAnsi="Arial"/>
          <w:sz w:val="16"/>
          <w:szCs w:val="16"/>
          <w:color w:val="auto"/>
        </w:rPr>
      </w:pPr>
    </w:p>
    <w:p>
      <w:pPr>
        <w:ind w:left="340" w:right="240" w:hanging="8"/>
        <w:spacing w:after="0" w:line="310" w:lineRule="auto"/>
        <w:tabs>
          <w:tab w:leader="none" w:pos="866"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340" w:right="320" w:hanging="8"/>
        <w:spacing w:after="0" w:line="275" w:lineRule="auto"/>
        <w:tabs>
          <w:tab w:leader="none" w:pos="8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340" w:right="180" w:hanging="8"/>
        <w:spacing w:after="0" w:line="349" w:lineRule="auto"/>
        <w:tabs>
          <w:tab w:leader="none" w:pos="864"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jc w:val="both"/>
        <w:ind w:left="660" w:right="120" w:hanging="4"/>
        <w:spacing w:after="0" w:line="261" w:lineRule="auto"/>
        <w:tabs>
          <w:tab w:leader="none" w:pos="1177"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jc w:val="both"/>
        <w:ind w:left="660" w:right="220" w:hanging="4"/>
        <w:spacing w:after="0" w:line="261" w:lineRule="auto"/>
        <w:tabs>
          <w:tab w:leader="none" w:pos="1186"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660" w:right="40" w:hanging="4"/>
        <w:spacing w:after="0" w:line="275" w:lineRule="auto"/>
        <w:tabs>
          <w:tab w:leader="none" w:pos="1177"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660" w:right="80" w:hanging="4"/>
        <w:spacing w:after="0" w:line="261" w:lineRule="auto"/>
        <w:tabs>
          <w:tab w:leader="none" w:pos="1186"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100" w:hanging="8"/>
        <w:spacing w:after="0" w:line="275" w:lineRule="auto"/>
        <w:tabs>
          <w:tab w:leader="none" w:pos="8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660" w:right="220" w:hanging="4"/>
        <w:spacing w:after="0" w:line="275" w:lineRule="auto"/>
        <w:tabs>
          <w:tab w:leader="none" w:pos="1168"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660" w:right="420" w:hanging="4"/>
        <w:spacing w:after="0" w:line="275" w:lineRule="auto"/>
        <w:tabs>
          <w:tab w:leader="none" w:pos="1178"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40"/>
        <w:spacing w:after="0"/>
        <w:tabs>
          <w:tab w:leader="none" w:pos="5640" w:val="left"/>
          <w:tab w:leader="none" w:pos="6100" w:val="left"/>
        </w:tabs>
        <w:rPr>
          <w:sz w:val="20"/>
          <w:szCs w:val="20"/>
          <w:color w:val="auto"/>
        </w:rPr>
      </w:pPr>
      <w:r>
        <w:rPr>
          <w:rFonts w:ascii="Arial" w:cs="Arial" w:eastAsia="Arial" w:hAnsi="Arial"/>
          <w:sz w:val="16"/>
          <w:szCs w:val="16"/>
          <w:color w:val="auto"/>
        </w:rPr>
        <w:t>Date: April 27,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17780</wp:posOffset>
            </wp:positionV>
            <wp:extent cx="32575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Stan Pavlovsky</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line="263"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 Jarrod Yahes, certify that:</w:t>
      </w:r>
    </w:p>
    <w:p>
      <w:pPr>
        <w:spacing w:after="0" w:line="194" w:lineRule="exact"/>
        <w:rPr>
          <w:sz w:val="20"/>
          <w:szCs w:val="20"/>
          <w:color w:val="auto"/>
        </w:rPr>
      </w:pPr>
    </w:p>
    <w:p>
      <w:pPr>
        <w:ind w:left="860" w:hanging="528"/>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Shutterstock, Inc.;</w:t>
      </w:r>
    </w:p>
    <w:p>
      <w:pPr>
        <w:spacing w:after="0" w:line="194" w:lineRule="exact"/>
        <w:rPr>
          <w:rFonts w:ascii="Arial" w:cs="Arial" w:eastAsia="Arial" w:hAnsi="Arial"/>
          <w:sz w:val="16"/>
          <w:szCs w:val="16"/>
          <w:color w:val="auto"/>
        </w:rPr>
      </w:pPr>
    </w:p>
    <w:p>
      <w:pPr>
        <w:ind w:left="340" w:right="240" w:hanging="8"/>
        <w:spacing w:after="0" w:line="310" w:lineRule="auto"/>
        <w:tabs>
          <w:tab w:leader="none" w:pos="866"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340" w:right="320" w:hanging="8"/>
        <w:spacing w:after="0" w:line="275" w:lineRule="auto"/>
        <w:tabs>
          <w:tab w:leader="none" w:pos="8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340" w:right="180" w:hanging="8"/>
        <w:spacing w:after="0" w:line="349" w:lineRule="auto"/>
        <w:tabs>
          <w:tab w:leader="none" w:pos="864"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jc w:val="both"/>
        <w:ind w:left="660" w:right="120" w:hanging="4"/>
        <w:spacing w:after="0" w:line="261" w:lineRule="auto"/>
        <w:tabs>
          <w:tab w:leader="none" w:pos="1177"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jc w:val="both"/>
        <w:ind w:left="660" w:right="220" w:hanging="4"/>
        <w:spacing w:after="0" w:line="261" w:lineRule="auto"/>
        <w:tabs>
          <w:tab w:leader="none" w:pos="1186"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660" w:right="40" w:hanging="4"/>
        <w:spacing w:after="0" w:line="275" w:lineRule="auto"/>
        <w:tabs>
          <w:tab w:leader="none" w:pos="117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660" w:right="80" w:hanging="4"/>
        <w:spacing w:after="0" w:line="261" w:lineRule="auto"/>
        <w:tabs>
          <w:tab w:leader="none" w:pos="1186"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100" w:hanging="8"/>
        <w:spacing w:after="0" w:line="275" w:lineRule="auto"/>
        <w:tabs>
          <w:tab w:leader="none" w:pos="8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660" w:right="220" w:hanging="4"/>
        <w:spacing w:after="0" w:line="275" w:lineRule="auto"/>
        <w:tabs>
          <w:tab w:leader="none" w:pos="1168"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660" w:right="420" w:hanging="4"/>
        <w:spacing w:after="0" w:line="275" w:lineRule="auto"/>
        <w:tabs>
          <w:tab w:leader="none" w:pos="1178"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40"/>
        <w:spacing w:after="0"/>
        <w:tabs>
          <w:tab w:leader="none" w:pos="5780" w:val="left"/>
          <w:tab w:leader="none" w:pos="6220" w:val="left"/>
        </w:tabs>
        <w:rPr>
          <w:sz w:val="20"/>
          <w:szCs w:val="20"/>
          <w:color w:val="auto"/>
        </w:rPr>
      </w:pPr>
      <w:r>
        <w:rPr>
          <w:rFonts w:ascii="Arial" w:cs="Arial" w:eastAsia="Arial" w:hAnsi="Arial"/>
          <w:sz w:val="16"/>
          <w:szCs w:val="16"/>
          <w:color w:val="auto"/>
        </w:rPr>
        <w:t>Date: April 27,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17780</wp:posOffset>
            </wp:positionV>
            <wp:extent cx="31800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Jarrod Yahes</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89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connection with the Quarterly Report on Form 10-Q of Shutterstock, Inc., for the quarterly period ended March 31, 2021 as filed with the Securities and Exchange Commission on the date hereof (the “Report”), I, Stan Pavlovsky,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05" w:lineRule="exact"/>
        <w:rPr>
          <w:sz w:val="20"/>
          <w:szCs w:val="20"/>
          <w:color w:val="auto"/>
        </w:rPr>
      </w:pPr>
    </w:p>
    <w:p>
      <w:pPr>
        <w:ind w:left="40"/>
        <w:spacing w:after="0"/>
        <w:tabs>
          <w:tab w:leader="none" w:pos="5640" w:val="left"/>
          <w:tab w:leader="none" w:pos="6100" w:val="left"/>
        </w:tabs>
        <w:rPr>
          <w:sz w:val="20"/>
          <w:szCs w:val="20"/>
          <w:color w:val="auto"/>
        </w:rPr>
      </w:pPr>
      <w:r>
        <w:rPr>
          <w:rFonts w:ascii="Arial" w:cs="Arial" w:eastAsia="Arial" w:hAnsi="Arial"/>
          <w:sz w:val="16"/>
          <w:szCs w:val="16"/>
          <w:color w:val="auto"/>
        </w:rPr>
        <w:t>Date: April 27,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17780</wp:posOffset>
            </wp:positionV>
            <wp:extent cx="32575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Stan Pavlovsky</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i w:val="1"/>
          <w:iCs w:val="1"/>
          <w:color w:val="auto"/>
        </w:rPr>
        <w:t>(Principal Executive Officer)</w:t>
      </w:r>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connection with the Quarterly Report on Form 10-Q of Shutterstock, Inc., for the quarterly period ended March 31, 2021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05" w:lineRule="exact"/>
        <w:rPr>
          <w:sz w:val="20"/>
          <w:szCs w:val="20"/>
          <w:color w:val="auto"/>
        </w:rPr>
      </w:pPr>
    </w:p>
    <w:p>
      <w:pPr>
        <w:ind w:left="40"/>
        <w:spacing w:after="0"/>
        <w:tabs>
          <w:tab w:leader="none" w:pos="5640" w:val="left"/>
          <w:tab w:leader="none" w:pos="6100" w:val="left"/>
        </w:tabs>
        <w:rPr>
          <w:sz w:val="20"/>
          <w:szCs w:val="20"/>
          <w:color w:val="auto"/>
        </w:rPr>
      </w:pPr>
      <w:r>
        <w:rPr>
          <w:rFonts w:ascii="Arial" w:cs="Arial" w:eastAsia="Arial" w:hAnsi="Arial"/>
          <w:sz w:val="16"/>
          <w:szCs w:val="16"/>
          <w:color w:val="auto"/>
        </w:rPr>
        <w:t>Date: April 27,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17780</wp:posOffset>
            </wp:positionV>
            <wp:extent cx="32575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Jarrod Yahes</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3"/>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Roman"/>
      <w:start w:val="2"/>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upperLetter"/>
      <w:start w:val="9"/>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2"/>
    </w:lvl>
  </w:abstractNum>
  <w:abstractNum w:abstractNumId="15">
    <w:nsid w:val="333AB105"/>
    <w:multiLevelType w:val="hybridMultilevel"/>
    <w:lvl w:ilvl="0">
      <w:lvlJc w:val="left"/>
      <w:lvlText w:val="(%1)"/>
      <w:numFmt w:val="decimal"/>
      <w:start w:val="6"/>
    </w:lvl>
  </w:abstractNum>
  <w:abstractNum w:abstractNumId="16">
    <w:nsid w:val="721DA317"/>
    <w:multiLevelType w:val="hybridMultilevel"/>
    <w:lvl w:ilvl="0">
      <w:lvlJc w:val="left"/>
      <w:lvlText w:val="%1."/>
      <w:numFmt w:val="decimal"/>
      <w:start w:val="5"/>
    </w:lvl>
  </w:abstractNum>
  <w:abstractNum w:abstractNumId="17">
    <w:nsid w:val="2443A858"/>
    <w:multiLevelType w:val="hybridMultilevel"/>
    <w:lvl w:ilvl="0">
      <w:lvlJc w:val="left"/>
      <w:lvlText w:val="%1."/>
      <w:numFmt w:val="decimal"/>
      <w:start w:val="6"/>
    </w:lvl>
  </w:abstractNum>
  <w:abstractNum w:abstractNumId="18">
    <w:nsid w:val="2D1D5AE9"/>
    <w:multiLevelType w:val="hybridMultilevel"/>
    <w:lvl w:ilvl="0">
      <w:lvlJc w:val="left"/>
      <w:lvlText w:val="%1."/>
      <w:numFmt w:val="decimal"/>
      <w:start w:val="8"/>
    </w:lvl>
  </w:abstractNum>
  <w:abstractNum w:abstractNumId="19">
    <w:nsid w:val="6763845E"/>
    <w:multiLevelType w:val="hybridMultilevel"/>
    <w:lvl w:ilvl="0">
      <w:lvlJc w:val="left"/>
      <w:lvlText w:val="%1."/>
      <w:numFmt w:val="decimal"/>
      <w:start w:val="9"/>
    </w:lvl>
  </w:abstractNum>
  <w:abstractNum w:abstractNumId="20">
    <w:nsid w:val="75A2A8D4"/>
    <w:multiLevelType w:val="hybridMultilevel"/>
    <w:lvl w:ilvl="0">
      <w:lvlJc w:val="left"/>
      <w:lvlText w:val="(%1)"/>
      <w:numFmt w:val="lowerLetter"/>
      <w:start w:val="8"/>
    </w:lvl>
    <w:lvl w:ilvl="1">
      <w:lvlJc w:val="left"/>
      <w:lvlText w:val="%2."/>
      <w:numFmt w:val="decimal"/>
      <w:start w:val="10"/>
    </w:lvl>
  </w:abstractNum>
  <w:abstractNum w:abstractNumId="21">
    <w:nsid w:val="8EDBDAB"/>
    <w:multiLevelType w:val="hybridMultilevel"/>
    <w:lvl w:ilvl="0">
      <w:lvlJc w:val="left"/>
      <w:lvlText w:val="%1."/>
      <w:numFmt w:val="decimal"/>
      <w:start w:val="14"/>
    </w:lvl>
  </w:abstractNum>
  <w:abstractNum w:abstractNumId="22">
    <w:nsid w:val="79838CB2"/>
    <w:multiLevelType w:val="hybridMultilevel"/>
    <w:lvl w:ilvl="0">
      <w:lvlJc w:val="left"/>
      <w:lvlText w:val="%1."/>
      <w:numFmt w:val="decimal"/>
      <w:start w:val="16"/>
    </w:lvl>
  </w:abstractNum>
  <w:abstractNum w:abstractNumId="23">
    <w:nsid w:val="4353D0CD"/>
    <w:multiLevelType w:val="hybridMultilevel"/>
    <w:lvl w:ilvl="0">
      <w:lvlJc w:val="left"/>
      <w:lvlText w:val="%1"/>
      <w:numFmt w:val="decimal"/>
      <w:start w:val="21"/>
    </w:lvl>
  </w:abstractNum>
  <w:abstractNum w:abstractNumId="24">
    <w:nsid w:val="B03E0C6"/>
    <w:multiLevelType w:val="hybridMultilevel"/>
    <w:lvl w:ilvl="0">
      <w:lvlJc w:val="left"/>
      <w:lvlText w:val="%1."/>
      <w:numFmt w:val="decimal"/>
      <w:start w:val="22"/>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2021-04-27T06:08:32Z</dcterms:created>
  <dcterms:modified xsi:type="dcterms:W3CDTF">2021-04-27T06:08:32Z</dcterms:modified>
</cp:coreProperties>
</file>