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720" w:hanging="307"/>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42"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5" w:lineRule="exact"/>
        <w:rPr>
          <w:sz w:val="24"/>
          <w:szCs w:val="24"/>
          <w:color w:val="auto"/>
        </w:rPr>
      </w:pPr>
    </w:p>
    <w:p>
      <w:pPr>
        <w:ind w:left="4160"/>
        <w:spacing w:after="0"/>
        <w:tabs>
          <w:tab w:leader="none" w:pos="6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Commission File Number: 001-35669</w:t>
      </w:r>
    </w:p>
    <w:p>
      <w:pPr>
        <w:spacing w:after="0" w:line="67"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59" w:lineRule="exact"/>
        <w:rPr>
          <w:sz w:val="24"/>
          <w:szCs w:val="24"/>
          <w:color w:val="auto"/>
        </w:rPr>
      </w:pPr>
    </w:p>
    <w:p>
      <w:pPr>
        <w:jc w:val="center"/>
        <w:ind w:left="400"/>
        <w:spacing w:after="0"/>
        <w:rPr>
          <w:sz w:val="20"/>
          <w:szCs w:val="20"/>
          <w:color w:val="auto"/>
        </w:rPr>
      </w:pPr>
      <w:r>
        <w:rPr>
          <w:rFonts w:ascii="Arial" w:cs="Arial" w:eastAsia="Arial" w:hAnsi="Arial"/>
          <w:sz w:val="29"/>
          <w:szCs w:val="29"/>
          <w:b w:val="1"/>
          <w:bCs w:val="1"/>
          <w:color w:val="auto"/>
        </w:rPr>
        <w:t>SHUTTERSTOCK, INC.</w:t>
      </w:r>
    </w:p>
    <w:p>
      <w:pPr>
        <w:spacing w:after="0" w:line="38"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90" w:lineRule="exact"/>
        <w:rPr>
          <w:sz w:val="24"/>
          <w:szCs w:val="24"/>
          <w:color w:val="auto"/>
        </w:rPr>
      </w:pPr>
    </w:p>
    <w:p>
      <w:pPr>
        <w:ind w:left="2400"/>
        <w:spacing w:after="0"/>
        <w:tabs>
          <w:tab w:leader="none" w:pos="81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80-0812659</w:t>
      </w:r>
    </w:p>
    <w:p>
      <w:pPr>
        <w:spacing w:after="0" w:line="68" w:lineRule="exact"/>
        <w:rPr>
          <w:sz w:val="24"/>
          <w:szCs w:val="24"/>
          <w:color w:val="auto"/>
        </w:rPr>
      </w:pPr>
    </w:p>
    <w:p>
      <w:pPr>
        <w:ind w:left="1000"/>
        <w:spacing w:after="0"/>
        <w:tabs>
          <w:tab w:leader="none" w:pos="746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No.)</w:t>
      </w:r>
    </w:p>
    <w:p>
      <w:pPr>
        <w:spacing w:after="0" w:line="127" w:lineRule="exact"/>
        <w:rPr>
          <w:sz w:val="24"/>
          <w:szCs w:val="24"/>
          <w:color w:val="auto"/>
        </w:rPr>
      </w:pPr>
    </w:p>
    <w:p>
      <w:pPr>
        <w:jc w:val="center"/>
        <w:ind w:left="400"/>
        <w:spacing w:after="0"/>
        <w:rPr>
          <w:sz w:val="20"/>
          <w:szCs w:val="20"/>
          <w:color w:val="auto"/>
        </w:rPr>
      </w:pPr>
      <w:r>
        <w:rPr>
          <w:rFonts w:ascii="Arial" w:cs="Arial" w:eastAsia="Arial" w:hAnsi="Arial"/>
          <w:sz w:val="16"/>
          <w:szCs w:val="16"/>
          <w:b w:val="1"/>
          <w:bCs w:val="1"/>
          <w:color w:val="auto"/>
        </w:rPr>
        <w:t>350 Fifth Avenue, 21st Floor</w:t>
      </w:r>
    </w:p>
    <w:p>
      <w:pPr>
        <w:spacing w:after="0" w:line="23" w:lineRule="exact"/>
        <w:rPr>
          <w:sz w:val="24"/>
          <w:szCs w:val="24"/>
          <w:color w:val="auto"/>
        </w:rPr>
      </w:pPr>
    </w:p>
    <w:p>
      <w:pPr>
        <w:jc w:val="center"/>
        <w:ind w:left="400"/>
        <w:spacing w:after="0"/>
        <w:rPr>
          <w:sz w:val="20"/>
          <w:szCs w:val="20"/>
          <w:color w:val="auto"/>
        </w:rPr>
      </w:pPr>
      <w:r>
        <w:rPr>
          <w:rFonts w:ascii="Arial" w:cs="Arial" w:eastAsia="Arial" w:hAnsi="Arial"/>
          <w:sz w:val="16"/>
          <w:szCs w:val="16"/>
          <w:b w:val="1"/>
          <w:bCs w:val="1"/>
          <w:color w:val="auto"/>
        </w:rPr>
        <w:t>New York, NY 10118</w:t>
      </w:r>
    </w:p>
    <w:p>
      <w:pPr>
        <w:spacing w:after="0" w:line="5"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41" w:lineRule="exact"/>
        <w:rPr>
          <w:sz w:val="24"/>
          <w:szCs w:val="24"/>
          <w:color w:val="auto"/>
        </w:rPr>
      </w:pPr>
    </w:p>
    <w:p>
      <w:pPr>
        <w:ind w:left="5320" w:hanging="90"/>
        <w:spacing w:after="0"/>
        <w:tabs>
          <w:tab w:leader="none" w:pos="5320" w:val="left"/>
        </w:tabs>
        <w:numPr>
          <w:ilvl w:val="0"/>
          <w:numId w:val="3"/>
        </w:numPr>
        <w:rPr>
          <w:rFonts w:ascii="Arial" w:cs="Arial" w:eastAsia="Arial" w:hAnsi="Arial"/>
          <w:sz w:val="16"/>
          <w:szCs w:val="16"/>
          <w:color w:val="auto"/>
        </w:rPr>
      </w:pPr>
      <w:r>
        <w:rPr>
          <w:rFonts w:ascii="Arial" w:cs="Arial" w:eastAsia="Arial" w:hAnsi="Arial"/>
          <w:sz w:val="18"/>
          <w:szCs w:val="18"/>
          <w:color w:val="auto"/>
        </w:rPr>
        <w:t xml:space="preserve">646 </w:t>
      </w:r>
      <w:r>
        <w:rPr>
          <w:rFonts w:ascii="Arial" w:cs="Arial" w:eastAsia="Arial" w:hAnsi="Arial"/>
          <w:sz w:val="16"/>
          <w:szCs w:val="16"/>
          <w:color w:val="auto"/>
        </w:rPr>
        <w:t>)</w:t>
      </w:r>
      <w:r>
        <w:rPr>
          <w:rFonts w:ascii="Arial" w:cs="Arial" w:eastAsia="Arial" w:hAnsi="Arial"/>
          <w:sz w:val="18"/>
          <w:szCs w:val="18"/>
          <w:color w:val="auto"/>
        </w:rPr>
        <w:t xml:space="preserve"> 710-3417</w:t>
      </w:r>
    </w:p>
    <w:p>
      <w:pPr>
        <w:spacing w:after="0" w:line="23"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(Registrant’s telephone number, including area code)</w:t>
      </w:r>
    </w:p>
    <w:p>
      <w:pPr>
        <w:spacing w:after="0" w:line="49" w:lineRule="exact"/>
        <w:rPr>
          <w:sz w:val="24"/>
          <w:szCs w:val="24"/>
          <w:color w:val="auto"/>
        </w:rPr>
      </w:pPr>
    </w:p>
    <w:p>
      <w:pPr>
        <w:ind w:left="5360"/>
        <w:spacing w:after="0"/>
        <w:rPr>
          <w:sz w:val="20"/>
          <w:szCs w:val="20"/>
          <w:color w:val="auto"/>
        </w:rPr>
      </w:pPr>
      <w:r>
        <w:rPr>
          <w:rFonts w:ascii="Arial" w:cs="Arial" w:eastAsia="Arial" w:hAnsi="Arial"/>
          <w:sz w:val="16"/>
          <w:szCs w:val="16"/>
          <w:color w:val="auto"/>
        </w:rPr>
        <w:t>Not applicable</w:t>
      </w:r>
    </w:p>
    <w:p>
      <w:pPr>
        <w:spacing w:after="0" w:line="18"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ind w:left="288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w:t>
      </w:r>
    </w:p>
    <w:p>
      <w:pPr>
        <w:spacing w:after="0" w:line="225"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720" w:type="dxa"/>
        <w:tblCellMar>
          <w:top w:w="0" w:type="dxa"/>
          <w:left w:w="0" w:type="dxa"/>
          <w:bottom w:w="0" w:type="dxa"/>
          <w:right w:w="0" w:type="dxa"/>
        </w:tblCellMar>
      </w:tblPr>
      <w:tr>
        <w:trPr>
          <w:trHeight w:val="192"/>
        </w:trPr>
        <w:tc>
          <w:tcPr>
            <w:tcW w:w="39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89"/>
              </w:rPr>
              <w:t>Title of each class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0"/>
        </w:trPr>
        <w:tc>
          <w:tcPr>
            <w:tcW w:w="392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Common Stock, $0.01 par value per share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SSTK</w:t>
            </w:r>
          </w:p>
        </w:tc>
        <w:tc>
          <w:tcPr>
            <w:tcW w:w="376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New York Stock Exchange</w:t>
            </w:r>
          </w:p>
        </w:tc>
      </w:tr>
    </w:tbl>
    <w:p>
      <w:pPr>
        <w:spacing w:after="0" w:line="107" w:lineRule="exact"/>
        <w:rPr>
          <w:sz w:val="24"/>
          <w:szCs w:val="24"/>
          <w:color w:val="auto"/>
        </w:rPr>
      </w:pPr>
    </w:p>
    <w:p>
      <w:pPr>
        <w:ind w:right="40" w:firstLine="405"/>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4"/>
          <w:szCs w:val="24"/>
          <w:color w:val="auto"/>
        </w:rPr>
      </w:pPr>
    </w:p>
    <w:p>
      <w:pPr>
        <w:ind w:firstLine="405"/>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4"/>
          <w:szCs w:val="24"/>
          <w:color w:val="auto"/>
        </w:rPr>
      </w:pPr>
    </w:p>
    <w:p>
      <w:pPr>
        <w:jc w:val="both"/>
        <w:ind w:right="460" w:firstLine="405"/>
        <w:spacing w:after="0" w:line="34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tbl>
      <w:tblPr>
        <w:tblLayout w:type="fixed"/>
        <w:tblInd w:w="1140" w:type="dxa"/>
        <w:tblCellMar>
          <w:top w:w="0" w:type="dxa"/>
          <w:left w:w="0" w:type="dxa"/>
          <w:bottom w:w="0" w:type="dxa"/>
          <w:right w:w="0" w:type="dxa"/>
        </w:tblCellMar>
      </w:tblPr>
      <w:tr>
        <w:trPr>
          <w:trHeight w:val="243"/>
        </w:trPr>
        <w:tc>
          <w:tcPr>
            <w:tcW w:w="1480" w:type="dxa"/>
            <w:vAlign w:val="bottom"/>
          </w:tcPr>
          <w:p>
            <w:pPr>
              <w:jc w:val="right"/>
              <w:ind w:right="24"/>
              <w:spacing w:after="0"/>
              <w:rPr>
                <w:sz w:val="20"/>
                <w:szCs w:val="20"/>
                <w:color w:val="auto"/>
              </w:rPr>
            </w:pPr>
            <w:r>
              <w:rPr>
                <w:rFonts w:ascii="Arial" w:cs="Arial" w:eastAsia="Arial" w:hAnsi="Arial"/>
                <w:sz w:val="15"/>
                <w:szCs w:val="15"/>
                <w:color w:val="auto"/>
                <w:w w:val="91"/>
              </w:rPr>
              <w:t>Large accelerated filer</w:t>
            </w:r>
          </w:p>
        </w:tc>
        <w:tc>
          <w:tcPr>
            <w:tcW w:w="26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jc w:val="right"/>
              <w:ind w:right="4"/>
              <w:spacing w:after="0"/>
              <w:rPr>
                <w:sz w:val="20"/>
                <w:szCs w:val="20"/>
                <w:color w:val="auto"/>
              </w:rPr>
            </w:pPr>
            <w:r>
              <w:rPr>
                <w:rFonts w:ascii="Arial" w:cs="Arial" w:eastAsia="Arial" w:hAnsi="Arial"/>
                <w:sz w:val="15"/>
                <w:szCs w:val="15"/>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480" w:type="dxa"/>
            <w:vAlign w:val="bottom"/>
          </w:tcPr>
          <w:p>
            <w:pPr>
              <w:jc w:val="right"/>
              <w:ind w:right="24"/>
              <w:spacing w:after="0"/>
              <w:rPr>
                <w:sz w:val="20"/>
                <w:szCs w:val="20"/>
                <w:color w:val="auto"/>
              </w:rPr>
            </w:pPr>
            <w:r>
              <w:rPr>
                <w:rFonts w:ascii="Arial" w:cs="Arial" w:eastAsia="Arial" w:hAnsi="Arial"/>
                <w:sz w:val="15"/>
                <w:szCs w:val="15"/>
                <w:color w:val="auto"/>
                <w:w w:val="98"/>
              </w:rPr>
              <w:t>Non-accelerated filer</w:t>
            </w:r>
          </w:p>
        </w:tc>
        <w:tc>
          <w:tcPr>
            <w:tcW w:w="26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jc w:val="right"/>
              <w:ind w:right="4"/>
              <w:spacing w:after="0"/>
              <w:rPr>
                <w:sz w:val="20"/>
                <w:szCs w:val="20"/>
                <w:color w:val="auto"/>
              </w:rPr>
            </w:pPr>
            <w:r>
              <w:rPr>
                <w:rFonts w:ascii="Arial" w:cs="Arial" w:eastAsia="Arial" w:hAnsi="Arial"/>
                <w:sz w:val="15"/>
                <w:szCs w:val="15"/>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4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160" w:type="dxa"/>
            <w:vAlign w:val="bottom"/>
          </w:tcPr>
          <w:p>
            <w:pPr>
              <w:jc w:val="right"/>
              <w:ind w:right="4"/>
              <w:spacing w:after="0"/>
              <w:rPr>
                <w:sz w:val="20"/>
                <w:szCs w:val="20"/>
                <w:color w:val="auto"/>
              </w:rPr>
            </w:pPr>
            <w:r>
              <w:rPr>
                <w:rFonts w:ascii="Arial" w:cs="Arial" w:eastAsia="Arial" w:hAnsi="Arial"/>
                <w:sz w:val="15"/>
                <w:szCs w:val="15"/>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left="20"/>
        <w:spacing w:after="0" w:line="28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right="12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417" w:lineRule="exact"/>
        <w:rPr>
          <w:sz w:val="24"/>
          <w:szCs w:val="24"/>
          <w:color w:val="auto"/>
        </w:rPr>
      </w:pPr>
    </w:p>
    <w:p>
      <w:pPr>
        <w:sectPr>
          <w:pgSz w:w="11900" w:h="16838" w:orient="portrait"/>
          <w:cols w:equalWidth="0" w:num="2">
            <w:col w:w="10680" w:space="140"/>
            <w:col w:w="420"/>
          </w:cols>
          <w:pgMar w:left="320" w:top="233" w:right="33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As of April 24, 2020, 35,631,028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1006475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ind w:left="4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92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Shutterstock, Inc.</w:t>
            </w:r>
          </w:p>
        </w:tc>
        <w:tc>
          <w:tcPr>
            <w:tcW w:w="92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200" w:type="dxa"/>
            <w:vAlign w:val="bottom"/>
          </w:tcPr>
          <w:p>
            <w:pPr>
              <w:jc w:val="center"/>
              <w:ind w:right="57"/>
              <w:spacing w:after="0"/>
              <w:rPr>
                <w:sz w:val="20"/>
                <w:szCs w:val="20"/>
                <w:color w:val="auto"/>
              </w:rPr>
            </w:pPr>
            <w:r>
              <w:rPr>
                <w:rFonts w:ascii="Arial" w:cs="Arial" w:eastAsia="Arial" w:hAnsi="Arial"/>
                <w:sz w:val="18"/>
                <w:szCs w:val="18"/>
                <w:b w:val="1"/>
                <w:bCs w:val="1"/>
                <w:color w:val="auto"/>
                <w:w w:val="99"/>
              </w:rPr>
              <w:t>FORM 10-Q</w:t>
            </w:r>
          </w:p>
        </w:tc>
        <w:tc>
          <w:tcPr>
            <w:tcW w:w="92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2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92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For the Quarterly Period Ended March 31, 2020</w:t>
            </w:r>
          </w:p>
        </w:tc>
        <w:tc>
          <w:tcPr>
            <w:tcW w:w="920" w:type="dxa"/>
            <w:vAlign w:val="bottom"/>
          </w:tcPr>
          <w:p>
            <w:pPr>
              <w:spacing w:after="0"/>
              <w:rPr>
                <w:sz w:val="20"/>
                <w:szCs w:val="20"/>
                <w:color w:val="auto"/>
              </w:rPr>
            </w:pPr>
          </w:p>
        </w:tc>
      </w:tr>
      <w:tr>
        <w:trPr>
          <w:trHeight w:val="223"/>
        </w:trPr>
        <w:tc>
          <w:tcPr>
            <w:tcW w:w="108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Page No.</w:t>
            </w:r>
          </w:p>
        </w:tc>
      </w:tr>
      <w:tr>
        <w:trPr>
          <w:trHeight w:val="251"/>
        </w:trPr>
        <w:tc>
          <w:tcPr>
            <w:tcW w:w="10280" w:type="dxa"/>
            <w:vAlign w:val="bottom"/>
            <w:gridSpan w:val="2"/>
          </w:tcPr>
          <w:p>
            <w:pPr>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PART I. FINANCIAL INFORMATION</w:t>
              </w:r>
            </w:hyperlink>
          </w:p>
        </w:tc>
        <w:tc>
          <w:tcPr>
            <w:tcW w:w="920" w:type="dxa"/>
            <w:vAlign w:val="bottom"/>
          </w:tcPr>
          <w:p>
            <w:pPr>
              <w:spacing w:after="0"/>
              <w:rPr>
                <w:sz w:val="21"/>
                <w:szCs w:val="21"/>
                <w:color w:val="auto"/>
              </w:rPr>
            </w:pPr>
          </w:p>
        </w:tc>
      </w:tr>
      <w:tr>
        <w:trPr>
          <w:trHeight w:val="270"/>
        </w:trPr>
        <w:tc>
          <w:tcPr>
            <w:tcW w:w="1080" w:type="dxa"/>
            <w:vAlign w:val="bottom"/>
          </w:tcPr>
          <w:p>
            <w:pPr>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9200" w:type="dxa"/>
            <w:vAlign w:val="bottom"/>
          </w:tcPr>
          <w:p>
            <w:pPr>
              <w:ind w:left="4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Financial Statements (Unaudited)</w:t>
              </w:r>
            </w:hyperlink>
          </w:p>
        </w:tc>
        <w:tc>
          <w:tcPr>
            <w:tcW w:w="920" w:type="dxa"/>
            <w:vAlign w:val="bottom"/>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16"/>
        </w:trPr>
        <w:tc>
          <w:tcPr>
            <w:tcW w:w="1080" w:type="dxa"/>
            <w:vAlign w:val="bottom"/>
          </w:tcPr>
          <w:p>
            <w:pPr>
              <w:spacing w:after="0"/>
              <w:rPr>
                <w:sz w:val="18"/>
                <w:szCs w:val="18"/>
                <w:color w:val="auto"/>
              </w:rPr>
            </w:pPr>
          </w:p>
        </w:tc>
        <w:tc>
          <w:tcPr>
            <w:tcW w:w="9200" w:type="dxa"/>
            <w:vAlign w:val="bottom"/>
          </w:tcPr>
          <w:p>
            <w:pPr>
              <w:ind w:left="16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Consolidated Balance Sheets</w:t>
              </w:r>
            </w:hyperlink>
          </w:p>
        </w:tc>
        <w:tc>
          <w:tcPr>
            <w:tcW w:w="920" w:type="dxa"/>
            <w:vAlign w:val="bottom"/>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16"/>
        </w:trPr>
        <w:tc>
          <w:tcPr>
            <w:tcW w:w="1080" w:type="dxa"/>
            <w:vAlign w:val="bottom"/>
          </w:tcPr>
          <w:p>
            <w:pPr>
              <w:spacing w:after="0"/>
              <w:rPr>
                <w:sz w:val="18"/>
                <w:szCs w:val="18"/>
                <w:color w:val="auto"/>
              </w:rPr>
            </w:pPr>
          </w:p>
        </w:tc>
        <w:tc>
          <w:tcPr>
            <w:tcW w:w="9200" w:type="dxa"/>
            <w:vAlign w:val="bottom"/>
          </w:tcPr>
          <w:p>
            <w:pPr>
              <w:ind w:left="16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Consolidated Statements of Operations</w:t>
              </w:r>
            </w:hyperlink>
          </w:p>
        </w:tc>
        <w:tc>
          <w:tcPr>
            <w:tcW w:w="920" w:type="dxa"/>
            <w:vAlign w:val="bottom"/>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r>
      <w:tr>
        <w:trPr>
          <w:trHeight w:val="216"/>
        </w:trPr>
        <w:tc>
          <w:tcPr>
            <w:tcW w:w="1080" w:type="dxa"/>
            <w:vAlign w:val="bottom"/>
          </w:tcPr>
          <w:p>
            <w:pPr>
              <w:spacing w:after="0"/>
              <w:rPr>
                <w:sz w:val="18"/>
                <w:szCs w:val="18"/>
                <w:color w:val="auto"/>
              </w:rPr>
            </w:pPr>
          </w:p>
        </w:tc>
        <w:tc>
          <w:tcPr>
            <w:tcW w:w="9200" w:type="dxa"/>
            <w:vAlign w:val="bottom"/>
          </w:tcPr>
          <w:p>
            <w:pPr>
              <w:ind w:left="16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Consolidated Statements of Comprehensive Income</w:t>
              </w:r>
            </w:hyperlink>
          </w:p>
        </w:tc>
        <w:tc>
          <w:tcPr>
            <w:tcW w:w="92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r>
      <w:tr>
        <w:trPr>
          <w:trHeight w:val="216"/>
        </w:trPr>
        <w:tc>
          <w:tcPr>
            <w:tcW w:w="1080" w:type="dxa"/>
            <w:vAlign w:val="bottom"/>
          </w:tcPr>
          <w:p>
            <w:pPr>
              <w:spacing w:after="0"/>
              <w:rPr>
                <w:sz w:val="18"/>
                <w:szCs w:val="18"/>
                <w:color w:val="auto"/>
              </w:rPr>
            </w:pPr>
          </w:p>
        </w:tc>
        <w:tc>
          <w:tcPr>
            <w:tcW w:w="9200" w:type="dxa"/>
            <w:vAlign w:val="bottom"/>
          </w:tcPr>
          <w:p>
            <w:pPr>
              <w:ind w:left="16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Consolidated Statements of Stockholders’ Equity</w:t>
              </w:r>
            </w:hyperlink>
          </w:p>
        </w:tc>
        <w:tc>
          <w:tcPr>
            <w:tcW w:w="920" w:type="dxa"/>
            <w:vAlign w:val="bottom"/>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r>
      <w:tr>
        <w:trPr>
          <w:trHeight w:val="216"/>
        </w:trPr>
        <w:tc>
          <w:tcPr>
            <w:tcW w:w="1080" w:type="dxa"/>
            <w:vAlign w:val="bottom"/>
          </w:tcPr>
          <w:p>
            <w:pPr>
              <w:spacing w:after="0"/>
              <w:rPr>
                <w:sz w:val="18"/>
                <w:szCs w:val="18"/>
                <w:color w:val="auto"/>
              </w:rPr>
            </w:pPr>
          </w:p>
        </w:tc>
        <w:tc>
          <w:tcPr>
            <w:tcW w:w="9200" w:type="dxa"/>
            <w:vAlign w:val="bottom"/>
          </w:tcPr>
          <w:p>
            <w:pPr>
              <w:ind w:left="16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Consolidated Statements of Cash Flows</w:t>
              </w:r>
            </w:hyperlink>
          </w:p>
        </w:tc>
        <w:tc>
          <w:tcPr>
            <w:tcW w:w="920" w:type="dxa"/>
            <w:vAlign w:val="bottom"/>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8</w:t>
              </w:r>
            </w:hyperlink>
          </w:p>
        </w:tc>
      </w:tr>
      <w:tr>
        <w:trPr>
          <w:trHeight w:val="216"/>
        </w:trPr>
        <w:tc>
          <w:tcPr>
            <w:tcW w:w="1080" w:type="dxa"/>
            <w:vAlign w:val="bottom"/>
          </w:tcPr>
          <w:p>
            <w:pPr>
              <w:spacing w:after="0"/>
              <w:rPr>
                <w:sz w:val="18"/>
                <w:szCs w:val="18"/>
                <w:color w:val="auto"/>
              </w:rPr>
            </w:pPr>
          </w:p>
        </w:tc>
        <w:tc>
          <w:tcPr>
            <w:tcW w:w="9200" w:type="dxa"/>
            <w:vAlign w:val="bottom"/>
          </w:tcPr>
          <w:p>
            <w:pPr>
              <w:ind w:left="16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Notes to Consolidated Financial Statements</w:t>
              </w:r>
            </w:hyperlink>
          </w:p>
        </w:tc>
        <w:tc>
          <w:tcPr>
            <w:tcW w:w="920" w:type="dxa"/>
            <w:vAlign w:val="bottom"/>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9</w:t>
              </w:r>
            </w:hyperlink>
          </w:p>
        </w:tc>
      </w:tr>
      <w:tr>
        <w:trPr>
          <w:trHeight w:val="216"/>
        </w:trPr>
        <w:tc>
          <w:tcPr>
            <w:tcW w:w="1080" w:type="dxa"/>
            <w:vAlign w:val="bottom"/>
          </w:tcPr>
          <w:p>
            <w:pPr>
              <w:spacing w:after="0"/>
              <w:rPr>
                <w:rFonts w:ascii="Arial" w:cs="Arial" w:eastAsia="Arial" w:hAnsi="Arial"/>
                <w:sz w:val="16"/>
                <w:szCs w:val="16"/>
                <w:color w:val="0000FF"/>
              </w:rPr>
            </w:pPr>
            <w:hyperlink w:anchor="page19">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9200" w:type="dxa"/>
            <w:vAlign w:val="bottom"/>
          </w:tcPr>
          <w:p>
            <w:pPr>
              <w:ind w:left="40"/>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19</w:t>
              </w:r>
            </w:hyperlink>
          </w:p>
        </w:tc>
      </w:tr>
      <w:tr>
        <w:trPr>
          <w:trHeight w:val="216"/>
        </w:trPr>
        <w:tc>
          <w:tcPr>
            <w:tcW w:w="1080" w:type="dxa"/>
            <w:vAlign w:val="bottom"/>
          </w:tcPr>
          <w:p>
            <w:pPr>
              <w:spacing w:after="0"/>
              <w:rPr>
                <w:rFonts w:ascii="Arial" w:cs="Arial" w:eastAsia="Arial" w:hAnsi="Arial"/>
                <w:sz w:val="16"/>
                <w:szCs w:val="16"/>
                <w:color w:val="0000FF"/>
              </w:rPr>
            </w:pPr>
            <w:hyperlink w:anchor="page29">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9200" w:type="dxa"/>
            <w:vAlign w:val="bottom"/>
          </w:tcPr>
          <w:p>
            <w:pPr>
              <w:ind w:left="4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Quantitative and Qualitative Disclosures About Market Risk</w:t>
              </w:r>
            </w:hyperlink>
          </w:p>
        </w:tc>
        <w:tc>
          <w:tcPr>
            <w:tcW w:w="920" w:type="dxa"/>
            <w:vAlign w:val="bottom"/>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16"/>
        </w:trPr>
        <w:tc>
          <w:tcPr>
            <w:tcW w:w="1080" w:type="dxa"/>
            <w:vAlign w:val="bottom"/>
          </w:tcPr>
          <w:p>
            <w:pPr>
              <w:spacing w:after="0"/>
              <w:rPr>
                <w:rFonts w:ascii="Arial" w:cs="Arial" w:eastAsia="Arial" w:hAnsi="Arial"/>
                <w:sz w:val="16"/>
                <w:szCs w:val="16"/>
                <w:color w:val="0000FF"/>
              </w:rPr>
            </w:pPr>
            <w:hyperlink w:anchor="page31">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9200" w:type="dxa"/>
            <w:vAlign w:val="bottom"/>
          </w:tcPr>
          <w:p>
            <w:pPr>
              <w:ind w:left="4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Controls and Procedures</w:t>
              </w:r>
            </w:hyperlink>
          </w:p>
        </w:tc>
        <w:tc>
          <w:tcPr>
            <w:tcW w:w="920" w:type="dxa"/>
            <w:vAlign w:val="bottom"/>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31</w:t>
              </w:r>
            </w:hyperlink>
          </w:p>
        </w:tc>
      </w:tr>
      <w:tr>
        <w:trPr>
          <w:trHeight w:val="270"/>
        </w:trPr>
        <w:tc>
          <w:tcPr>
            <w:tcW w:w="10280" w:type="dxa"/>
            <w:vAlign w:val="bottom"/>
            <w:gridSpan w:val="2"/>
          </w:tcPr>
          <w:p>
            <w:pPr>
              <w:spacing w:after="0"/>
              <w:rPr>
                <w:rFonts w:ascii="Arial" w:cs="Arial" w:eastAsia="Arial" w:hAnsi="Arial"/>
                <w:sz w:val="16"/>
                <w:szCs w:val="16"/>
                <w:b w:val="1"/>
                <w:bCs w:val="1"/>
                <w:u w:val="single" w:color="auto"/>
                <w:color w:val="0000FF"/>
              </w:rPr>
            </w:pPr>
            <w:hyperlink w:anchor="page32">
              <w:r>
                <w:rPr>
                  <w:rFonts w:ascii="Arial" w:cs="Arial" w:eastAsia="Arial" w:hAnsi="Arial"/>
                  <w:sz w:val="16"/>
                  <w:szCs w:val="16"/>
                  <w:b w:val="1"/>
                  <w:bCs w:val="1"/>
                  <w:u w:val="single" w:color="auto"/>
                  <w:color w:val="0000FF"/>
                </w:rPr>
                <w:t>PART II. OTHER INFORMATION</w:t>
              </w:r>
            </w:hyperlink>
          </w:p>
        </w:tc>
        <w:tc>
          <w:tcPr>
            <w:tcW w:w="920" w:type="dxa"/>
            <w:vAlign w:val="bottom"/>
          </w:tcPr>
          <w:p>
            <w:pPr>
              <w:spacing w:after="0"/>
              <w:rPr>
                <w:sz w:val="23"/>
                <w:szCs w:val="23"/>
                <w:color w:val="auto"/>
              </w:rPr>
            </w:pPr>
          </w:p>
        </w:tc>
      </w:tr>
      <w:tr>
        <w:trPr>
          <w:trHeight w:val="270"/>
        </w:trPr>
        <w:tc>
          <w:tcPr>
            <w:tcW w:w="1080" w:type="dxa"/>
            <w:vAlign w:val="bottom"/>
          </w:tcPr>
          <w:p>
            <w:pPr>
              <w:spacing w:after="0"/>
              <w:rPr>
                <w:rFonts w:ascii="Arial" w:cs="Arial" w:eastAsia="Arial" w:hAnsi="Arial"/>
                <w:sz w:val="16"/>
                <w:szCs w:val="16"/>
                <w:color w:val="0000FF"/>
              </w:rPr>
            </w:pPr>
            <w:hyperlink w:anchor="page32">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9200" w:type="dxa"/>
            <w:vAlign w:val="bottom"/>
          </w:tcPr>
          <w:p>
            <w:pPr>
              <w:ind w:left="4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Legal Proceedings</w:t>
              </w:r>
            </w:hyperlink>
          </w:p>
        </w:tc>
        <w:tc>
          <w:tcPr>
            <w:tcW w:w="920" w:type="dxa"/>
            <w:vAlign w:val="bottom"/>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r>
      <w:tr>
        <w:trPr>
          <w:trHeight w:val="216"/>
        </w:trPr>
        <w:tc>
          <w:tcPr>
            <w:tcW w:w="1080" w:type="dxa"/>
            <w:vAlign w:val="bottom"/>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Item 1A.</w:t>
              </w:r>
            </w:hyperlink>
          </w:p>
        </w:tc>
        <w:tc>
          <w:tcPr>
            <w:tcW w:w="9200" w:type="dxa"/>
            <w:vAlign w:val="bottom"/>
          </w:tcPr>
          <w:p>
            <w:pPr>
              <w:ind w:left="4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Risk Factors</w:t>
              </w:r>
            </w:hyperlink>
          </w:p>
        </w:tc>
        <w:tc>
          <w:tcPr>
            <w:tcW w:w="920" w:type="dxa"/>
            <w:vAlign w:val="bottom"/>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r>
      <w:tr>
        <w:trPr>
          <w:trHeight w:val="216"/>
        </w:trPr>
        <w:tc>
          <w:tcPr>
            <w:tcW w:w="1080" w:type="dxa"/>
            <w:vAlign w:val="bottom"/>
          </w:tcPr>
          <w:p>
            <w:pPr>
              <w:spacing w:after="0"/>
              <w:rPr>
                <w:rFonts w:ascii="Arial" w:cs="Arial" w:eastAsia="Arial" w:hAnsi="Arial"/>
                <w:sz w:val="16"/>
                <w:szCs w:val="16"/>
                <w:color w:val="0000FF"/>
              </w:rPr>
            </w:pPr>
            <w:hyperlink w:anchor="page33">
              <w:r>
                <w:rPr>
                  <w:rFonts w:ascii="Arial" w:cs="Arial" w:eastAsia="Arial" w:hAnsi="Arial"/>
                  <w:sz w:val="16"/>
                  <w:szCs w:val="16"/>
                  <w:u w:val="single" w:color="auto"/>
                  <w:color w:val="0000FF"/>
                </w:rPr>
                <w:t>Item 6</w:t>
              </w:r>
              <w:r>
                <w:rPr>
                  <w:rFonts w:ascii="Arial" w:cs="Arial" w:eastAsia="Arial" w:hAnsi="Arial"/>
                  <w:sz w:val="16"/>
                  <w:szCs w:val="16"/>
                  <w:color w:val="0000FF"/>
                </w:rPr>
                <w:t>.</w:t>
              </w:r>
            </w:hyperlink>
          </w:p>
        </w:tc>
        <w:tc>
          <w:tcPr>
            <w:tcW w:w="9200" w:type="dxa"/>
            <w:vAlign w:val="bottom"/>
          </w:tcPr>
          <w:p>
            <w:pPr>
              <w:ind w:left="4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Exhibits</w:t>
              </w:r>
            </w:hyperlink>
          </w:p>
        </w:tc>
        <w:tc>
          <w:tcPr>
            <w:tcW w:w="920" w:type="dxa"/>
            <w:vAlign w:val="bottom"/>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310"/>
        </w:trPr>
        <w:tc>
          <w:tcPr>
            <w:tcW w:w="1080" w:type="dxa"/>
            <w:vAlign w:val="bottom"/>
          </w:tcPr>
          <w:p>
            <w:pPr>
              <w:ind w:left="340"/>
              <w:spacing w:after="0"/>
              <w:rPr>
                <w:rFonts w:ascii="Arial" w:cs="Arial" w:eastAsia="Arial" w:hAnsi="Arial"/>
                <w:sz w:val="16"/>
                <w:szCs w:val="16"/>
                <w:u w:val="single" w:color="auto"/>
                <w:color w:val="0000FF"/>
                <w:w w:val="94"/>
              </w:rPr>
            </w:pPr>
            <w:hyperlink w:anchor="page35">
              <w:r>
                <w:rPr>
                  <w:rFonts w:ascii="Arial" w:cs="Arial" w:eastAsia="Arial" w:hAnsi="Arial"/>
                  <w:sz w:val="16"/>
                  <w:szCs w:val="16"/>
                  <w:u w:val="single" w:color="auto"/>
                  <w:color w:val="0000FF"/>
                  <w:w w:val="94"/>
                </w:rPr>
                <w:t>Signatures</w:t>
              </w:r>
            </w:hyperlink>
          </w:p>
        </w:tc>
        <w:tc>
          <w:tcPr>
            <w:tcW w:w="9200" w:type="dxa"/>
            <w:vAlign w:val="bottom"/>
          </w:tcPr>
          <w:p>
            <w:pPr>
              <w:spacing w:after="0"/>
              <w:rPr>
                <w:sz w:val="24"/>
                <w:szCs w:val="24"/>
                <w:color w:val="auto"/>
              </w:rPr>
            </w:pPr>
          </w:p>
        </w:tc>
        <w:tc>
          <w:tcPr>
            <w:tcW w:w="920" w:type="dxa"/>
            <w:vAlign w:val="bottom"/>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2" w:name="page3"/>
    <w:bookmarkEnd w:id="2"/>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results of operations or financial condition, future dividends, new or planned features, products or services, management strategies and the COVID-19 pandemic. You can identify many forward-looking statements by words such as “may,” “will,” “would,” “should,” “could,” “expect,” “aim,” “anticipate,” “believe,” “estimate,” “intend,” “plan” and other similar expressions. However, not all forward-looking statements contain these words. Forward-looking statements involve risks and uncertainties that could cause our actual results to differ materially from those expressed or implied in the forward-looking statements. Such risks and uncertainties include, among others, those discussed under the caption “Risk Factors” in our most recently filed Annual Report on Form 10-K, which was filed with the Securities and Exchange Commission, or the SEC, on February 13, 2020, under the caption “Risk Factors” in this Quarterly Report on Form 10-Q and in our consolidated financial statements, related notes, and the other information appearing elsewhere in such Annual Report, this Quarterly Report on Form 10-Q and our other filings with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w:t>
      </w:r>
    </w:p>
    <w:p>
      <w:pPr>
        <w:spacing w:after="0" w:line="5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Unless the context otherwise indicates, references in this Quarterly Report on Form 10-Q to the terms “Shutterstock,” “the Company,” “we,” “our” and “us” refer to Shutterstock, Inc. and its subsidiaries. “Shutterstock,” “Offset,” “Bigstock,” “Rex Features,” “PremiumBeat”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amount)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r>
      <w:tr>
        <w:trPr>
          <w:trHeight w:val="4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786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295,711</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303,261</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Accounts receivable, net of allowance of $4,553 and $3,579</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45,216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47,016</w:t>
            </w:r>
          </w:p>
        </w:tc>
      </w:tr>
      <w:tr>
        <w:trPr>
          <w:trHeight w:val="224"/>
        </w:trPr>
        <w:tc>
          <w:tcPr>
            <w:tcW w:w="78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28,769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26,703</w:t>
            </w:r>
          </w:p>
        </w:tc>
      </w:tr>
      <w:tr>
        <w:trPr>
          <w:trHeight w:val="33"/>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369,696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376,980</w:t>
            </w:r>
          </w:p>
        </w:tc>
      </w:tr>
      <w:tr>
        <w:trPr>
          <w:trHeight w:val="224"/>
        </w:trPr>
        <w:tc>
          <w:tcPr>
            <w:tcW w:w="786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56,896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58,834</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Right-of-use assets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43,430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45,453</w:t>
            </w:r>
          </w:p>
        </w:tc>
      </w:tr>
      <w:tr>
        <w:trPr>
          <w:trHeight w:val="223"/>
        </w:trPr>
        <w:tc>
          <w:tcPr>
            <w:tcW w:w="786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25,499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26,669</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88,144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88,974</w:t>
            </w:r>
          </w:p>
        </w:tc>
      </w:tr>
      <w:tr>
        <w:trPr>
          <w:trHeight w:val="224"/>
        </w:trPr>
        <w:tc>
          <w:tcPr>
            <w:tcW w:w="7860" w:type="dxa"/>
            <w:vAlign w:val="bottom"/>
          </w:tcPr>
          <w:p>
            <w:pPr>
              <w:ind w:left="220"/>
              <w:spacing w:after="0"/>
              <w:rPr>
                <w:sz w:val="20"/>
                <w:szCs w:val="20"/>
                <w:color w:val="auto"/>
              </w:rPr>
            </w:pPr>
            <w:r>
              <w:rPr>
                <w:rFonts w:ascii="Arial" w:cs="Arial" w:eastAsia="Arial" w:hAnsi="Arial"/>
                <w:sz w:val="16"/>
                <w:szCs w:val="16"/>
                <w:color w:val="auto"/>
              </w:rPr>
              <w:t>Deferred tax assets, net</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14,803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14,387</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16,497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19,215</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614,965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630,512</w:t>
            </w: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LIABILITIES AND STOCKHOLDERS </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3"/>
        </w:trPr>
        <w:tc>
          <w:tcPr>
            <w:tcW w:w="786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6,104</w:t>
            </w:r>
          </w:p>
        </w:tc>
      </w:tr>
      <w:tr>
        <w:trPr>
          <w:trHeight w:val="223"/>
        </w:trPr>
        <w:tc>
          <w:tcPr>
            <w:tcW w:w="7860" w:type="dxa"/>
            <w:vAlign w:val="bottom"/>
          </w:tcPr>
          <w:p>
            <w:pPr>
              <w:ind w:left="46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53,294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53,864</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Contributor royalties payable</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25,637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25,193</w:t>
            </w:r>
          </w:p>
        </w:tc>
      </w:tr>
      <w:tr>
        <w:trPr>
          <w:trHeight w:val="223"/>
        </w:trPr>
        <w:tc>
          <w:tcPr>
            <w:tcW w:w="7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138,883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141,922</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6"/>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18,811</w:t>
            </w:r>
          </w:p>
        </w:tc>
      </w:tr>
      <w:tr>
        <w:trPr>
          <w:trHeight w:val="217"/>
        </w:trPr>
        <w:tc>
          <w:tcPr>
            <w:tcW w:w="786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232,306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245,894</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45,522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47,313</w:t>
            </w:r>
          </w:p>
        </w:tc>
      </w:tr>
      <w:tr>
        <w:trPr>
          <w:trHeight w:val="223"/>
        </w:trPr>
        <w:tc>
          <w:tcPr>
            <w:tcW w:w="786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9,410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9,160</w:t>
            </w:r>
          </w:p>
        </w:tc>
      </w:tr>
      <w:tr>
        <w:trPr>
          <w:trHeight w:val="33"/>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287,238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302,367</w:t>
            </w:r>
          </w:p>
        </w:tc>
      </w:tr>
      <w:tr>
        <w:trPr>
          <w:trHeight w:val="203"/>
        </w:trPr>
        <w:tc>
          <w:tcPr>
            <w:tcW w:w="7860" w:type="dxa"/>
            <w:vAlign w:val="bottom"/>
          </w:tcPr>
          <w:p>
            <w:pPr>
              <w:ind w:left="220"/>
              <w:spacing w:after="0"/>
              <w:rPr>
                <w:sz w:val="20"/>
                <w:szCs w:val="20"/>
                <w:color w:val="auto"/>
              </w:rPr>
            </w:pPr>
            <w:r>
              <w:rPr>
                <w:rFonts w:ascii="Arial" w:cs="Arial" w:eastAsia="Arial" w:hAnsi="Arial"/>
                <w:sz w:val="16"/>
                <w:szCs w:val="16"/>
                <w:color w:val="auto"/>
              </w:rPr>
              <w:t>Commitments and contingencies (Note 12)</w:t>
            </w: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0"/>
        </w:trPr>
        <w:tc>
          <w:tcPr>
            <w:tcW w:w="7860" w:type="dxa"/>
            <w:vAlign w:val="bottom"/>
          </w:tcPr>
          <w:p>
            <w:pPr>
              <w:ind w:left="460"/>
              <w:spacing w:after="0"/>
              <w:rPr>
                <w:sz w:val="20"/>
                <w:szCs w:val="20"/>
                <w:color w:val="auto"/>
              </w:rPr>
            </w:pPr>
            <w:r>
              <w:rPr>
                <w:rFonts w:ascii="Arial" w:cs="Arial" w:eastAsia="Arial" w:hAnsi="Arial"/>
                <w:sz w:val="16"/>
                <w:szCs w:val="16"/>
                <w:color w:val="auto"/>
                <w:w w:val="93"/>
              </w:rPr>
              <w:t>Common stock, $0.01 par value; 200,000 shares authorized; 38,119 and 38,055 shares issued and 35,561 and</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7860" w:type="dxa"/>
            <w:vAlign w:val="bottom"/>
          </w:tcPr>
          <w:p>
            <w:pPr>
              <w:ind w:left="460"/>
              <w:spacing w:after="0"/>
              <w:rPr>
                <w:sz w:val="20"/>
                <w:szCs w:val="20"/>
                <w:color w:val="auto"/>
              </w:rPr>
            </w:pPr>
            <w:r>
              <w:rPr>
                <w:rFonts w:ascii="Arial" w:cs="Arial" w:eastAsia="Arial" w:hAnsi="Arial"/>
                <w:sz w:val="16"/>
                <w:szCs w:val="16"/>
                <w:color w:val="auto"/>
              </w:rPr>
              <w:t>35,497 shares outstanding as of March 31, 2020 and December 31, 2019, respectively</w:t>
            </w:r>
          </w:p>
        </w:tc>
        <w:tc>
          <w:tcPr>
            <w:tcW w:w="3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381</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Treasury stock, at cost; 2,558 shares as of March 31, 2020 and December 31, 2019</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(100,027)</w:t>
            </w:r>
          </w:p>
        </w:tc>
      </w:tr>
      <w:tr>
        <w:trPr>
          <w:trHeight w:val="223"/>
        </w:trPr>
        <w:tc>
          <w:tcPr>
            <w:tcW w:w="786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316,823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312,824</w:t>
            </w: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Accumulated comprehensive loss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(6,220)</w:t>
            </w:r>
          </w:p>
        </w:tc>
      </w:tr>
      <w:tr>
        <w:trPr>
          <w:trHeight w:val="224"/>
        </w:trPr>
        <w:tc>
          <w:tcPr>
            <w:tcW w:w="7860" w:type="dxa"/>
            <w:vAlign w:val="bottom"/>
          </w:tcPr>
          <w:p>
            <w:pPr>
              <w:ind w:left="46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119,218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121,187</w:t>
            </w:r>
          </w:p>
        </w:tc>
      </w:tr>
      <w:tr>
        <w:trPr>
          <w:trHeight w:val="33"/>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327,727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328,145</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614,965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630,512</w:t>
            </w: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13335</wp:posOffset>
            </wp:positionV>
            <wp:extent cx="1645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148"/>
        </w:trPr>
        <w:tc>
          <w:tcPr>
            <w:tcW w:w="8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161,285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163,332</w:t>
            </w:r>
          </w:p>
        </w:tc>
      </w:tr>
      <w:tr>
        <w:trPr>
          <w:trHeight w:val="216"/>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852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69,123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69,218</w:t>
            </w:r>
          </w:p>
        </w:tc>
      </w:tr>
      <w:tr>
        <w:trPr>
          <w:trHeight w:val="33"/>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42,660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44,446</w:t>
            </w:r>
          </w:p>
        </w:tc>
      </w:tr>
      <w:tr>
        <w:trPr>
          <w:trHeight w:val="223"/>
        </w:trPr>
        <w:tc>
          <w:tcPr>
            <w:tcW w:w="8520" w:type="dxa"/>
            <w:vAlign w:val="bottom"/>
          </w:tcPr>
          <w:p>
            <w:pPr>
              <w:ind w:left="12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13,069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14,986</w:t>
            </w:r>
          </w:p>
        </w:tc>
      </w:tr>
      <w:tr>
        <w:trPr>
          <w:trHeight w:val="33"/>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30,652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26,583</w:t>
            </w:r>
          </w:p>
        </w:tc>
      </w:tr>
      <w:tr>
        <w:trPr>
          <w:trHeight w:val="217"/>
        </w:trPr>
        <w:tc>
          <w:tcPr>
            <w:tcW w:w="852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155,504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155,233</w:t>
            </w:r>
          </w:p>
        </w:tc>
      </w:tr>
      <w:tr>
        <w:trPr>
          <w:trHeight w:val="33"/>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8,099</w:t>
            </w: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896</w:t>
            </w:r>
          </w:p>
        </w:tc>
      </w:tr>
      <w:tr>
        <w:trPr>
          <w:trHeight w:val="33"/>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8,995</w:t>
            </w: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1,473</w:t>
            </w:r>
          </w:p>
        </w:tc>
      </w:tr>
      <w:tr>
        <w:trPr>
          <w:trHeight w:val="33"/>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5"/>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7,522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852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0.21</w:t>
            </w:r>
          </w:p>
        </w:tc>
      </w:tr>
      <w:tr>
        <w:trPr>
          <w:trHeight w:val="33"/>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5"/>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0.21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852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35,114</w:t>
            </w:r>
          </w:p>
        </w:tc>
      </w:tr>
      <w:tr>
        <w:trPr>
          <w:trHeight w:val="33"/>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5"/>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35,491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 w:name="page6"/>
    <w:bookmarkEnd w:id="5"/>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13335</wp:posOffset>
            </wp:positionV>
            <wp:extent cx="1482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02"/>
        </w:trPr>
        <w:tc>
          <w:tcPr>
            <w:tcW w:w="8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center"/>
              <w:ind w:left="81"/>
              <w:spacing w:after="0"/>
              <w:rPr>
                <w:sz w:val="20"/>
                <w:szCs w:val="20"/>
                <w:color w:val="auto"/>
              </w:rPr>
            </w:pPr>
            <w:r>
              <w:rPr>
                <w:rFonts w:ascii="Arial" w:cs="Arial" w:eastAsia="Arial" w:hAnsi="Arial"/>
                <w:sz w:val="16"/>
                <w:szCs w:val="16"/>
                <w:color w:val="auto"/>
                <w:w w:val="89"/>
              </w:rPr>
              <w:t>4,318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7,522</w:t>
            </w:r>
          </w:p>
        </w:tc>
      </w:tr>
      <w:tr>
        <w:trPr>
          <w:trHeight w:val="224"/>
        </w:trPr>
        <w:tc>
          <w:tcPr>
            <w:tcW w:w="8860" w:type="dxa"/>
            <w:vAlign w:val="bottom"/>
          </w:tcPr>
          <w:p>
            <w:pPr>
              <w:ind w:left="120"/>
              <w:spacing w:after="0"/>
              <w:rPr>
                <w:sz w:val="20"/>
                <w:szCs w:val="20"/>
                <w:color w:val="auto"/>
              </w:rPr>
            </w:pPr>
            <w:r>
              <w:rPr>
                <w:rFonts w:ascii="Arial" w:cs="Arial" w:eastAsia="Arial" w:hAnsi="Arial"/>
                <w:sz w:val="16"/>
                <w:szCs w:val="16"/>
                <w:color w:val="auto"/>
              </w:rPr>
              <w:t>Foreign currency translation (loss) / gain</w:t>
            </w:r>
          </w:p>
        </w:tc>
        <w:tc>
          <w:tcPr>
            <w:tcW w:w="260" w:type="dxa"/>
            <w:vAlign w:val="bottom"/>
          </w:tcPr>
          <w:p>
            <w:pPr>
              <w:spacing w:after="0"/>
              <w:rPr>
                <w:sz w:val="19"/>
                <w:szCs w:val="19"/>
                <w:color w:val="auto"/>
              </w:rPr>
            </w:pPr>
          </w:p>
        </w:tc>
        <w:tc>
          <w:tcPr>
            <w:tcW w:w="840" w:type="dxa"/>
            <w:vAlign w:val="bottom"/>
          </w:tcPr>
          <w:p>
            <w:pPr>
              <w:jc w:val="center"/>
              <w:ind w:left="61"/>
              <w:spacing w:after="0"/>
              <w:rPr>
                <w:sz w:val="20"/>
                <w:szCs w:val="20"/>
                <w:color w:val="auto"/>
              </w:rPr>
            </w:pPr>
            <w:r>
              <w:rPr>
                <w:rFonts w:ascii="Arial" w:cs="Arial" w:eastAsia="Arial" w:hAnsi="Arial"/>
                <w:sz w:val="16"/>
                <w:szCs w:val="16"/>
                <w:color w:val="auto"/>
                <w:w w:val="90"/>
              </w:rPr>
              <w:t>(2,448)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45</w:t>
            </w:r>
          </w:p>
        </w:tc>
      </w:tr>
      <w:tr>
        <w:trPr>
          <w:trHeight w:val="33"/>
        </w:trPr>
        <w:tc>
          <w:tcPr>
            <w:tcW w:w="8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 gain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61"/>
              <w:spacing w:after="0"/>
              <w:rPr>
                <w:sz w:val="20"/>
                <w:szCs w:val="20"/>
                <w:color w:val="auto"/>
              </w:rPr>
            </w:pPr>
            <w:r>
              <w:rPr>
                <w:rFonts w:ascii="Arial" w:cs="Arial" w:eastAsia="Arial" w:hAnsi="Arial"/>
                <w:sz w:val="16"/>
                <w:szCs w:val="16"/>
                <w:color w:val="auto"/>
                <w:w w:val="90"/>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45</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center"/>
              <w:ind w:left="81"/>
              <w:spacing w:after="0"/>
              <w:rPr>
                <w:sz w:val="20"/>
                <w:szCs w:val="20"/>
                <w:color w:val="auto"/>
              </w:rPr>
            </w:pPr>
            <w:r>
              <w:rPr>
                <w:rFonts w:ascii="Arial" w:cs="Arial" w:eastAsia="Arial" w:hAnsi="Arial"/>
                <w:sz w:val="16"/>
                <w:szCs w:val="16"/>
                <w:color w:val="auto"/>
                <w:w w:val="89"/>
              </w:rPr>
              <w:t>1,870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7,567</w:t>
            </w:r>
          </w:p>
        </w:tc>
      </w:tr>
      <w:tr>
        <w:trPr>
          <w:trHeight w:val="33"/>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60" w:type="dxa"/>
            <w:vAlign w:val="bottom"/>
          </w:tcPr>
          <w:p>
            <w:pPr>
              <w:spacing w:after="0"/>
              <w:rPr>
                <w:sz w:val="10"/>
                <w:szCs w:val="10"/>
                <w:color w:val="auto"/>
              </w:rPr>
            </w:pPr>
          </w:p>
        </w:tc>
        <w:tc>
          <w:tcPr>
            <w:tcW w:w="1600" w:type="dxa"/>
            <w:vAlign w:val="bottom"/>
            <w:gridSpan w:val="5"/>
          </w:tcPr>
          <w:p>
            <w:pPr>
              <w:ind w:left="400"/>
              <w:spacing w:after="0" w:line="122" w:lineRule="exact"/>
              <w:rPr>
                <w:sz w:val="20"/>
                <w:szCs w:val="20"/>
                <w:color w:val="auto"/>
              </w:rPr>
            </w:pPr>
            <w:r>
              <w:rPr>
                <w:rFonts w:ascii="Arial" w:cs="Arial" w:eastAsia="Arial" w:hAnsi="Arial"/>
                <w:sz w:val="11"/>
                <w:szCs w:val="11"/>
                <w:b w:val="1"/>
                <w:bCs w:val="1"/>
                <w:color w:val="auto"/>
              </w:rPr>
              <w:t>Common Stock</w:t>
            </w:r>
          </w:p>
        </w:tc>
        <w:tc>
          <w:tcPr>
            <w:tcW w:w="1760" w:type="dxa"/>
            <w:vAlign w:val="bottom"/>
            <w:gridSpan w:val="5"/>
          </w:tcPr>
          <w:p>
            <w:pPr>
              <w:ind w:left="480"/>
              <w:spacing w:after="0" w:line="122" w:lineRule="exact"/>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8"/>
              </w:rPr>
              <w:t>Other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center"/>
              <w:ind w:right="280"/>
              <w:spacing w:after="0" w:line="12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3"/>
                <w:szCs w:val="3"/>
                <w:color w:val="auto"/>
              </w:rPr>
            </w:pPr>
          </w:p>
        </w:tc>
        <w:tc>
          <w:tcPr>
            <w:tcW w:w="10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1"/>
                <w:szCs w:val="11"/>
                <w:b w:val="1"/>
                <w:bCs w:val="1"/>
                <w:color w:val="auto"/>
                <w:w w:val="84"/>
              </w:rPr>
              <w:t>Comprehensive</w:t>
            </w:r>
          </w:p>
        </w:tc>
        <w:tc>
          <w:tcPr>
            <w:tcW w:w="140" w:type="dxa"/>
            <w:vAlign w:val="bottom"/>
          </w:tcPr>
          <w:p>
            <w:pPr>
              <w:spacing w:after="0"/>
              <w:rPr>
                <w:sz w:val="3"/>
                <w:szCs w:val="3"/>
                <w:color w:val="auto"/>
              </w:rPr>
            </w:pPr>
          </w:p>
        </w:tc>
        <w:tc>
          <w:tcPr>
            <w:tcW w:w="8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9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77"/>
              </w:rPr>
              <w:t>Loss</w:t>
            </w: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3"/>
                <w:szCs w:val="13"/>
                <w:color w:val="auto"/>
              </w:rPr>
            </w:pPr>
          </w:p>
        </w:tc>
        <w:tc>
          <w:tcPr>
            <w:tcW w:w="680" w:type="dxa"/>
            <w:vAlign w:val="bottom"/>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2"/>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7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38,055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381</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2,558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(100,027)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312,824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(6,220)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121,187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328,145</w:t>
            </w:r>
          </w:p>
        </w:tc>
        <w:tc>
          <w:tcPr>
            <w:tcW w:w="0" w:type="dxa"/>
            <w:vAlign w:val="bottom"/>
          </w:tcPr>
          <w:p>
            <w:pPr>
              <w:spacing w:after="0"/>
              <w:rPr>
                <w:sz w:val="1"/>
                <w:szCs w:val="1"/>
                <w:color w:val="auto"/>
              </w:rPr>
            </w:pPr>
          </w:p>
        </w:tc>
      </w:tr>
      <w:tr>
        <w:trPr>
          <w:trHeight w:val="197"/>
        </w:trPr>
        <w:tc>
          <w:tcPr>
            <w:tcW w:w="3960" w:type="dxa"/>
            <w:vAlign w:val="bottom"/>
          </w:tcPr>
          <w:p>
            <w:pPr>
              <w:ind w:left="120"/>
              <w:spacing w:after="0"/>
              <w:rPr>
                <w:sz w:val="20"/>
                <w:szCs w:val="20"/>
                <w:color w:val="auto"/>
              </w:rPr>
            </w:pPr>
            <w:r>
              <w:rPr>
                <w:rFonts w:ascii="Arial" w:cs="Arial" w:eastAsia="Arial" w:hAnsi="Arial"/>
                <w:sz w:val="14"/>
                <w:szCs w:val="14"/>
                <w:color w:val="auto"/>
              </w:rPr>
              <w:t>Cumulative effect of accounting change (Note 1)</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2"/>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2020</w:t>
            </w:r>
          </w:p>
        </w:tc>
        <w:tc>
          <w:tcPr>
            <w:tcW w:w="7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38,055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381</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2,558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(100,027)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312,824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(6,220)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120,940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327,898</w:t>
            </w:r>
          </w:p>
        </w:tc>
        <w:tc>
          <w:tcPr>
            <w:tcW w:w="0" w:type="dxa"/>
            <w:vAlign w:val="bottom"/>
          </w:tcPr>
          <w:p>
            <w:pPr>
              <w:spacing w:after="0"/>
              <w:rPr>
                <w:sz w:val="1"/>
                <w:szCs w:val="1"/>
                <w:color w:val="auto"/>
              </w:rPr>
            </w:pPr>
          </w:p>
        </w:tc>
      </w:tr>
      <w:tr>
        <w:trPr>
          <w:trHeight w:val="196"/>
        </w:trPr>
        <w:tc>
          <w:tcPr>
            <w:tcW w:w="396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5,760</w:t>
            </w: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Issuance of common stock in connection with employee stock</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option exercises and RSU vesting</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60" w:type="dxa"/>
            <w:vAlign w:val="bottom"/>
          </w:tcPr>
          <w:p>
            <w:pPr>
              <w:ind w:left="120"/>
              <w:spacing w:after="0" w:line="157" w:lineRule="exact"/>
              <w:rPr>
                <w:sz w:val="20"/>
                <w:szCs w:val="20"/>
                <w:color w:val="auto"/>
              </w:rPr>
            </w:pPr>
            <w:r>
              <w:rPr>
                <w:rFonts w:ascii="Arial" w:cs="Arial" w:eastAsia="Arial" w:hAnsi="Arial"/>
                <w:sz w:val="14"/>
                <w:szCs w:val="14"/>
                <w:color w:val="auto"/>
                <w:w w:val="98"/>
              </w:rPr>
              <w:t>Common shares withheld for settlement of taxes in connection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60" w:type="dxa"/>
            <w:vAlign w:val="bottom"/>
          </w:tcPr>
          <w:p>
            <w:pPr>
              <w:ind w:left="120"/>
              <w:spacing w:after="0"/>
              <w:rPr>
                <w:sz w:val="20"/>
                <w:szCs w:val="20"/>
                <w:color w:val="auto"/>
              </w:rPr>
            </w:pPr>
            <w:r>
              <w:rPr>
                <w:rFonts w:ascii="Arial" w:cs="Arial" w:eastAsia="Arial" w:hAnsi="Arial"/>
                <w:sz w:val="14"/>
                <w:szCs w:val="14"/>
                <w:color w:val="auto"/>
              </w:rPr>
              <w:t>with equity-based compensation</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dividends paid, $0.17 per common share</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197"/>
        </w:trPr>
        <w:tc>
          <w:tcPr>
            <w:tcW w:w="396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(2,448)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4,318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202"/>
        </w:trPr>
        <w:tc>
          <w:tcPr>
            <w:tcW w:w="396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38,119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(100,027)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316,823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(8,668)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119,218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327,727</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9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2019</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37,618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(100,027)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291,710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(6,471)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101,079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286,667</w:t>
            </w:r>
          </w:p>
        </w:tc>
        <w:tc>
          <w:tcPr>
            <w:tcW w:w="0" w:type="dxa"/>
            <w:vAlign w:val="bottom"/>
          </w:tcPr>
          <w:p>
            <w:pPr>
              <w:spacing w:after="0"/>
              <w:rPr>
                <w:sz w:val="1"/>
                <w:szCs w:val="1"/>
                <w:color w:val="auto"/>
              </w:rPr>
            </w:pPr>
          </w:p>
        </w:tc>
      </w:tr>
      <w:tr>
        <w:trPr>
          <w:trHeight w:val="196"/>
        </w:trPr>
        <w:tc>
          <w:tcPr>
            <w:tcW w:w="396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4,624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4,624</w:t>
            </w: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Issuance of common stock in connection with employee stock</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option exercises and RSU vesting</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57"/>
        </w:trPr>
        <w:tc>
          <w:tcPr>
            <w:tcW w:w="3960" w:type="dxa"/>
            <w:vAlign w:val="bottom"/>
          </w:tcPr>
          <w:p>
            <w:pPr>
              <w:ind w:left="120"/>
              <w:spacing w:after="0" w:line="157" w:lineRule="exact"/>
              <w:rPr>
                <w:sz w:val="20"/>
                <w:szCs w:val="20"/>
                <w:color w:val="auto"/>
              </w:rPr>
            </w:pPr>
            <w:r>
              <w:rPr>
                <w:rFonts w:ascii="Arial" w:cs="Arial" w:eastAsia="Arial" w:hAnsi="Arial"/>
                <w:sz w:val="14"/>
                <w:szCs w:val="14"/>
                <w:color w:val="auto"/>
                <w:w w:val="98"/>
              </w:rPr>
              <w:t>Common shares withheld for settlement of taxes in connection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60" w:type="dxa"/>
            <w:vAlign w:val="bottom"/>
          </w:tcPr>
          <w:p>
            <w:pPr>
              <w:ind w:left="120"/>
              <w:spacing w:after="0"/>
              <w:rPr>
                <w:sz w:val="20"/>
                <w:szCs w:val="20"/>
                <w:color w:val="auto"/>
              </w:rPr>
            </w:pPr>
            <w:r>
              <w:rPr>
                <w:rFonts w:ascii="Arial" w:cs="Arial" w:eastAsia="Arial" w:hAnsi="Arial"/>
                <w:sz w:val="14"/>
                <w:szCs w:val="14"/>
                <w:color w:val="auto"/>
              </w:rPr>
              <w:t>with equity-based compensation</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(4,090)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6"/>
        </w:trPr>
        <w:tc>
          <w:tcPr>
            <w:tcW w:w="39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7,522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7,522</w:t>
            </w:r>
          </w:p>
        </w:tc>
        <w:tc>
          <w:tcPr>
            <w:tcW w:w="0" w:type="dxa"/>
            <w:vAlign w:val="bottom"/>
          </w:tcPr>
          <w:p>
            <w:pPr>
              <w:spacing w:after="0"/>
              <w:rPr>
                <w:sz w:val="1"/>
                <w:szCs w:val="1"/>
                <w:color w:val="auto"/>
              </w:rPr>
            </w:pPr>
          </w:p>
        </w:tc>
      </w:tr>
      <w:tr>
        <w:trPr>
          <w:trHeight w:val="227"/>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7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37,759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2,558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(100,027)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292,458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(6,426)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108,601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294,984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13335</wp:posOffset>
            </wp:positionV>
            <wp:extent cx="1817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02"/>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7,522</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83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10,519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11,916</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699</w:t>
            </w:r>
          </w:p>
        </w:tc>
      </w:tr>
      <w:tr>
        <w:trPr>
          <w:trHeight w:val="224"/>
        </w:trPr>
        <w:tc>
          <w:tcPr>
            <w:tcW w:w="8340" w:type="dxa"/>
            <w:vAlign w:val="bottom"/>
          </w:tcPr>
          <w:p>
            <w:pPr>
              <w:ind w:left="220"/>
              <w:spacing w:after="0"/>
              <w:rPr>
                <w:sz w:val="20"/>
                <w:szCs w:val="20"/>
                <w:color w:val="auto"/>
              </w:rPr>
            </w:pPr>
            <w:r>
              <w:rPr>
                <w:rFonts w:ascii="Arial" w:cs="Arial" w:eastAsia="Arial" w:hAnsi="Arial"/>
                <w:sz w:val="16"/>
                <w:szCs w:val="16"/>
                <w:color w:val="auto"/>
              </w:rPr>
              <w:t>Non-cash equity-based compensation</w:t>
            </w:r>
          </w:p>
        </w:tc>
        <w:tc>
          <w:tcPr>
            <w:tcW w:w="32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4,624</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Bad debt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r>
      <w:tr>
        <w:trPr>
          <w:trHeight w:val="224"/>
        </w:trPr>
        <w:tc>
          <w:tcPr>
            <w:tcW w:w="83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(3,812)</w:t>
            </w:r>
          </w:p>
        </w:tc>
      </w:tr>
      <w:tr>
        <w:trPr>
          <w:trHeight w:val="224"/>
        </w:trPr>
        <w:tc>
          <w:tcPr>
            <w:tcW w:w="8340" w:type="dxa"/>
            <w:vAlign w:val="bottom"/>
          </w:tcPr>
          <w:p>
            <w:pPr>
              <w:ind w:left="460"/>
              <w:spacing w:after="0"/>
              <w:rPr>
                <w:sz w:val="20"/>
                <w:szCs w:val="20"/>
                <w:color w:val="auto"/>
              </w:rPr>
            </w:pPr>
            <w:r>
              <w:rPr>
                <w:rFonts w:ascii="Arial" w:cs="Arial" w:eastAsia="Arial" w:hAnsi="Arial"/>
                <w:sz w:val="16"/>
                <w:szCs w:val="16"/>
                <w:color w:val="auto"/>
              </w:rPr>
              <w:t>Prepaid expenses and other current and non-current assets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(2,782)</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payable and other current and non-current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1,994</w:t>
            </w:r>
          </w:p>
        </w:tc>
      </w:tr>
      <w:tr>
        <w:trPr>
          <w:trHeight w:val="224"/>
        </w:trPr>
        <w:tc>
          <w:tcPr>
            <w:tcW w:w="8340" w:type="dxa"/>
            <w:vAlign w:val="bottom"/>
          </w:tcPr>
          <w:p>
            <w:pPr>
              <w:ind w:left="460"/>
              <w:spacing w:after="0"/>
              <w:rPr>
                <w:sz w:val="20"/>
                <w:szCs w:val="20"/>
                <w:color w:val="auto"/>
              </w:rPr>
            </w:pPr>
            <w:r>
              <w:rPr>
                <w:rFonts w:ascii="Arial" w:cs="Arial" w:eastAsia="Arial" w:hAnsi="Arial"/>
                <w:sz w:val="16"/>
                <w:szCs w:val="16"/>
                <w:color w:val="auto"/>
              </w:rPr>
              <w:t>Long-term incentives related to acquisitions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Contributor royalties payable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2,138</w:t>
            </w:r>
          </w:p>
        </w:tc>
      </w:tr>
      <w:tr>
        <w:trPr>
          <w:trHeight w:val="223"/>
        </w:trPr>
        <w:tc>
          <w:tcPr>
            <w:tcW w:w="834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(1,958)</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19,709</w:t>
            </w:r>
          </w:p>
        </w:tc>
      </w:tr>
      <w:tr>
        <w:trPr>
          <w:trHeight w:val="196"/>
        </w:trPr>
        <w:tc>
          <w:tcPr>
            <w:tcW w:w="83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83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(7,253)</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sale of Webdam, net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2,500</w:t>
            </w:r>
          </w:p>
        </w:tc>
      </w:tr>
      <w:tr>
        <w:trPr>
          <w:trHeight w:val="223"/>
        </w:trPr>
        <w:tc>
          <w:tcPr>
            <w:tcW w:w="8340" w:type="dxa"/>
            <w:vAlign w:val="bottom"/>
          </w:tcPr>
          <w:p>
            <w:pPr>
              <w:ind w:left="220"/>
              <w:spacing w:after="0"/>
              <w:rPr>
                <w:sz w:val="20"/>
                <w:szCs w:val="20"/>
                <w:color w:val="auto"/>
              </w:rPr>
            </w:pPr>
            <w:r>
              <w:rPr>
                <w:rFonts w:ascii="Arial" w:cs="Arial" w:eastAsia="Arial" w:hAnsi="Arial"/>
                <w:sz w:val="16"/>
                <w:szCs w:val="16"/>
                <w:color w:val="auto"/>
              </w:rPr>
              <w:t>Acquisition of content</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Security deposit release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(8,411)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(5,298)</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8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w:t>
            </w:r>
          </w:p>
        </w:tc>
      </w:tr>
      <w:tr>
        <w:trPr>
          <w:trHeight w:val="223"/>
        </w:trPr>
        <w:tc>
          <w:tcPr>
            <w:tcW w:w="8340" w:type="dxa"/>
            <w:vAlign w:val="bottom"/>
          </w:tcPr>
          <w:p>
            <w:pPr>
              <w:ind w:left="220"/>
              <w:spacing w:after="0"/>
              <w:rPr>
                <w:sz w:val="20"/>
                <w:szCs w:val="20"/>
                <w:color w:val="auto"/>
              </w:rPr>
            </w:pPr>
            <w:r>
              <w:rPr>
                <w:rFonts w:ascii="Arial" w:cs="Arial" w:eastAsia="Arial" w:hAnsi="Arial"/>
                <w:sz w:val="16"/>
                <w:szCs w:val="16"/>
                <w:color w:val="auto"/>
              </w:rPr>
              <w:t>Cash paid related to settlement of employee taxes related to RSU vesting</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(4,090)</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 of cash dividend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(7,801)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(3,876)</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8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(1,246)</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9,289</w:t>
            </w:r>
          </w:p>
        </w:tc>
      </w:tr>
      <w:tr>
        <w:trPr>
          <w:trHeight w:val="216"/>
        </w:trPr>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305,874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233,465</w:t>
            </w:r>
          </w:p>
        </w:tc>
      </w:tr>
      <w:tr>
        <w:trPr>
          <w:trHeight w:val="217"/>
        </w:trPr>
        <w:tc>
          <w:tcPr>
            <w:tcW w:w="83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295,711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242,754</w:t>
            </w:r>
          </w:p>
        </w:tc>
      </w:tr>
      <w:tr>
        <w:trPr>
          <w:trHeight w:val="33"/>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Information: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305</w:t>
            </w:r>
          </w:p>
        </w:tc>
      </w:tr>
      <w:tr>
        <w:trPr>
          <w:trHeight w:val="33"/>
        </w:trPr>
        <w:tc>
          <w:tcPr>
            <w:tcW w:w="8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15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Shutterstock (the “Company” or “Shutterstock”) is a global technology company offering a creative platform, which provides high-quality content, tools and services to creative professionals. The content licensed by the Company’s customers includes:</w:t>
      </w:r>
    </w:p>
    <w:p>
      <w:pPr>
        <w:spacing w:after="0" w:line="89" w:lineRule="exact"/>
        <w:rPr>
          <w:sz w:val="20"/>
          <w:szCs w:val="20"/>
          <w:color w:val="auto"/>
        </w:rPr>
      </w:pPr>
    </w:p>
    <w:p>
      <w:pPr>
        <w:ind w:left="980" w:right="220" w:hanging="32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2" w:lineRule="exact"/>
        <w:rPr>
          <w:rFonts w:ascii="Arial" w:cs="Arial" w:eastAsia="Arial" w:hAnsi="Arial"/>
          <w:sz w:val="18"/>
          <w:szCs w:val="18"/>
          <w:color w:val="auto"/>
        </w:rPr>
      </w:pPr>
    </w:p>
    <w:p>
      <w:pPr>
        <w:ind w:left="980" w:right="380" w:hanging="324"/>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38" w:lineRule="exact"/>
        <w:rPr>
          <w:rFonts w:ascii="Arial" w:cs="Arial" w:eastAsia="Arial" w:hAnsi="Arial"/>
          <w:sz w:val="17"/>
          <w:szCs w:val="17"/>
          <w:color w:val="auto"/>
        </w:rPr>
      </w:pPr>
    </w:p>
    <w:p>
      <w:pPr>
        <w:ind w:left="1020" w:hanging="36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5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licenses content to its customers. Contributors upload their content to the Company’s web properties in exchange for royalty payments based on customer download activity.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1"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The interim Consolidated Balance Sheet as of March 31, 2020, and the Consolidated Statements of Operations, Comprehensive Income, Stockholders’ Equity and Cash Flows for the three months ended March 31, 2020 and 2019, are unaudited. The Consolidated Balance Sheet as of December 31, 2019,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March 31, 2020, and its consolidated results of operations, comprehensive income, stockholders’ equity and cash flows for the three months ended March 31, 2020 and 2019. The financial data and the other financial information disclosed in the notes to the financial statements related to these periods are also unaudited. The results of operations for the three months ended March 31, 2020 are not necessarily indicative of the results to be expected for the fiscal year ending December 31, 2020 or for any other future annual or interim period.</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These financial statements should be read in conjunction with the Company’s audited consolidated financial statements and notes thereto as of and for the year ended December 31, 2019 included in the Company’s Annual Report on Form 10-K, which was filed with the SEC on February 13, 2020.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grant-date fair value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represents the Company’s cash and cash equivalents and restricted cash balances as of March 31, 2020 and December 31, 2019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2020</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As of December 31, 2019</w:t>
            </w:r>
          </w:p>
        </w:tc>
      </w:tr>
      <w:tr>
        <w:trPr>
          <w:trHeight w:val="23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295,711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303,261</w:t>
            </w: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2,613</w:t>
            </w:r>
          </w:p>
        </w:tc>
      </w:tr>
      <w:tr>
        <w:trPr>
          <w:trHeight w:val="33"/>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295,711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305,874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cash and cash equivalents consist of cash on hand and bank deposits. These assets are stated at cost, which approximates fair value.</w:t>
      </w:r>
    </w:p>
    <w:p>
      <w:pPr>
        <w:spacing w:after="0" w:line="248" w:lineRule="exact"/>
        <w:rPr>
          <w:sz w:val="20"/>
          <w:szCs w:val="20"/>
          <w:color w:val="auto"/>
        </w:rPr>
      </w:pPr>
    </w:p>
    <w:p>
      <w:pPr>
        <w:jc w:val="both"/>
        <w:ind w:right="140" w:firstLine="405"/>
        <w:spacing w:after="0" w:line="277" w:lineRule="auto"/>
        <w:rPr>
          <w:sz w:val="20"/>
          <w:szCs w:val="20"/>
          <w:color w:val="auto"/>
        </w:rPr>
      </w:pPr>
      <w:r>
        <w:rPr>
          <w:rFonts w:ascii="Arial" w:cs="Arial" w:eastAsia="Arial" w:hAnsi="Arial"/>
          <w:sz w:val="18"/>
          <w:szCs w:val="18"/>
          <w:color w:val="auto"/>
        </w:rPr>
        <w:t>As of March 31, 2020, the Company was no longer required to provide cash collateral for its letter of credit for its New York City headquarters, and, accordingly, these funds are no longer restricted.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w:t>
      </w:r>
    </w:p>
    <w:p>
      <w:pPr>
        <w:spacing w:after="0" w:line="63"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 xml:space="preserve">Historically, the Company used an incurred loss model to calculate its allowance for doubtful accounts. Upon the adoption of ASU 2016-13, </w:t>
      </w:r>
      <w:r>
        <w:rPr>
          <w:rFonts w:ascii="Arial" w:cs="Arial" w:eastAsia="Arial" w:hAnsi="Arial"/>
          <w:sz w:val="18"/>
          <w:szCs w:val="18"/>
          <w:i w:val="1"/>
          <w:iCs w:val="1"/>
          <w:color w:val="auto"/>
        </w:rPr>
        <w:t xml:space="preserve">Financial Instruments - Credit Losses (Topic 326): Measurement of Credit Losses of Financial Instruments </w:t>
      </w:r>
      <w:r>
        <w:rPr>
          <w:rFonts w:ascii="Arial" w:cs="Arial" w:eastAsia="Arial" w:hAnsi="Arial"/>
          <w:sz w:val="18"/>
          <w:szCs w:val="18"/>
          <w:color w:val="auto"/>
        </w:rPr>
        <w:t>(“ASU 2016-13”) on January 1,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shifted to a current expected credit loss model.</w:t>
      </w:r>
    </w:p>
    <w:p>
      <w:pPr>
        <w:spacing w:after="0" w:line="76"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During the three months ended March 31, 2020, the Company recorded bad debt expense of $0.7 million. As of March 31, 2020 and December 31, 2019, the Company’s allowance for doubtful accounts was approximately $4.6 million and $3.6 million, respectively, which are included as a reduction of accounts receivable on the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Chargeback and Sales Refund Allowance</w:t>
      </w:r>
    </w:p>
    <w:p>
      <w:pPr>
        <w:spacing w:after="0" w:line="117"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The Company establishes a chargeback allowance and sales refund reserve allowance based on factors surrounding historical credit card chargeback trends, historical sales refund trends and other information. As of March 31, 2020 and December 31, 2019, the Company’s combined allowance for chargebacks and sales refunds was $0.3 million, which was included as a component of other current liabilities on the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540" w:firstLine="405"/>
        <w:spacing w:after="0" w:line="263" w:lineRule="auto"/>
        <w:rPr>
          <w:sz w:val="20"/>
          <w:szCs w:val="20"/>
          <w:color w:val="auto"/>
        </w:rPr>
      </w:pPr>
      <w:r>
        <w:rPr>
          <w:rFonts w:ascii="Arial" w:cs="Arial" w:eastAsia="Arial" w:hAnsi="Arial"/>
          <w:sz w:val="18"/>
          <w:szCs w:val="18"/>
          <w:color w:val="auto"/>
        </w:rPr>
        <w:t>The majority of the Company’s revenue is earned from the license of content.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w:t>
      </w:r>
    </w:p>
    <w:p>
      <w:pPr>
        <w:spacing w:after="0" w:line="76"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Company recognizes revenue upon the satisfaction of performance obligations, which generally occurs when content is downloaded by a customer. The Company recognizes revenue on both its subscription-based and transaction-based sales when content is downloaded, at which time the license is provided. In addition, management estimates expected unused licenses for subscription-based products and recognizes the revenue associated with the unused licenses throughout the subscription period. The estimate of unused licenses is based on historical download activity and future changes in the estimate could impact the timing of revenue recognition of the Company’s subscription products. The Company expenses contract acquisition costs as incurred, to the extent that the amortization period would otherwise be one year or less.</w:t>
      </w:r>
    </w:p>
    <w:p>
      <w:pPr>
        <w:spacing w:after="0" w:line="11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Collectability is reasonably assured at the time the electronic order or contract is entered. The majority of the Company’s customers purchase products by making an electronic payment with a credit card at the time of a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200" w:lineRule="exact"/>
        <w:rPr>
          <w:sz w:val="20"/>
          <w:szCs w:val="20"/>
          <w:color w:val="auto"/>
        </w:rPr>
      </w:pPr>
    </w:p>
    <w:p>
      <w:pPr>
        <w:spacing w:after="0" w:line="38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 Updates</w:t>
      </w:r>
    </w:p>
    <w:p>
      <w:pPr>
        <w:spacing w:after="0" w:line="15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June 2016, the FASB issued ASU 2016-13, which as amended, replaces the current incurred loss impairment methodology with a methodology that reflects expected credit losses. The ASU is intended to provide financial statement users with more decision-useful information about the expected credit losses on financial instruments and other commitments to extend credit held by a reporting entity at each reporting date. Adoption of this guidance is required, prospectively, for annual periods beginning after December 15, 2019, with early adoption permitted for annual periods beginning after December 15, 2018. The Company adopted ASU 2016-13, as amended, effective January 1, 2020 using the modified retrospective method and recorded a cumulative-effect adjustment of $0.2 million, net of tax, in retained earnings as of January 1, 2020.</w:t>
      </w:r>
    </w:p>
    <w:p>
      <w:pPr>
        <w:spacing w:after="0" w:line="9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 Measurements</w:t>
      </w:r>
      <w:r>
        <w:rPr>
          <w:rFonts w:ascii="Arial" w:cs="Arial" w:eastAsia="Arial" w:hAnsi="Arial"/>
          <w:sz w:val="18"/>
          <w:szCs w:val="18"/>
          <w:color w:val="auto"/>
        </w:rPr>
        <w:t xml:space="preserve"> (“ASU 2018-13”), which eliminates, adds and modifies certain disclosure requirements for fair value measurements as part of the FASB’s disclosure framework project. Adoption of this guidance is required for fiscal years and interim periods within those fiscal years, beginning after December 15, 2019. The Company adopted ASU 2018-13, effective January 1, 2020. The impact of adoption of this standard on the consolidated financial statements, including accounting policies, processes and systems, was not material.</w:t>
      </w:r>
    </w:p>
    <w:p>
      <w:pPr>
        <w:spacing w:after="0" w:line="12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Is a Service Contract </w:t>
      </w:r>
      <w:r>
        <w:rPr>
          <w:rFonts w:ascii="Arial" w:cs="Arial" w:eastAsia="Arial" w:hAnsi="Arial"/>
          <w:sz w:val="18"/>
          <w:szCs w:val="18"/>
          <w:color w:val="auto"/>
        </w:rPr>
        <w:t>(“ASU 2018-15”), which aligns the requirements for capitalizing implementation costs in a cloud computing arrangement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for an internal-use software license. Adoption of this guidance is required for fiscal years beginning after December 15, 2019 and interim periods within those fiscal years and early adoption is permitted. Entities are permitted to choose to adopt the new guidance (1) prospectively for eligible costs incurred on or after the date this guidance is first applied or (2) retrospectively. The Company adopted ASU 2018-15 on a prospective basis, effective January 1, 2020. The adoption of this standard is not expected to have a significant impact on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15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We are currently in the process of evaluating the effect that ASU 2019-12 will have on the Company's Consolidated Financial Statements.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and Other Long-term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620" w:firstLine="405"/>
        <w:spacing w:after="0" w:line="375" w:lineRule="auto"/>
        <w:rPr>
          <w:sz w:val="20"/>
          <w:szCs w:val="20"/>
          <w:color w:val="auto"/>
        </w:rPr>
      </w:pPr>
      <w:r>
        <w:rPr>
          <w:rFonts w:ascii="Arial" w:cs="Arial" w:eastAsia="Arial" w:hAnsi="Arial"/>
          <w:sz w:val="18"/>
          <w:szCs w:val="18"/>
          <w:color w:val="auto"/>
        </w:rPr>
        <w:t xml:space="preserve">The Company had no assets or liabilities requiring fair value hierarchy disclosures as of March 31, 2020 or December 31, 2019. </w:t>
      </w:r>
      <w:r>
        <w:rPr>
          <w:rFonts w:ascii="Arial" w:cs="Arial" w:eastAsia="Arial" w:hAnsi="Arial"/>
          <w:sz w:val="18"/>
          <w:szCs w:val="18"/>
          <w:i w:val="1"/>
          <w:iCs w:val="1"/>
          <w:color w:val="auto"/>
        </w:rPr>
        <w:t>Other Fair Value Measurements</w:t>
      </w:r>
    </w:p>
    <w:p>
      <w:pPr>
        <w:spacing w:after="0" w:line="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carrying amounts of cash, accounts receivable, restricted cash,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the Company is required to evaluate the non-financial asset for impairment, whether due to certain triggering events or because annual impairment testing is required, a resulting asset impairment would require that the non-financial asset be recorded at fair value.</w:t>
      </w: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ZCool Technologies Limited (“ZCool”)</w:t>
      </w:r>
    </w:p>
    <w:p>
      <w:pPr>
        <w:spacing w:after="0" w:line="63"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On January 4, 2018, the Company invested $15.0 million in convertible preferred shares issued by ZCool (the “Preferred Shares”), which is equivalent to a 25% fully diluted equity ownership interest. ZCool’s primary business is the operation of an e-commerce platform in China whereby customers can pay to license content contributed by creative professionals. ZCool and its affiliates have been the exclusive distributor of Shutterstock creative content in China since 2014.</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ZCool is a variable interest entity that is not consolidated because the Company is not the primary beneficiary. The Preferred Shares are not deemed to be in-substance common stock and are accounted for using the measurement alternative for equity investments with no readily determinable fair value. The Preferred Shares are reported at cost, adjusted for impairments or any observable price changes in orderly transactions for identical or similar investments issued by ZCool.</w:t>
      </w:r>
    </w:p>
    <w:p>
      <w:pPr>
        <w:spacing w:after="0" w:line="7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On a quarterly basis, the Company evaluates the carrying value of the Preferred Shares for impairment, which includes an assessment of ZCool’s revenue growth, earnings performance, working capital and the general regional market conditions. As of March 31, 2020, no adjustments to the carrying value were identified as a result of this assessment. Changes in performance negatively impacting ZCool’s operating results and cash flows could result in the Company recording an impairment charge on the Preferred Shares in future periods.</w:t>
      </w:r>
    </w:p>
    <w:p>
      <w:pPr>
        <w:spacing w:after="0" w:line="6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2020 and December 31, 2019, the Company’s total investment in ZCool is $15.0 million, which is reported within other assets on the Consolidated Balance Sheets.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2020</w:t>
            </w: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 2019</w:t>
            </w:r>
          </w:p>
        </w:tc>
      </w:tr>
      <w:tr>
        <w:trPr>
          <w:trHeight w:val="236"/>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172,931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165,950</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0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10,206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10,199</w:t>
            </w:r>
          </w:p>
        </w:tc>
      </w:tr>
      <w:tr>
        <w:trPr>
          <w:trHeight w:val="33"/>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19,260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19,203</w:t>
            </w:r>
          </w:p>
        </w:tc>
      </w:tr>
      <w:tr>
        <w:trPr>
          <w:trHeight w:val="217"/>
        </w:trPr>
        <w:tc>
          <w:tcPr>
            <w:tcW w:w="79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202,397</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195,352</w:t>
            </w:r>
          </w:p>
        </w:tc>
      </w:tr>
      <w:tr>
        <w:trPr>
          <w:trHeight w:val="33"/>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(145,501)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(136,518)</w:t>
            </w:r>
          </w:p>
        </w:tc>
      </w:tr>
      <w:tr>
        <w:trPr>
          <w:trHeight w:val="217"/>
        </w:trPr>
        <w:tc>
          <w:tcPr>
            <w:tcW w:w="7980" w:type="dxa"/>
            <w:vAlign w:val="bottom"/>
          </w:tcPr>
          <w:p>
            <w:pPr>
              <w:ind w:left="120"/>
              <w:spacing w:after="0"/>
              <w:rPr>
                <w:sz w:val="20"/>
                <w:szCs w:val="20"/>
                <w:color w:val="auto"/>
              </w:rPr>
            </w:pPr>
            <w:r>
              <w:rPr>
                <w:rFonts w:ascii="Arial" w:cs="Arial" w:eastAsia="Arial" w:hAnsi="Arial"/>
                <w:sz w:val="16"/>
                <w:szCs w:val="16"/>
                <w:color w:val="auto"/>
              </w:rPr>
              <w:t>Property and equipment,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56,896</w:t>
            </w:r>
          </w:p>
        </w:tc>
        <w:tc>
          <w:tcPr>
            <w:tcW w:w="12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58,834</w:t>
            </w:r>
          </w:p>
        </w:tc>
      </w:tr>
      <w:tr>
        <w:trPr>
          <w:trHeight w:val="33"/>
        </w:trPr>
        <w:tc>
          <w:tcPr>
            <w:tcW w:w="7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Depreciation and amortization expense related to property and equipment was $9.3 million and $10.6 million for the three months ended March 31, 2020 and 2019, respectively. Of these amounts, $8.2 million and $9.3 million are included in cost of revenue for the three months ended March 31, 2020 and 2019, respectively, and $1.1 million and $1.3 million are included in general and administrative expense for the three months ended March 31, 2020 and 2019, respectively.</w:t>
      </w:r>
    </w:p>
    <w:p>
      <w:pPr>
        <w:spacing w:after="0" w:line="18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Internal-Use Software</w:t>
      </w:r>
    </w:p>
    <w:p>
      <w:pPr>
        <w:spacing w:after="0" w:line="63" w:lineRule="exact"/>
        <w:rPr>
          <w:sz w:val="20"/>
          <w:szCs w:val="20"/>
          <w:color w:val="auto"/>
        </w:rPr>
      </w:pPr>
    </w:p>
    <w:p>
      <w:pPr>
        <w:jc w:val="both"/>
        <w:ind w:right="500" w:firstLine="405"/>
        <w:spacing w:after="0" w:line="263" w:lineRule="auto"/>
        <w:rPr>
          <w:sz w:val="20"/>
          <w:szCs w:val="20"/>
          <w:color w:val="auto"/>
        </w:rPr>
      </w:pPr>
      <w:r>
        <w:rPr>
          <w:rFonts w:ascii="Arial" w:cs="Arial" w:eastAsia="Arial" w:hAnsi="Arial"/>
          <w:sz w:val="18"/>
          <w:szCs w:val="18"/>
          <w:color w:val="auto"/>
        </w:rPr>
        <w:t>The Company capitalized costs related to the development of internal-use software of $6.6 million and $6.5 million for the three months ended March 31, 2020 and 2019, respectively. Capitalized amounts are included as a component of property and equipment under computer equipment and software on the Consolidated Balance Sheets.</w:t>
      </w:r>
    </w:p>
    <w:p>
      <w:pPr>
        <w:spacing w:after="0" w:line="76"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The portion of total depreciation expense related to capitalized internal-use software was $7.2 million and $7.3 million for the three months ended March 31, 2020 and 2019, respectively. Depreciation expense related to capitalized internal-use software is included in cost of revenue and general and administrative expense in the Consolidated Statements of Operations based on the nature of the asset.</w:t>
      </w:r>
    </w:p>
    <w:p>
      <w:pPr>
        <w:spacing w:after="0" w:line="7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March 31, 2020 and December 31, 2019, the Company had capitalized internal-use software of $41.2 million and $41.8 million, respectively, net of accumulated depreciation, which was included in property and equipment, net.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Company’s goodwill balance is attributable to its Content reporting unit and is tested for impairment annually on October 1 or upon a triggering event. No triggering events were identified during the three months ended March 31, 2020.</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the changes in the carrying value of the Company’s goodwill balance during the three months ended March 31, 2020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Goodwill</w:t>
            </w:r>
          </w:p>
        </w:tc>
      </w:tr>
      <w:tr>
        <w:trPr>
          <w:trHeight w:val="236"/>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88,974</w:t>
            </w:r>
          </w:p>
        </w:tc>
      </w:tr>
      <w:tr>
        <w:trPr>
          <w:trHeight w:val="224"/>
        </w:trPr>
        <w:tc>
          <w:tcPr>
            <w:tcW w:w="948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(830)</w:t>
            </w:r>
          </w:p>
        </w:tc>
      </w:tr>
      <w:tr>
        <w:trPr>
          <w:trHeight w:val="33"/>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2020</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88,144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Intangible assets, all of which are subject to amortization, consisted of the following as of March 31, 2020 and December 31, 2019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2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40" w:type="dxa"/>
            <w:vAlign w:val="bottom"/>
          </w:tcPr>
          <w:p>
            <w:pPr>
              <w:jc w:val="right"/>
              <w:ind w:right="16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40" w:type="dxa"/>
            <w:vAlign w:val="bottom"/>
          </w:tcPr>
          <w:p>
            <w:pPr>
              <w:jc w:val="right"/>
              <w:ind w:right="161"/>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2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16,960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(9,290)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17,729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name</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6,229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(5,712)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6,517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(5,941)</w:t>
            </w:r>
          </w:p>
        </w:tc>
        <w:tc>
          <w:tcPr>
            <w:tcW w:w="0" w:type="dxa"/>
            <w:vAlign w:val="bottom"/>
          </w:tcPr>
          <w:p>
            <w:pPr>
              <w:spacing w:after="0"/>
              <w:rPr>
                <w:sz w:val="1"/>
                <w:szCs w:val="1"/>
                <w:color w:val="auto"/>
              </w:rPr>
            </w:pPr>
          </w:p>
        </w:tc>
      </w:tr>
      <w:tr>
        <w:trPr>
          <w:trHeight w:val="223"/>
        </w:trPr>
        <w:tc>
          <w:tcPr>
            <w:tcW w:w="4220" w:type="dxa"/>
            <w:vAlign w:val="bottom"/>
          </w:tcPr>
          <w:p>
            <w:pPr>
              <w:ind w:left="120"/>
              <w:spacing w:after="0"/>
              <w:rPr>
                <w:sz w:val="20"/>
                <w:szCs w:val="20"/>
                <w:color w:val="auto"/>
              </w:rPr>
            </w:pPr>
            <w:r>
              <w:rPr>
                <w:rFonts w:ascii="Arial" w:cs="Arial" w:eastAsia="Arial" w:hAnsi="Arial"/>
                <w:sz w:val="16"/>
                <w:szCs w:val="16"/>
                <w:color w:val="auto"/>
              </w:rPr>
              <w:t>Developed technology</w:t>
            </w:r>
          </w:p>
        </w:tc>
        <w:tc>
          <w:tcPr>
            <w:tcW w:w="22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4,673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(4,214)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4,841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Contributor content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23,905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(7,207)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23,510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(6,626)</w:t>
            </w:r>
          </w:p>
        </w:tc>
        <w:tc>
          <w:tcPr>
            <w:tcW w:w="0" w:type="dxa"/>
            <w:vAlign w:val="bottom"/>
          </w:tcPr>
          <w:p>
            <w:pPr>
              <w:spacing w:after="0"/>
              <w:rPr>
                <w:sz w:val="1"/>
                <w:szCs w:val="1"/>
                <w:color w:val="auto"/>
              </w:rPr>
            </w:pPr>
          </w:p>
        </w:tc>
      </w:tr>
      <w:tr>
        <w:trPr>
          <w:trHeight w:val="223"/>
        </w:trPr>
        <w:tc>
          <w:tcPr>
            <w:tcW w:w="4220" w:type="dxa"/>
            <w:vAlign w:val="bottom"/>
          </w:tcPr>
          <w:p>
            <w:pPr>
              <w:ind w:left="120"/>
              <w:spacing w:after="0"/>
              <w:rPr>
                <w:sz w:val="20"/>
                <w:szCs w:val="20"/>
                <w:color w:val="auto"/>
              </w:rPr>
            </w:pPr>
            <w:r>
              <w:rPr>
                <w:rFonts w:ascii="Arial" w:cs="Arial" w:eastAsia="Arial" w:hAnsi="Arial"/>
                <w:sz w:val="16"/>
                <w:szCs w:val="16"/>
                <w:color w:val="auto"/>
              </w:rPr>
              <w:t>Patents</w:t>
            </w:r>
          </w:p>
        </w:tc>
        <w:tc>
          <w:tcPr>
            <w:tcW w:w="22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52,026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(26,527)</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52,856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(26,187)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Amortization expense was $1.2 million and $1.3 million for the three months ended March 31, 2020 and 2019, respectively. Of these amounts, $0.6 million and $0.5 million are included in cost of revenue for the three months ended March 31, 2020 and 2019, respectively, and $0.6 million and $0.8 million are included in general and administrative expense for the three months ended March 31, 2020 and 2019, respectively.</w:t>
      </w:r>
    </w:p>
    <w:p>
      <w:pPr>
        <w:spacing w:after="0" w:line="57"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The Company determined that there was no indication of impairment of the intangible assets for any period presented. Estimated amortization expense is: $4.2 million for the remaining nine months of 2020, $4.8 million in 2021, $4.5 million in 2022, $3.8 million in 2023, $3.2 million in 2024, $1.9 million in 2025 and $3.1 million thereafter.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As of December 31, 2019</w:t>
            </w:r>
          </w:p>
        </w:tc>
      </w:tr>
      <w:tr>
        <w:trPr>
          <w:trHeight w:val="236"/>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17,300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20,776</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Non-income taxes</w:t>
            </w:r>
          </w:p>
        </w:tc>
        <w:tc>
          <w:tcPr>
            <w:tcW w:w="120" w:type="dxa"/>
            <w:vAlign w:val="bottom"/>
          </w:tcPr>
          <w:p>
            <w:pPr>
              <w:spacing w:after="0"/>
              <w:rPr>
                <w:sz w:val="19"/>
                <w:szCs w:val="19"/>
                <w:color w:val="auto"/>
              </w:rPr>
            </w:pPr>
          </w:p>
        </w:tc>
        <w:tc>
          <w:tcPr>
            <w:tcW w:w="1440" w:type="dxa"/>
            <w:vAlign w:val="bottom"/>
          </w:tcPr>
          <w:p>
            <w:pPr>
              <w:jc w:val="right"/>
              <w:ind w:right="61"/>
              <w:spacing w:after="0"/>
              <w:rPr>
                <w:sz w:val="20"/>
                <w:szCs w:val="20"/>
                <w:color w:val="auto"/>
              </w:rPr>
            </w:pPr>
            <w:r>
              <w:rPr>
                <w:rFonts w:ascii="Arial" w:cs="Arial" w:eastAsia="Arial" w:hAnsi="Arial"/>
                <w:sz w:val="16"/>
                <w:szCs w:val="16"/>
                <w:color w:val="auto"/>
              </w:rPr>
              <w:t>15,728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15,332</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Website hosting and marketing fees</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11,308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8,657</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120" w:type="dxa"/>
            <w:vAlign w:val="bottom"/>
          </w:tcPr>
          <w:p>
            <w:pPr>
              <w:spacing w:after="0"/>
              <w:rPr>
                <w:sz w:val="19"/>
                <w:szCs w:val="19"/>
                <w:color w:val="auto"/>
              </w:rPr>
            </w:pPr>
          </w:p>
        </w:tc>
        <w:tc>
          <w:tcPr>
            <w:tcW w:w="1440" w:type="dxa"/>
            <w:vAlign w:val="bottom"/>
          </w:tcPr>
          <w:p>
            <w:pPr>
              <w:jc w:val="right"/>
              <w:ind w:right="61"/>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9,099</w:t>
            </w: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accrued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53,294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53,864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and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63"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During the three months ended March 31, 2020 and 2019, the Company issued approximately 64,000 and 141,000 shares of common stock, respectively, primarily related to the exercise of stock options and the vesting of Restricted Stock Units (“RSUs”).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6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 During the three months ended March 31, 2020 and 2019, the Company did not repurchase any shares of its common stock under the share repurchase program. As of March 31, 2020, the Company had $100 million of remaining authorization for purchases under the share repurchase program.</w:t>
      </w:r>
    </w:p>
    <w:p>
      <w:pPr>
        <w:spacing w:after="0" w:line="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declared and paid cash dividends of $0.17 per share of common stock, or $6.0 million during the three months ended March 31, 2020.</w:t>
      </w:r>
    </w:p>
    <w:p>
      <w:pPr>
        <w:spacing w:after="0" w:line="2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April 20, 2020, the Company’s Board of Directors declared a quarterly cash dividend of $0.17 per share of outstanding common stock payable on June 18, 2020 to stockholders of record at the close of business on June 4, 2020. Future declaration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recognizes stock-based compensation expense for all equity-based payment awards, including employee stock options and RSUs granted under the Company’s Amended and Restated 2012 Omnibus Equity Incentive Plan (the “2012 Plan”), based on the fair value of each award on the grant date.</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The following table summarizes non-cash equity-based compensation expense, net of forfeitures, by financial statement line item included in the accompanying Consolidated Statements of Operations for the three months ended March 31, 2020 and 2019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3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4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85</w:t>
            </w:r>
          </w:p>
        </w:tc>
      </w:tr>
      <w:tr>
        <w:trPr>
          <w:trHeight w:val="224"/>
        </w:trPr>
        <w:tc>
          <w:tcPr>
            <w:tcW w:w="83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40" w:type="dxa"/>
            <w:vAlign w:val="bottom"/>
          </w:tcPr>
          <w:p>
            <w:pPr>
              <w:spacing w:after="0"/>
              <w:rPr>
                <w:sz w:val="19"/>
                <w:szCs w:val="19"/>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582</w:t>
            </w:r>
          </w:p>
        </w:tc>
      </w:tr>
      <w:tr>
        <w:trPr>
          <w:trHeight w:val="33"/>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1,175</w:t>
            </w:r>
          </w:p>
        </w:tc>
      </w:tr>
      <w:tr>
        <w:trPr>
          <w:trHeight w:val="223"/>
        </w:trPr>
        <w:tc>
          <w:tcPr>
            <w:tcW w:w="83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40" w:type="dxa"/>
            <w:vAlign w:val="bottom"/>
          </w:tcPr>
          <w:p>
            <w:pPr>
              <w:spacing w:after="0"/>
              <w:rPr>
                <w:sz w:val="19"/>
                <w:szCs w:val="19"/>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4,124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2,782</w:t>
            </w:r>
          </w:p>
        </w:tc>
      </w:tr>
      <w:tr>
        <w:trPr>
          <w:trHeight w:val="33"/>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5"/>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5,760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4,624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non-cash equity-based compensation expense, net of forfeitures, by award type included in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three months ended March 31,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3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84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1,316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891</w:t>
            </w:r>
          </w:p>
        </w:tc>
      </w:tr>
      <w:tr>
        <w:trPr>
          <w:trHeight w:val="223"/>
        </w:trPr>
        <w:tc>
          <w:tcPr>
            <w:tcW w:w="8380" w:type="dxa"/>
            <w:vAlign w:val="bottom"/>
          </w:tcPr>
          <w:p>
            <w:pPr>
              <w:ind w:left="20"/>
              <w:spacing w:after="0"/>
              <w:rPr>
                <w:sz w:val="20"/>
                <w:szCs w:val="20"/>
                <w:color w:val="auto"/>
              </w:rPr>
            </w:pPr>
            <w:r>
              <w:rPr>
                <w:rFonts w:ascii="Arial" w:cs="Arial" w:eastAsia="Arial" w:hAnsi="Arial"/>
                <w:sz w:val="16"/>
                <w:szCs w:val="16"/>
                <w:color w:val="auto"/>
              </w:rPr>
              <w:t>RSUs</w:t>
            </w:r>
          </w:p>
        </w:tc>
        <w:tc>
          <w:tcPr>
            <w:tcW w:w="840" w:type="dxa"/>
            <w:vAlign w:val="bottom"/>
          </w:tcPr>
          <w:p>
            <w:pPr>
              <w:spacing w:after="0"/>
              <w:rPr>
                <w:sz w:val="19"/>
                <w:szCs w:val="19"/>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4,444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3,733</w:t>
            </w:r>
          </w:p>
        </w:tc>
      </w:tr>
      <w:tr>
        <w:trPr>
          <w:trHeight w:val="33"/>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5"/>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5,760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4,624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three months ended March 31, 2020, the Company granted 53,022 options to purchase shares of its common stock with a weighted average exercise price of $42.96. As of March 31, 2020, there were approximately 358,000 options vested and exercisable with a weighted average exercise price of $34.10. As of March 31, 2020, the total unrecognized compensation charge related to non-vested options was approximately $2.7 million, which is expected to be recognized through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6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During the three months ended March 31, 2020, the Company had RSU grants, net of forfeitures, of approximately 36,000. As of March 31, 2020, there are approximately 1,040,000 non-vested RSUs (including performance-based restricted stock units, or PRSUs) outstanding with a weighted average grant-date fair value of $44.96. As of March 31, 2020, the total unrecognized non-cash equity-based compensation charge related to the non-vested RSUs was approximately $23.2 million, which is expected to be recognized through 2023.</w:t>
      </w:r>
    </w:p>
    <w:p>
      <w:pPr>
        <w:spacing w:after="0" w:line="7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During the three months ended March 31, 2020, shares of common stock with an aggregate value of $1.8 million were withheld upon vesting of RSUs and paid in connection with related remittance of employee withholding taxes to taxing authorities.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April 1, 2020, the Company granted approximately 412,000 RSUs with a grant date fair value of $12.2 million.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distributes its content offerings through two primary channels:</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The majority of the Company’s customers license content directly through the Company’s self-service web properties.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have the flexibility to purchase a subscription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80" w:lineRule="exact"/>
        <w:rPr>
          <w:sz w:val="20"/>
          <w:szCs w:val="20"/>
          <w:color w:val="auto"/>
        </w:rPr>
      </w:pPr>
    </w:p>
    <w:p>
      <w:pPr>
        <w:ind w:right="780" w:firstLine="405"/>
        <w:spacing w:after="0" w:line="263"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The Company also has a base of customers with unique content, licensing and workflow needs. These customers benefit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with dedicated sales professionals, service and research teams which provide a number of tailored enhancements to their creative workflows including non-standard licensing rights, multi-seat access, ability to pay on</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credit terms, multi-brand licensing packages, increased indemnification protection and content licensed for use-cases outside of those available on the e-commerce platform.</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revenues by distribution channel for the three months ended March 31, 2020 and 2019 are as follows (in thousands):</w:t>
      </w:r>
    </w:p>
    <w:p>
      <w:pPr>
        <w:spacing w:after="0" w:line="163"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13335</wp:posOffset>
            </wp:positionV>
            <wp:extent cx="16116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36"/>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99,736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98,113</w:t>
            </w:r>
          </w:p>
        </w:tc>
      </w:tr>
      <w:tr>
        <w:trPr>
          <w:trHeight w:val="224"/>
        </w:trPr>
        <w:tc>
          <w:tcPr>
            <w:tcW w:w="8700" w:type="dxa"/>
            <w:vAlign w:val="bottom"/>
          </w:tcPr>
          <w:p>
            <w:pPr>
              <w:ind w:left="20"/>
              <w:spacing w:after="0"/>
              <w:rPr>
                <w:sz w:val="20"/>
                <w:szCs w:val="20"/>
                <w:color w:val="auto"/>
              </w:rPr>
            </w:pPr>
            <w:r>
              <w:rPr>
                <w:rFonts w:ascii="Arial" w:cs="Arial" w:eastAsia="Arial" w:hAnsi="Arial"/>
                <w:sz w:val="16"/>
                <w:szCs w:val="16"/>
                <w:color w:val="auto"/>
              </w:rPr>
              <w:t>Enterprise</w:t>
            </w:r>
          </w:p>
        </w:tc>
        <w:tc>
          <w:tcPr>
            <w:tcW w:w="28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61,549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65,219</w:t>
            </w:r>
          </w:p>
        </w:tc>
      </w:tr>
      <w:tr>
        <w:trPr>
          <w:trHeight w:val="3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8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161,285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163,332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March 31, 2020 deferred revenue balance will be earned as content is downloaded or upon the expiration of subscription-based products, and nearly all is expected to be earned within the next twelve months. $59.1 million of total revenue recognized for the three months ended March 31, 2020 was reflected in deferred revenue as of December 31,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Income, net</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a summary of the Company’s other income and expense activity included in the accompanying Consolidated Statements of Operations for the three months ended March 31, 2020 and 2019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loss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0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1,111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1,057</w:t>
            </w:r>
          </w:p>
        </w:tc>
      </w:tr>
      <w:tr>
        <w:trPr>
          <w:trHeight w:val="33"/>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income</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effective tax rates yielded a net expense of 31.4% and 16.4% for the three months ended March 31, 2020 and 2019, respectively. During the three months ended March 31, 2020, the effective tax rate increased by 6.9% as a result of a loss jurisdiction with no tax benefit. Discrete items further increased the effective tax rate by 3.0%. During the three months ended March 31, 2019, the impact of discrete items decreased the effective tax rate by 1.2%.</w:t>
      </w:r>
    </w:p>
    <w:p>
      <w:pPr>
        <w:spacing w:after="0" w:line="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2"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During the three months ended March 31, 2020 and 2019, uncertain tax positions recorded by the Company were not material. To the extent the remaining uncertain tax positions are ultimately recognized, the Company’s effective tax rate may be impacted in future periods.</w:t>
      </w:r>
    </w:p>
    <w:p>
      <w:pPr>
        <w:spacing w:after="0" w:line="38"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2020 and 2019.</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months ended March 31, 2020 and 2019, the Company paid net cash taxes of $0.5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Share</w:t>
      </w:r>
    </w:p>
    <w:p>
      <w:pPr>
        <w:spacing w:after="0" w:line="1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8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for the three months ended March 31,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7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4,318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7,522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260" w:type="dxa"/>
            <w:vAlign w:val="bottom"/>
          </w:tcPr>
          <w:p>
            <w:pPr>
              <w:ind w:left="20"/>
              <w:spacing w:after="0"/>
              <w:rPr>
                <w:sz w:val="20"/>
                <w:szCs w:val="20"/>
                <w:color w:val="auto"/>
              </w:rPr>
            </w:pPr>
            <w:r>
              <w:rPr>
                <w:rFonts w:ascii="Arial" w:cs="Arial" w:eastAsia="Arial" w:hAnsi="Arial"/>
                <w:sz w:val="16"/>
                <w:szCs w:val="16"/>
                <w:color w:val="auto"/>
              </w:rPr>
              <w:t>Shares used to compute basic net income per share</w:t>
            </w:r>
          </w:p>
        </w:tc>
        <w:tc>
          <w:tcPr>
            <w:tcW w:w="300" w:type="dxa"/>
            <w:vAlign w:val="bottom"/>
          </w:tcPr>
          <w:p>
            <w:pPr>
              <w:spacing w:after="0"/>
              <w:rPr>
                <w:sz w:val="17"/>
                <w:szCs w:val="17"/>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35,521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35,114</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Dilutive potential common shares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6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105</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Unvested restricted stock awards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272</w:t>
            </w:r>
          </w:p>
        </w:tc>
      </w:tr>
      <w:tr>
        <w:trPr>
          <w:trHeight w:val="247"/>
        </w:trPr>
        <w:tc>
          <w:tcPr>
            <w:tcW w:w="8260" w:type="dxa"/>
            <w:vAlign w:val="bottom"/>
          </w:tcPr>
          <w:p>
            <w:pPr>
              <w:ind w:left="120"/>
              <w:spacing w:after="0"/>
              <w:rPr>
                <w:sz w:val="20"/>
                <w:szCs w:val="20"/>
                <w:color w:val="auto"/>
              </w:rPr>
            </w:pPr>
            <w:r>
              <w:rPr>
                <w:rFonts w:ascii="Arial" w:cs="Arial" w:eastAsia="Arial" w:hAnsi="Arial"/>
                <w:sz w:val="16"/>
                <w:szCs w:val="16"/>
                <w:color w:val="auto"/>
              </w:rPr>
              <w:t>Shares used to compute diluted net income per share</w:t>
            </w: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35,882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35,491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5"/>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 net income per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0.21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8260" w:type="dxa"/>
            <w:vAlign w:val="bottom"/>
          </w:tcPr>
          <w:p>
            <w:pPr>
              <w:ind w:left="120"/>
              <w:spacing w:after="0"/>
              <w:rPr>
                <w:sz w:val="20"/>
                <w:szCs w:val="20"/>
                <w:color w:val="auto"/>
              </w:rPr>
            </w:pPr>
            <w:r>
              <w:rPr>
                <w:rFonts w:ascii="Arial" w:cs="Arial" w:eastAsia="Arial" w:hAnsi="Arial"/>
                <w:sz w:val="16"/>
                <w:szCs w:val="16"/>
                <w:color w:val="auto"/>
              </w:rPr>
              <w:t>Diluted net income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0.21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
        </w:trPr>
        <w:tc>
          <w:tcPr>
            <w:tcW w:w="82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Dilutive shares included in the calculation</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979</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shares excluded from the calculation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1,135</w:t>
            </w:r>
          </w:p>
        </w:tc>
      </w:tr>
      <w:tr>
        <w:trPr>
          <w:trHeight w:val="33"/>
        </w:trPr>
        <w:tc>
          <w:tcPr>
            <w:tcW w:w="8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Geographic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 based on customer location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57,018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57,514</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Europe</w:t>
            </w:r>
          </w:p>
        </w:tc>
        <w:tc>
          <w:tcPr>
            <w:tcW w:w="300" w:type="dxa"/>
            <w:vAlign w:val="bottom"/>
          </w:tcPr>
          <w:p>
            <w:pPr>
              <w:spacing w:after="0"/>
              <w:rPr>
                <w:sz w:val="19"/>
                <w:szCs w:val="19"/>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53,796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55,485</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50,471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50,333</w:t>
            </w:r>
          </w:p>
        </w:tc>
      </w:tr>
      <w:tr>
        <w:trPr>
          <w:trHeight w:val="217"/>
        </w:trPr>
        <w:tc>
          <w:tcPr>
            <w:tcW w:w="826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161,285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163,332</w:t>
            </w:r>
          </w:p>
        </w:tc>
      </w:tr>
      <w:tr>
        <w:trPr>
          <w:trHeight w:val="3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47"/>
        <w:spacing w:after="0" w:line="308" w:lineRule="auto"/>
        <w:rPr>
          <w:sz w:val="20"/>
          <w:szCs w:val="20"/>
          <w:color w:val="auto"/>
        </w:rPr>
      </w:pPr>
      <w:r>
        <w:rPr>
          <w:rFonts w:ascii="Arial" w:cs="Arial" w:eastAsia="Arial" w:hAnsi="Arial"/>
          <w:sz w:val="17"/>
          <w:szCs w:val="17"/>
          <w:color w:val="auto"/>
        </w:rPr>
        <w:t>The United States, included in North America in the above table, accounted for 32% and 32% of consolidated revenue for the three months ended March 31, 2020 and 2019, respectively. No other country accounts for more than 10% of the Company’s revenue in any period presented.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6"/>
                <w:szCs w:val="16"/>
                <w:color w:val="auto"/>
              </w:rPr>
            </w:pPr>
          </w:p>
        </w:tc>
        <w:tc>
          <w:tcPr>
            <w:tcW w:w="1440" w:type="dxa"/>
            <w:vAlign w:val="bottom"/>
          </w:tcPr>
          <w:p>
            <w:pPr>
              <w:jc w:val="right"/>
              <w:ind w:right="122"/>
              <w:spacing w:after="0"/>
              <w:rPr>
                <w:sz w:val="20"/>
                <w:szCs w:val="20"/>
                <w:color w:val="auto"/>
              </w:rPr>
            </w:pPr>
            <w:r>
              <w:rPr>
                <w:rFonts w:ascii="Arial" w:cs="Arial" w:eastAsia="Arial" w:hAnsi="Arial"/>
                <w:sz w:val="14"/>
                <w:szCs w:val="14"/>
                <w:b w:val="1"/>
                <w:bCs w:val="1"/>
                <w:color w:val="auto"/>
                <w:w w:val="93"/>
              </w:rPr>
              <w:t>As of December 31,</w:t>
            </w:r>
          </w:p>
        </w:tc>
      </w:tr>
      <w:tr>
        <w:trPr>
          <w:trHeight w:val="208"/>
        </w:trPr>
        <w:tc>
          <w:tcPr>
            <w:tcW w:w="7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50,126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51,954</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color w:val="auto"/>
              </w:rPr>
              <w:t>Europe</w:t>
            </w:r>
          </w:p>
        </w:tc>
        <w:tc>
          <w:tcPr>
            <w:tcW w:w="200" w:type="dxa"/>
            <w:vAlign w:val="bottom"/>
          </w:tcPr>
          <w:p>
            <w:pPr>
              <w:spacing w:after="0"/>
              <w:rPr>
                <w:sz w:val="19"/>
                <w:szCs w:val="19"/>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6,438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6,541</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339</w:t>
            </w:r>
          </w:p>
        </w:tc>
      </w:tr>
      <w:tr>
        <w:trPr>
          <w:trHeight w:val="217"/>
        </w:trPr>
        <w:tc>
          <w:tcPr>
            <w:tcW w:w="7940" w:type="dxa"/>
            <w:vAlign w:val="bottom"/>
          </w:tcPr>
          <w:p>
            <w:pPr>
              <w:ind w:left="120"/>
              <w:spacing w:after="0"/>
              <w:rPr>
                <w:sz w:val="20"/>
                <w:szCs w:val="20"/>
                <w:color w:val="auto"/>
              </w:rPr>
            </w:pPr>
            <w:r>
              <w:rPr>
                <w:rFonts w:ascii="Arial" w:cs="Arial" w:eastAsia="Arial" w:hAnsi="Arial"/>
                <w:sz w:val="16"/>
                <w:szCs w:val="16"/>
                <w:color w:val="auto"/>
              </w:rPr>
              <w:t>Total long-lived tangible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56,896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58,834</w:t>
            </w:r>
          </w:p>
        </w:tc>
      </w:tr>
      <w:tr>
        <w:trPr>
          <w:trHeight w:val="33"/>
        </w:trPr>
        <w:tc>
          <w:tcPr>
            <w:tcW w:w="7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United States, included in North America in the above table, accounted for 78% and 79% of total long-lived tangible assets as of March 31, 2020 and December 31, 2019, respectively. No other country accounts for more than 10% of the Company’s long-lived tangible assets in any period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March 31, 2020, the Company had total other non-lease obligations in the amount of approximately $41.3 million, which consisted primarily of minimum royalty guarantees and unconditional purchase obligations related to contracts for infrastructure and other business services. As of March 31, 2020, the Company’s other non-lease obligations for the remainder of 2020 and for the years ending December 31, 2021 and 2022 were approximately $20.5 million, $16.4 million and $4.4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5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Employment Agreements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March 31, 2020,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2"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Annual Report on Form 10-K for the fiscal year ended December 31, 2019 filed with the SEC on February 13, 2020.</w:t>
      </w:r>
    </w:p>
    <w:p>
      <w:pPr>
        <w:spacing w:after="0" w:line="119"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Annual Report on Form 10-K for the fiscal year ended December 31, 2019 and this Quarterly Report on Form 10-Q for additional discussion of the risks and uncertainties that could cause our actual results to differ materially from those expressed or implied in our forward-looking statements.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 a discussion as to how COVID-19 has affected our business, see “COVID-19 Update”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6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Shutterstock is a global technology company offering a creative platform, which provides high-quality content, tools and services to creative professionals. Our platform brings together users and contributors of content by providing readily-searchable content that our customers pay to license and by compensating contributors as their content is licensed.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content licensed by our customers include:</w:t>
      </w:r>
    </w:p>
    <w:p>
      <w:pPr>
        <w:spacing w:after="0" w:line="158" w:lineRule="exact"/>
        <w:rPr>
          <w:sz w:val="20"/>
          <w:szCs w:val="20"/>
          <w:color w:val="auto"/>
        </w:rPr>
      </w:pPr>
    </w:p>
    <w:p>
      <w:pPr>
        <w:ind w:left="1060" w:right="120" w:hanging="404"/>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2" w:lineRule="exact"/>
        <w:rPr>
          <w:rFonts w:ascii="Arial" w:cs="Arial" w:eastAsia="Arial" w:hAnsi="Arial"/>
          <w:sz w:val="18"/>
          <w:szCs w:val="18"/>
          <w:color w:val="auto"/>
        </w:rPr>
      </w:pPr>
    </w:p>
    <w:p>
      <w:pPr>
        <w:ind w:left="1060" w:right="280" w:hanging="404"/>
        <w:spacing w:after="0" w:line="308"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5" w:lineRule="exact"/>
        <w:rPr>
          <w:rFonts w:ascii="Arial" w:cs="Arial" w:eastAsia="Arial" w:hAnsi="Arial"/>
          <w:sz w:val="17"/>
          <w:szCs w:val="17"/>
          <w:color w:val="auto"/>
        </w:rPr>
      </w:pPr>
    </w:p>
    <w:p>
      <w:pPr>
        <w:ind w:left="1100" w:hanging="444"/>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5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platform brings together users and contributors of content by providing readily-searchable content that our customers pay to license and by compensating contributors as their content is licensed. For customers seeking specialized content that goes beyond our library of stock content, our platform also connects customers with contributors who can produce custom branded content. Over 1.9 million active, paying customers contributed to our revenue for the twelve-month period ended March 31, 2020. As of March 31, 2020, more than 1.2 million approved contributors made their images, footage and music tracks available in our collection, which has grown to more than 330 million images and more than 18 million footage clips. This makes our collection of content one of the largest of its kind, and we delivered more than 46 million paid downloads to our customers across all of our brands during the three months ended March 31, 2020.</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2020, the Company had the following significant events:</w:t>
      </w:r>
    </w:p>
    <w:p>
      <w:pPr>
        <w:spacing w:after="0" w:line="144" w:lineRule="exact"/>
        <w:rPr>
          <w:sz w:val="20"/>
          <w:szCs w:val="20"/>
          <w:color w:val="auto"/>
        </w:rPr>
      </w:pPr>
    </w:p>
    <w:p>
      <w:pPr>
        <w:ind w:left="1060" w:right="420" w:hanging="404"/>
        <w:spacing w:after="0" w:line="263"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2020, we launched our ninth annual Creative Trends Report, identifying global and local trends that will influence design aesthetics and visual culture in 2020. This data-led report predicts image, video and music styles set to dominate marketing campaigns, advertising creative and video projects throughout the year.</w:t>
      </w:r>
    </w:p>
    <w:p>
      <w:pPr>
        <w:spacing w:after="0" w:line="75" w:lineRule="exact"/>
        <w:rPr>
          <w:rFonts w:ascii="Arial" w:cs="Arial" w:eastAsia="Arial" w:hAnsi="Arial"/>
          <w:sz w:val="18"/>
          <w:szCs w:val="18"/>
          <w:color w:val="auto"/>
        </w:rPr>
      </w:pPr>
    </w:p>
    <w:p>
      <w:pPr>
        <w:ind w:left="1060" w:right="420" w:hanging="404"/>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2020, we announced that Shutterstock has been renewed as the official photographer of the 2020 EE British Academy Film Awards, which recognizes the best in film over the past year.</w:t>
      </w:r>
    </w:p>
    <w:p>
      <w:pPr>
        <w:spacing w:after="0" w:line="62" w:lineRule="exact"/>
        <w:rPr>
          <w:rFonts w:ascii="Arial" w:cs="Arial" w:eastAsia="Arial" w:hAnsi="Arial"/>
          <w:sz w:val="18"/>
          <w:szCs w:val="18"/>
          <w:color w:val="auto"/>
        </w:rPr>
      </w:pPr>
    </w:p>
    <w:p>
      <w:pPr>
        <w:ind w:left="1060" w:hanging="404"/>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2020, we launched our eighth annual Oscar Pop! poster series, which celebrates the best picture nominees in the 92nd Academy Awards.</w:t>
      </w:r>
    </w:p>
    <w:p>
      <w:pPr>
        <w:spacing w:after="0" w:line="62" w:lineRule="exact"/>
        <w:rPr>
          <w:rFonts w:ascii="Arial" w:cs="Arial" w:eastAsia="Arial" w:hAnsi="Arial"/>
          <w:sz w:val="18"/>
          <w:szCs w:val="18"/>
          <w:color w:val="auto"/>
        </w:rPr>
      </w:pPr>
    </w:p>
    <w:p>
      <w:pPr>
        <w:ind w:left="1060" w:right="40" w:hanging="404"/>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2020, we announced Footage library availability for mobile users. Mobile application users can now search, save and license over 17 million videos on-the-go with Shutterstock mobile apps.</w:t>
      </w:r>
    </w:p>
    <w:p>
      <w:pPr>
        <w:spacing w:after="0" w:line="1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Through our platform, we generate revenue by licensing content to our customers. During the three months ended March 31, 2020, 62% of our revenue and the majority of our content licenses came from our E-commerce sales channel. E-commerce customers have the flexibility of choosing content subscription plans that provide a large volume of content for their creative process. We also offer simple, affordable, smaller subscriptions and those where customers have an option to pay for individual content licenses at the time of delivery. Customers in our Enterprise sales channel generally have unique content,</w:t>
      </w: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licensing and workflow needs. Our dedicated Enterprise sales, service, client success and research teams are able to provide a number of enhancements to their creative workflows including non-standard licensing rights, multi-seat access, multi-brand licensing packages and content licensed for use-cases outside of those available for license on our E-commerce platform. Customers in our Enterprise sales channel may also benefit from editorial content and the creation of custom branded content. Our Enterprise sales channel provided approximately 38% of our revenue during the three months ended March 31, 2020.</w:t>
      </w:r>
    </w:p>
    <w:p>
      <w:pPr>
        <w:spacing w:after="0" w:line="107"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Each time an image, footage clip or music track is delivered to a customer for use, we record a royalty expense for the amount due to the associated contributor. Depending on the content licensed by our customers, royalties are calculated using either a fixed dollar amount or a fixed percentage of revenue and are typically paid to contributors on a monthly basis, subject to certain payout minimums. Royalties represent the largest component of our operating expenses, are reported within cost of revenue, tend to fluctuate proportionately with revenue and may be impacted by the mix of products sold.</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An important driver of our growth is customer acquisition, which we achieve primarily through online marketing efforts and directly through our sales force. Online marketing includes paid search, organic search, online display advertising, brand marketing, email marketing, affiliate marketing, social media and strategic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12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believe that another important driver of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aggressively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The economic uncertainty caused by COVID-19 has had an impact on our customers and their ability to spend marketing budgets on our products, which has resulted in an unfavorable impact, to varying degrees geographically, on our revenue growth for the first quarter of 2020. See Item 1A. Risk Factors for further discussion of the possible impact of the COVID-19 pandemic on our business.</w:t>
      </w: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jc w:val="both"/>
        <w:ind w:right="440" w:firstLine="405"/>
        <w:spacing w:after="0" w:line="311" w:lineRule="auto"/>
        <w:rPr>
          <w:sz w:val="20"/>
          <w:szCs w:val="20"/>
          <w:color w:val="auto"/>
        </w:rPr>
      </w:pPr>
      <w:r>
        <w:rPr>
          <w:rFonts w:ascii="Arial" w:cs="Arial" w:eastAsia="Arial" w:hAnsi="Arial"/>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months ended March 31, 2020 and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2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r>
      <w:tr>
        <w:trPr>
          <w:trHeight w:val="183"/>
        </w:trPr>
        <w:tc>
          <w:tcPr>
            <w:tcW w:w="8220" w:type="dxa"/>
            <w:vAlign w:val="bottom"/>
          </w:tcPr>
          <w:p>
            <w:pPr>
              <w:spacing w:after="0"/>
              <w:rPr>
                <w:sz w:val="15"/>
                <w:szCs w:val="15"/>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5"/>
                <w:szCs w:val="15"/>
                <w:color w:val="auto"/>
              </w:rPr>
            </w:pPr>
          </w:p>
        </w:tc>
      </w:tr>
      <w:tr>
        <w:trPr>
          <w:trHeight w:val="181"/>
        </w:trPr>
        <w:tc>
          <w:tcPr>
            <w:tcW w:w="8220" w:type="dxa"/>
            <w:vAlign w:val="bottom"/>
          </w:tcPr>
          <w:p>
            <w:pPr>
              <w:spacing w:after="0"/>
              <w:rPr>
                <w:sz w:val="15"/>
                <w:szCs w:val="15"/>
                <w:color w:val="auto"/>
              </w:rPr>
            </w:pPr>
          </w:p>
        </w:tc>
        <w:tc>
          <w:tcPr>
            <w:tcW w:w="3020" w:type="dxa"/>
            <w:vAlign w:val="bottom"/>
            <w:gridSpan w:val="4"/>
          </w:tcPr>
          <w:p>
            <w:pPr>
              <w:jc w:val="right"/>
              <w:ind w:right="299"/>
              <w:spacing w:after="0"/>
              <w:rPr>
                <w:sz w:val="20"/>
                <w:szCs w:val="20"/>
                <w:color w:val="auto"/>
              </w:rPr>
            </w:pPr>
            <w:r>
              <w:rPr>
                <w:rFonts w:ascii="Arial" w:cs="Arial" w:eastAsia="Arial" w:hAnsi="Arial"/>
                <w:sz w:val="13"/>
                <w:szCs w:val="13"/>
                <w:b w:val="1"/>
                <w:bCs w:val="1"/>
                <w:color w:val="auto"/>
                <w:w w:val="99"/>
              </w:rPr>
              <w:t>(in millions, except revenue per download)</w:t>
            </w:r>
          </w:p>
        </w:tc>
      </w:tr>
      <w:tr>
        <w:trPr>
          <w:trHeight w:val="24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 downloads (during the period)</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47.2</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Revenue per download (during the period)</w:t>
            </w:r>
          </w:p>
        </w:tc>
        <w:tc>
          <w:tcPr>
            <w:tcW w:w="940" w:type="dxa"/>
            <w:vAlign w:val="bottom"/>
          </w:tcPr>
          <w:p>
            <w:pPr>
              <w:jc w:val="right"/>
              <w:ind w:right="77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3.42</w:t>
            </w:r>
          </w:p>
        </w:tc>
        <w:tc>
          <w:tcPr>
            <w:tcW w:w="1060" w:type="dxa"/>
            <w:vAlign w:val="bottom"/>
          </w:tcPr>
          <w:p>
            <w:pPr>
              <w:jc w:val="right"/>
              <w:ind w:right="768"/>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3.42</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Content in our collection (end of period):</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Images</w:t>
            </w:r>
          </w:p>
        </w:tc>
        <w:tc>
          <w:tcPr>
            <w:tcW w:w="940" w:type="dxa"/>
            <w:vAlign w:val="bottom"/>
          </w:tcPr>
          <w:p>
            <w:pPr>
              <w:spacing w:after="0"/>
              <w:rPr>
                <w:sz w:val="19"/>
                <w:szCs w:val="19"/>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330</w:t>
            </w:r>
          </w:p>
        </w:tc>
        <w:tc>
          <w:tcPr>
            <w:tcW w:w="1060" w:type="dxa"/>
            <w:vAlign w:val="bottom"/>
          </w:tcPr>
          <w:p>
            <w:pPr>
              <w:spacing w:after="0"/>
              <w:rPr>
                <w:sz w:val="19"/>
                <w:szCs w:val="19"/>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260</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4"/>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Footage Clips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r>
      <w:tr>
        <w:trPr>
          <w:trHeight w:val="33"/>
        </w:trPr>
        <w:tc>
          <w:tcPr>
            <w:tcW w:w="8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117" w:lineRule="exact"/>
        <w:rPr>
          <w:sz w:val="20"/>
          <w:szCs w:val="20"/>
          <w:color w:val="auto"/>
        </w:rPr>
      </w:pPr>
    </w:p>
    <w:p>
      <w:pPr>
        <w:ind w:right="240" w:firstLine="405"/>
        <w:spacing w:after="0" w:line="275" w:lineRule="auto"/>
        <w:rPr>
          <w:sz w:val="20"/>
          <w:szCs w:val="20"/>
          <w:color w:val="auto"/>
        </w:rPr>
      </w:pPr>
      <w:r>
        <w:rPr>
          <w:rFonts w:ascii="Arial" w:cs="Arial" w:eastAsia="Arial" w:hAnsi="Arial"/>
          <w:sz w:val="17"/>
          <w:szCs w:val="17"/>
          <w:color w:val="auto"/>
        </w:rPr>
        <w:t>Measuring the number of paid downloads that our customers make in any given period is important because downloads are the primary method of delivering licensed content, which drives a significant portion of our revenue and contributor royalties. We define paid downloads as the number of downloads that our customers make in a given period of our photographs, vectors, illustrations, footage or music tracks. Paid downloads exclude custom content, re-downloads of content that a customer has downloaded in the past (which do not generate incremental revenue or contributor royalty expense) and downloads of content that is offered to customers for no charge, including our free image of the week.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117" w:lineRule="exact"/>
        <w:rPr>
          <w:sz w:val="20"/>
          <w:szCs w:val="20"/>
          <w:color w:val="auto"/>
        </w:rPr>
      </w:pPr>
    </w:p>
    <w:p>
      <w:pPr>
        <w:ind w:right="320" w:firstLine="405"/>
        <w:spacing w:after="0" w:line="296"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excluding revenue from custom content and the impact of revenue that is not derived from or associated with content licenses.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have primarily been driven by the introduction of new product offerings and changes in product mix.</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in our Collection</w:t>
      </w:r>
    </w:p>
    <w:p>
      <w:pPr>
        <w:spacing w:after="0" w:line="117"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We define content in our collection as the total number of (a) images (photographs, vectors and illustrations) and (b) footage clips available to customers for commercial license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This Quarterly Report on Form 10-Q, including this “Management’s Discussion and Analysis of Financial Condition and Results of Operations,” contains a calculation of period-over-period revenue growth (including by distribution channel) on a constant-currency basis, which is a financial measure that has not been calculated in accordance with generally accepted accounting principles in the United States, or GAAP, and should be considered in addition to our results prepared in accordance with GAAP and should not be considered as a substitute for, or superior to, our results prepared in accordance with GAAP.</w:t>
      </w:r>
    </w:p>
    <w:p>
      <w:pPr>
        <w:spacing w:after="0" w:line="8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Revenue growth (including by distribution channel) on a constant-currency basis (expressed as a percentage) is calculated by determining the increase in current period revenues over prior period revenues, utilizing fixed exchange rates for translating foreign currency revenues for all periods in the comparison.</w:t>
      </w:r>
    </w:p>
    <w:p>
      <w:pPr>
        <w:spacing w:after="0" w:line="76"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management uses this non-GAAP financial measure, in conjunction with GAAP financial measures, as an operating measure to help evaluate our business and in making financial and operational decisions. Management believes that providing a measure of period-over-period revenue growth (including by distribution channel) on a constant-currency basis is useful to investors because it enables them to analyze and compare our revenue trends and overall business on the same basis as that which is used by management and because this metric eliminates the effect of foreign currency fluctuations that are not directly attributable to our underlying operating performance and are outside management’s control. Additionally, management believes that providing this non-GAAP financial measure enhances the comparability for investors in assessing our financial reporting.</w:t>
      </w:r>
    </w:p>
    <w:p>
      <w:pPr>
        <w:spacing w:after="0" w:line="200" w:lineRule="exact"/>
        <w:rPr>
          <w:sz w:val="20"/>
          <w:szCs w:val="20"/>
          <w:color w:val="auto"/>
        </w:rPr>
      </w:pPr>
    </w:p>
    <w:p>
      <w:pPr>
        <w:spacing w:after="0" w:line="30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However, we caution investors that non-GAAP financial information, by its nature, departs from traditional accounting conventions, and similarly-titled non-GAAP financial measures vary among companies. Accordingly, its use can make it difficult to compare our current results with our results from other reporting periods and with the results of other companies.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for our subscription-based products, goodwill, intangibles, equity-based compensation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1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 believe that the policies, assumptions and estimates associated with our revenue recognition, allowance for doubtful accounts, equity-based compensation, accounting for income taxes and goodwill and intangible assets have the greatest potential impact on our financial statements. Therefore, we consider these to be our critical accounting policies and estimates.</w:t>
      </w:r>
    </w:p>
    <w:p>
      <w:pPr>
        <w:spacing w:after="0" w:line="116"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 description of our critical accounting policies that involve significant management judgments appears in our Annual Report on Form 10-K for the fiscal year ended December 31, 2019 that was filed with the SEC on February 13, 2020 (our “2019 Form 10-K”), under “Management’s Discussion and Analysis of Financial Condition and Results of Operations—Critical Accounting Policies and Estimates.”</w:t>
      </w:r>
    </w:p>
    <w:p>
      <w:pPr>
        <w:spacing w:after="0" w:line="76"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2019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distribute our content offerings through two primary channels:</w:t>
      </w:r>
    </w:p>
    <w:p>
      <w:pPr>
        <w:spacing w:after="0" w:line="117" w:lineRule="exact"/>
        <w:rPr>
          <w:sz w:val="20"/>
          <w:szCs w:val="20"/>
          <w:color w:val="auto"/>
        </w:rPr>
      </w:pPr>
    </w:p>
    <w:p>
      <w:pPr>
        <w:ind w:right="320" w:firstLine="405"/>
        <w:spacing w:after="0" w:line="301" w:lineRule="auto"/>
        <w:rPr>
          <w:sz w:val="20"/>
          <w:szCs w:val="20"/>
          <w:color w:val="auto"/>
        </w:rPr>
      </w:pPr>
      <w:r>
        <w:rPr>
          <w:rFonts w:ascii="Arial" w:cs="Arial" w:eastAsia="Arial" w:hAnsi="Arial"/>
          <w:sz w:val="16"/>
          <w:szCs w:val="16"/>
          <w:i w:val="1"/>
          <w:iCs w:val="1"/>
          <w:color w:val="auto"/>
        </w:rPr>
        <w:t xml:space="preserve">E-commerce: </w:t>
      </w:r>
      <w:r>
        <w:rPr>
          <w:rFonts w:ascii="Arial" w:cs="Arial" w:eastAsia="Arial" w:hAnsi="Arial"/>
          <w:sz w:val="16"/>
          <w:szCs w:val="16"/>
          <w:color w:val="auto"/>
        </w:rPr>
        <w:t>The majority of our customers license content directly through our self-service web properties. E-commerce customers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flexibility 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49"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We also have a base of customers with unique content, licensing and workflow needs. These customers benefit from communication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revenues by distribution channel for the three months ended March 31, 2020 and 2019 are as follows (in thousands):</w:t>
      </w:r>
    </w:p>
    <w:p>
      <w:pPr>
        <w:spacing w:after="0" w:line="163"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3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99,736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98,113</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color w:val="auto"/>
              </w:rPr>
              <w:t>Enterprise</w:t>
            </w:r>
          </w:p>
        </w:tc>
        <w:tc>
          <w:tcPr>
            <w:tcW w:w="280" w:type="dxa"/>
            <w:vAlign w:val="bottom"/>
          </w:tcPr>
          <w:p>
            <w:pPr>
              <w:spacing w:after="0"/>
              <w:rPr>
                <w:sz w:val="19"/>
                <w:szCs w:val="19"/>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61,549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65,219</w:t>
            </w:r>
          </w:p>
        </w:tc>
      </w:tr>
      <w:tr>
        <w:trPr>
          <w:trHeight w:val="33"/>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2"/>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161,285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163,332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content review costs,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infrastructure and hosting costs related to maintaining our creative platform and cloud-based software platform, depreciation and amortization of capitalized internal-use software, content and technology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7"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including non-cash equity-based compensation, bonuses and benefits, and commissions as well as allocated facility and other supporting overhead costs.</w:t>
      </w:r>
    </w:p>
    <w:p>
      <w:pPr>
        <w:spacing w:after="0" w:line="116"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of employee compensation, including non-cash equity-based compensation,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benefits, and expenses related to vendors engaged in product management, design, development and testing of our websites and products. Product development costs also include allocated facility and other supporting overhead costs.</w:t>
      </w:r>
    </w:p>
    <w:p>
      <w:pPr>
        <w:spacing w:after="0" w:line="11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include employee compensation, including non-cash equity-based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consists of non-operating costs such as foreign currency transaction gains and losses in addition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w:t>
      </w:r>
    </w:p>
    <w:p>
      <w:pPr>
        <w:spacing w:after="0" w:line="103"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We compute income taxes using the asset and liability method, under which deferred tax assets and liabilities are determined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161,285</w:t>
            </w:r>
          </w:p>
        </w:tc>
        <w:tc>
          <w:tcPr>
            <w:tcW w:w="10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163,332</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69,123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69,218</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42,660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44,446</w:t>
            </w: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13,069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14,986</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30,652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26,583</w:t>
            </w:r>
          </w:p>
        </w:tc>
      </w:tr>
      <w:tr>
        <w:trPr>
          <w:trHeight w:val="217"/>
        </w:trPr>
        <w:tc>
          <w:tcPr>
            <w:tcW w:w="826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155,504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155,233</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5,781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8,099</w:t>
            </w: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896</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6,294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8,995</w:t>
            </w: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1,473</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7,522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163"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23495</wp:posOffset>
            </wp:positionV>
            <wp:extent cx="1945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gridSpan w:val="2"/>
          </w:tcPr>
          <w:p>
            <w:pPr>
              <w:ind w:left="876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r>
      <w:tr>
        <w:trPr>
          <w:trHeight w:val="223"/>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9120" w:type="dxa"/>
            <w:vAlign w:val="bottom"/>
            <w:gridSpan w:val="2"/>
          </w:tcPr>
          <w:p>
            <w:pPr>
              <w:ind w:left="120"/>
              <w:spacing w:after="0"/>
              <w:rPr>
                <w:sz w:val="20"/>
                <w:szCs w:val="20"/>
                <w:color w:val="auto"/>
              </w:rPr>
            </w:pPr>
            <w:r>
              <w:rPr>
                <w:rFonts w:ascii="Arial" w:cs="Arial" w:eastAsia="Arial" w:hAnsi="Arial"/>
                <w:sz w:val="16"/>
                <w:szCs w:val="16"/>
                <w:color w:val="auto"/>
              </w:rPr>
              <w:t>Revenue</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9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9120" w:type="dxa"/>
            <w:vAlign w:val="bottom"/>
            <w:gridSpan w:val="2"/>
          </w:tcPr>
          <w:p>
            <w:pPr>
              <w:ind w:left="340"/>
              <w:spacing w:after="0"/>
              <w:rPr>
                <w:sz w:val="20"/>
                <w:szCs w:val="20"/>
                <w:color w:val="auto"/>
              </w:rPr>
            </w:pPr>
            <w:r>
              <w:rPr>
                <w:rFonts w:ascii="Arial" w:cs="Arial" w:eastAsia="Arial" w:hAnsi="Arial"/>
                <w:sz w:val="16"/>
                <w:szCs w:val="16"/>
                <w:color w:val="auto"/>
              </w:rPr>
              <w:t>Cost of revenue</w:t>
            </w:r>
          </w:p>
        </w:tc>
        <w:tc>
          <w:tcPr>
            <w:tcW w:w="34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9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9120" w:type="dxa"/>
            <w:vAlign w:val="bottom"/>
            <w:gridSpan w:val="2"/>
          </w:tcPr>
          <w:p>
            <w:pPr>
              <w:ind w:left="340"/>
              <w:spacing w:after="0"/>
              <w:rPr>
                <w:sz w:val="20"/>
                <w:szCs w:val="20"/>
                <w:color w:val="auto"/>
              </w:rPr>
            </w:pPr>
            <w:r>
              <w:rPr>
                <w:rFonts w:ascii="Arial" w:cs="Arial" w:eastAsia="Arial" w:hAnsi="Arial"/>
                <w:sz w:val="16"/>
                <w:szCs w:val="16"/>
                <w:color w:val="auto"/>
              </w:rPr>
              <w:t>Product development</w:t>
            </w: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7"/>
        </w:trPr>
        <w:tc>
          <w:tcPr>
            <w:tcW w:w="818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9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Income from operations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9120" w:type="dxa"/>
            <w:vAlign w:val="bottom"/>
            <w:gridSpan w:val="2"/>
          </w:tcPr>
          <w:p>
            <w:pPr>
              <w:ind w:left="120"/>
              <w:spacing w:after="0"/>
              <w:rPr>
                <w:sz w:val="20"/>
                <w:szCs w:val="20"/>
                <w:color w:val="auto"/>
              </w:rPr>
            </w:pPr>
            <w:r>
              <w:rPr>
                <w:rFonts w:ascii="Arial" w:cs="Arial" w:eastAsia="Arial" w:hAnsi="Arial"/>
                <w:sz w:val="16"/>
                <w:szCs w:val="16"/>
                <w:color w:val="auto"/>
              </w:rPr>
              <w:t>Other income, net</w:t>
            </w: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 %</w:t>
            </w: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9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9120" w:type="dxa"/>
            <w:vAlign w:val="bottom"/>
            <w:gridSpan w:val="2"/>
          </w:tcPr>
          <w:p>
            <w:pPr>
              <w:ind w:left="1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75"/>
        </w:trPr>
        <w:tc>
          <w:tcPr>
            <w:tcW w:w="9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Note: Due to rounding, percentages may not sum to totals.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1500" w:type="dxa"/>
            <w:vAlign w:val="bottom"/>
            <w:tcBorders>
              <w:bottom w:val="single" w:sz="8" w:color="auto"/>
            </w:tcBorders>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00" w:type="dxa"/>
            <w:vAlign w:val="bottom"/>
          </w:tcPr>
          <w:p>
            <w:pPr>
              <w:jc w:val="right"/>
              <w:ind w:right="34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161,285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163,332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(2,047)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4"/>
        </w:trPr>
        <w:tc>
          <w:tcPr>
            <w:tcW w:w="516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69,123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69,218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42,660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44,446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(1,786)</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224"/>
        </w:trPr>
        <w:tc>
          <w:tcPr>
            <w:tcW w:w="516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13,069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14,986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19"/>
                <w:szCs w:val="19"/>
                <w:color w:val="auto"/>
              </w:rPr>
            </w:pPr>
          </w:p>
        </w:tc>
        <w:tc>
          <w:tcPr>
            <w:tcW w:w="1500" w:type="dxa"/>
            <w:vAlign w:val="bottom"/>
          </w:tcPr>
          <w:p>
            <w:pPr>
              <w:jc w:val="right"/>
              <w:ind w:right="100"/>
              <w:spacing w:after="0"/>
              <w:rPr>
                <w:sz w:val="20"/>
                <w:szCs w:val="20"/>
                <w:color w:val="auto"/>
              </w:rPr>
            </w:pPr>
            <w:r>
              <w:rPr>
                <w:rFonts w:ascii="Arial" w:cs="Arial" w:eastAsia="Arial" w:hAnsi="Arial"/>
                <w:sz w:val="16"/>
                <w:szCs w:val="16"/>
                <w:color w:val="auto"/>
              </w:rPr>
              <w:t>(13)</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30,652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26,583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4,069</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r>
      <w:tr>
        <w:trPr>
          <w:trHeight w:val="217"/>
        </w:trPr>
        <w:tc>
          <w:tcPr>
            <w:tcW w:w="516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155,504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155,233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8,099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(2,318)</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9"/>
                <w:szCs w:val="19"/>
                <w:color w:val="auto"/>
              </w:rPr>
            </w:pPr>
          </w:p>
        </w:tc>
        <w:tc>
          <w:tcPr>
            <w:tcW w:w="1500" w:type="dxa"/>
            <w:vAlign w:val="bottom"/>
          </w:tcPr>
          <w:p>
            <w:pPr>
              <w:jc w:val="right"/>
              <w:ind w:right="100"/>
              <w:spacing w:after="0"/>
              <w:rPr>
                <w:sz w:val="20"/>
                <w:szCs w:val="20"/>
                <w:color w:val="auto"/>
              </w:rPr>
            </w:pPr>
            <w:r>
              <w:rPr>
                <w:rFonts w:ascii="Arial" w:cs="Arial" w:eastAsia="Arial" w:hAnsi="Arial"/>
                <w:sz w:val="16"/>
                <w:szCs w:val="16"/>
                <w:color w:val="auto"/>
              </w:rPr>
              <w:t>(43)</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8,995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(2,701)</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r>
      <w:tr>
        <w:trPr>
          <w:trHeight w:val="223"/>
        </w:trPr>
        <w:tc>
          <w:tcPr>
            <w:tcW w:w="5160" w:type="dxa"/>
            <w:vAlign w:val="bottom"/>
          </w:tcPr>
          <w:p>
            <w:pPr>
              <w:ind w:left="120"/>
              <w:spacing w:after="0"/>
              <w:rPr>
                <w:sz w:val="20"/>
                <w:szCs w:val="20"/>
                <w:color w:val="auto"/>
              </w:rPr>
            </w:pPr>
            <w:r>
              <w:rPr>
                <w:rFonts w:ascii="Arial" w:cs="Arial" w:eastAsia="Arial" w:hAnsi="Arial"/>
                <w:sz w:val="16"/>
                <w:szCs w:val="16"/>
                <w:color w:val="auto"/>
              </w:rPr>
              <w:t>Benefit for income taxes</w:t>
            </w:r>
          </w:p>
        </w:tc>
        <w:tc>
          <w:tcPr>
            <w:tcW w:w="3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9"/>
                <w:szCs w:val="19"/>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34</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7,522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(3,204)</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Percentage change is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Revenue decreased by $2.0 million, or 1%, to $161.3 million in the three months ended March 31, 2020 compared to the same period in 2019. On a constant currency basis, revenue decreased approximately 0.5%, in the three months ended March 31, 2020, compared to the same period in 2019.</w:t>
      </w:r>
    </w:p>
    <w:p>
      <w:pPr>
        <w:spacing w:after="0" w:line="4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Company’s E-commerce revenues increased by 2%, to $99.7 million in the three months ended March 31, 2020, compared to the same period in 2019, and was not significantly impacted by foreign currency fluctuations. During the three months ended March 31, 2020, growth in our E-commerce sales channel was driven by shifting resources to more efficient performance marketing channels as well as expanding free trial offerings, which tend to drive new customers toward recurring subscription products.</w:t>
      </w:r>
    </w:p>
    <w:p>
      <w:pPr>
        <w:spacing w:after="0" w:line="119"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The Company’s Enterprise revenues decreased by 6%, to $61.5 million in the three months ended March 31, 2020, compared to the same period in 2019. On a constant currency basis, the Company’s Enterprise revenues decreased by approximately 5% in the three months ended March 31, 2020, compared to the same period in 2019. We continue to face headwinds in our Enterprise sales channel and we are implementing changes, including optimizing the sales organization and making revisions to compensation plans, which we believe will improve our Enterprise sales channel operations.</w:t>
      </w:r>
    </w:p>
    <w:p>
      <w:pPr>
        <w:spacing w:after="0" w:line="9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Revenue growth for the three months ended March 31, 2020 was also unfavorably affected by the global COVID-19 pandemic and its impact on our customers and their ability to spend marketing budgets on our products. We expect COVID-19 to continue to have an unfavorable impact on our 2020 revenues.</w:t>
      </w:r>
    </w:p>
    <w:p>
      <w:pPr>
        <w:spacing w:after="0" w:line="103"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In the three months ended March 31, 2020 and 2019, we delivered 46.8 million and 47.2 million paid downloads, respectively, and our revenue per download remained flat at $3.42 for the three months ended March 31, 2020 and 2019. During the three months ended March 31, 2020, the 0.8% decrease in the number of paid downloads compared to the same period in 2019, is correlated with the year over year decline in revenues.</w:t>
      </w:r>
    </w:p>
    <w:p>
      <w:pPr>
        <w:spacing w:after="0" w:line="8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Changes in our revenue by region were as follows: revenue from North America decreased by $0.5 million, or 1%, to $57.0 million, revenue from Europe decreased by $1.7 million, or 3%, to $53.8 million and revenue from outside Europe and North America remained relatively flat at $50.5 million, in the three months ended March 31, 2020 compared to the same period in 2019.</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 Cost of revenue decreased by $0.1 million, to $69.1 million in the three months ended March 31, 2020 compared to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2019. Royalties expense, which is primarily incurred as content is downloaded, decreased $2.2 million, or 5% for the three months ended March 31, 2020, compared to the same period in 2019. The Company’s royalty rate was approximately 25.6% and 26.6% for the three months ended March 31, 2020 and 2019, respectively, and fluctuates based on customer usage and the mix of products sold. These declines were partially offset by $1.1 million in higher employee related costs, substantially consisting of severance charges. We expect that our cost of revenue will fluctuate in line with changes in revenue.</w:t>
      </w:r>
    </w:p>
    <w:p>
      <w:pPr>
        <w:spacing w:after="0" w:line="53"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by $1.8 million, or 4%, to $42.7 million in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As a percent of revenue, sales and marketing expenses decreased to 26% for the three months ended March 31, 2020, from 27% for the same period in 2019. This decrease was primarily driven by a $1.4 million decline in marketing spend as we focused resources on more efficient customer acquisition and improved marketing return on investment. We expect sales and marketing expenses to fluctuate as we optimize our sales channels and invest in new customer acquisition, products and geographies.</w:t>
      </w:r>
    </w:p>
    <w:p>
      <w:pPr>
        <w:spacing w:after="0" w:line="6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 Product development expenses decreased by $1.9 million, or 13%, to $13.1 million in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This decrease was primarily driven by a reduction in software and other technology costs for the three months ended March 31, 2020, as compared to the same period in the prior year. Employee and third-party contractor related costs, net of capitalized labor, remained relatively flat for the three months ended March 31, 2020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7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 General and administrative expenses increased by $4.1 million, or 15%, to $30.7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2020 compared to the same period in 2019. This increase was primarily driven by: (i) higher employee-related costs of $3.1 million for the three months ended March 31, 2020 as compared to the same period in 2019, primarily associated with increased headcount related to ensuring the stability and security of the Company’s technology infrastructure; (ii) severance charges of approximately $1.2 million incurred during the three months ended March 31, 2020; and (iii) a year over year increase of $1.3 million in bad debt expense, driven by $0.7 million of bad debt expense recorded for the three months ended March 31, 2020 and a benefit of $0.6 million recorded in the same quarter in 2019. The increase in general and administrative expenses was partially offset by a reduction in expense of $0.9 million, associated with the 2019 accrual of long-term incentives, related to our 2017 acquisition of Flashstock Technology, Inc. (“Flashstock”). We expect to continue to incur general and administrative expenses to support our global operational growth and enhancements to support our reporting and planning functions.</w:t>
      </w:r>
    </w:p>
    <w:p>
      <w:pPr>
        <w:spacing w:after="0" w:line="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In the three months ended March 31, 2020, approximately $1.1 million of other income consisted of interest income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$0.6 million of unfavorable foreign currency fluctuations.</w:t>
      </w:r>
    </w:p>
    <w:p>
      <w:pPr>
        <w:spacing w:after="0" w:line="62"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During the three months ended March 31, 2019, approximately $1.1 million of other income consisted of interest income which was partially offset by $0.2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Income tax expense increased by $0.5 million for the three months ended March 31, 2020 as compared to the same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yielded an expense of 31.4% and 16.4% for the three months ended March 31, 2020 and 2019, respectively.</w:t>
      </w:r>
    </w:p>
    <w:p>
      <w:pPr>
        <w:spacing w:after="0" w:line="103" w:lineRule="exact"/>
        <w:rPr>
          <w:sz w:val="20"/>
          <w:szCs w:val="20"/>
          <w:color w:val="auto"/>
        </w:rPr>
      </w:pPr>
    </w:p>
    <w:p>
      <w:pPr>
        <w:jc w:val="both"/>
        <w:ind w:right="360" w:firstLine="405"/>
        <w:spacing w:after="0" w:line="311" w:lineRule="auto"/>
        <w:rPr>
          <w:sz w:val="20"/>
          <w:szCs w:val="20"/>
          <w:color w:val="auto"/>
        </w:rPr>
      </w:pPr>
      <w:r>
        <w:rPr>
          <w:rFonts w:ascii="Arial" w:cs="Arial" w:eastAsia="Arial" w:hAnsi="Arial"/>
          <w:sz w:val="16"/>
          <w:szCs w:val="16"/>
          <w:color w:val="auto"/>
        </w:rPr>
        <w:t>For the three months ended March 31, 2020, the effective tax rate increased by 6.9% as a result of a loss jurisdiction with no tax benefit. Discrete items further increased the effective tax rate by 3.0%. Excluding these items, our effective tax rate would have been 21.5% for the three months ended March 31, 2020. For the three months ended March 31, 2019, the net effect of discrete items decreased the effective tax rate by 1.2%.</w:t>
      </w:r>
    </w:p>
    <w:p>
      <w:pPr>
        <w:spacing w:after="0" w:line="8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operating results may fluctuate from quarter to quarter as a result of a variety of factors, including the effects of some seasonal trends in customer behavior. For example, we expect certain customers’ usage may decrease during the third quarter of each calendar year due to the summer vacation season and may increase in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56"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customers’ expenditure on content tends to be discretionary in nature and has been impacted by COVID-19. We cannot estimate when a recovery will occur and therefore, the results of any prior quarterly or annual period should not be relied upon as indicators of our future operating performance. See Part II, “Item 1A.—Risk Factors—The effect of the COVID-19 pandemic on our operations, and the operations of our customers, partners and suppliers, could have a material adverse effect on our business, financial condition, cash flows and results of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March 31, 2020, we had cash and cash equivalents totaling $295.7 million which primarily consisted of bank balances. Since inception, we have financed our operations primarily through cash flows generated from operations.</w:t>
      </w:r>
    </w:p>
    <w:p>
      <w:pPr>
        <w:spacing w:after="0" w:line="62"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Historically, our principal uses of cash have included funding our operations, capital expenditures, content acquisitions, business combinations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declared and paid cash dividends of $0.17 per share of common stock, or $6.0 million during the three months ended March 31, 2020.</w:t>
      </w:r>
    </w:p>
    <w:p>
      <w:pPr>
        <w:spacing w:after="0" w:line="1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April 20, 2020, our Board of Directors declared a quarterly cash dividend of $0.17 per share of outstanding common stock payable on June 18, 2020 to stockholders of record at the close of business on June 4, 2020. Future declaration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6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87"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As of March 31, 2020, we have repurchased approximately 2,558,000 shares of our common stock under the share repurchase program at an average per-share cost of $39.09. During the three months ended March 31, 2020, we did not repurchase any shares of our common stock under the share repurchase program. As of March 31, 2020, we had $100 million of remaining authorization for share repurchases under the share repurchase program.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6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200" w:lineRule="exact"/>
        <w:rPr>
          <w:sz w:val="20"/>
          <w:szCs w:val="20"/>
          <w:color w:val="auto"/>
        </w:rPr>
      </w:pPr>
    </w:p>
    <w:p>
      <w:pPr>
        <w:spacing w:after="0" w:line="31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During the three months ended March 31, 2020, shares with an aggregate value of $1.8 million were withheld upon vesting of RSUs and paid in connection with related remittance to taxing authorities.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12 to our Unaudited Consolidated Financial Statements included in Part I, Item 1 of this Quarterly Report on Form 10-Q for information regarding our existing capital commitments as of March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data for the three months ended March 31, 2020 and 2019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4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center"/>
              <w:ind w:left="343"/>
              <w:spacing w:after="0"/>
              <w:rPr>
                <w:sz w:val="20"/>
                <w:szCs w:val="20"/>
                <w:color w:val="auto"/>
              </w:rPr>
            </w:pPr>
            <w:r>
              <w:rPr>
                <w:rFonts w:ascii="Arial" w:cs="Arial" w:eastAsia="Arial" w:hAnsi="Arial"/>
                <w:sz w:val="16"/>
                <w:szCs w:val="16"/>
                <w:color w:val="auto"/>
                <w:w w:val="89"/>
              </w:rPr>
              <w:t>6,859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19,709</w:t>
            </w:r>
          </w:p>
        </w:tc>
      </w:tr>
      <w:tr>
        <w:trPr>
          <w:trHeight w:val="224"/>
        </w:trPr>
        <w:tc>
          <w:tcPr>
            <w:tcW w:w="84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center"/>
              <w:ind w:left="323"/>
              <w:spacing w:after="0"/>
              <w:rPr>
                <w:sz w:val="20"/>
                <w:szCs w:val="20"/>
                <w:color w:val="auto"/>
              </w:rPr>
            </w:pPr>
            <w:r>
              <w:rPr>
                <w:rFonts w:ascii="Arial" w:cs="Arial" w:eastAsia="Arial" w:hAnsi="Arial"/>
                <w:sz w:val="16"/>
                <w:szCs w:val="16"/>
                <w:color w:val="auto"/>
                <w:w w:val="90"/>
              </w:rPr>
              <w:t>(8,411)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440"/>
              <w:spacing w:after="0"/>
              <w:rPr>
                <w:sz w:val="20"/>
                <w:szCs w:val="20"/>
                <w:color w:val="auto"/>
              </w:rPr>
            </w:pPr>
            <w:r>
              <w:rPr>
                <w:rFonts w:ascii="Arial" w:cs="Arial" w:eastAsia="Arial" w:hAnsi="Arial"/>
                <w:sz w:val="16"/>
                <w:szCs w:val="16"/>
                <w:color w:val="auto"/>
              </w:rPr>
              <w:t>(5,298)</w:t>
            </w:r>
          </w:p>
        </w:tc>
      </w:tr>
      <w:tr>
        <w:trPr>
          <w:trHeight w:val="3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center"/>
              <w:ind w:left="303"/>
              <w:spacing w:after="0"/>
              <w:rPr>
                <w:sz w:val="20"/>
                <w:szCs w:val="20"/>
                <w:color w:val="auto"/>
              </w:rPr>
            </w:pPr>
            <w:r>
              <w:rPr>
                <w:rFonts w:ascii="Arial" w:cs="Arial" w:eastAsia="Arial" w:hAnsi="Arial"/>
                <w:sz w:val="16"/>
                <w:szCs w:val="16"/>
                <w:color w:val="auto"/>
                <w:w w:val="94"/>
              </w:rPr>
              <w:t>(7,801)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(3,876)</w:t>
            </w:r>
          </w:p>
        </w:tc>
      </w:tr>
      <w:tr>
        <w:trPr>
          <w:trHeight w:val="33"/>
        </w:trPr>
        <w:tc>
          <w:tcPr>
            <w:tcW w:w="8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63"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Net cash provided by operating activities was $6.9 million for the three months ended March 31, 2020, compared to $19.7 million for the three months ended March 31, 2019. In the three months ended March 31, 2020, operating cash flows were unfavorably impacted by $7.8 million of one-time payments associated with long-term incentives related to our 2017 acquisition of Flashstock. Operating cash flows were also unfavorably impacted by the reduction in revenues and other changes in the timing of payments pertaining to operating expenses, which can cause operating cash flow to fluctuate from period to period.</w:t>
      </w:r>
    </w:p>
    <w:p>
      <w:pPr>
        <w:spacing w:after="0" w:line="107" w:lineRule="exact"/>
        <w:rPr>
          <w:sz w:val="20"/>
          <w:szCs w:val="20"/>
          <w:color w:val="auto"/>
        </w:rPr>
      </w:pPr>
    </w:p>
    <w:p>
      <w:pPr>
        <w:ind w:right="320" w:firstLine="405"/>
        <w:spacing w:after="0" w:line="375" w:lineRule="auto"/>
        <w:rPr>
          <w:sz w:val="20"/>
          <w:szCs w:val="20"/>
          <w:color w:val="auto"/>
        </w:rPr>
      </w:pPr>
      <w:r>
        <w:rPr>
          <w:rFonts w:ascii="Arial" w:cs="Arial" w:eastAsia="Arial" w:hAnsi="Arial"/>
          <w:sz w:val="18"/>
          <w:szCs w:val="18"/>
          <w:color w:val="auto"/>
        </w:rPr>
        <w:t xml:space="preserve">In addition, the Company paid net cash taxes of $0.5 million and $0.3 million, for the three months ended March 31, 2020 and 2019, respectively. </w:t>
      </w:r>
      <w:r>
        <w:rPr>
          <w:rFonts w:ascii="Arial" w:cs="Arial" w:eastAsia="Arial" w:hAnsi="Arial"/>
          <w:sz w:val="18"/>
          <w:szCs w:val="18"/>
          <w:i w:val="1"/>
          <w:iCs w:val="1"/>
          <w:color w:val="auto"/>
        </w:rPr>
        <w:t>Investing Activities</w:t>
      </w:r>
    </w:p>
    <w:p>
      <w:pPr>
        <w:spacing w:after="0" w:line="1"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Cash used in investing activities for the three months ended March 31, 2020 was $8.4 million, consisting primarily of capital expenditures of $7.7 million for internal-use software and website development costs and purchases of software and equipment and $0.7 million paid to acquire the rights to distribute certain digital content in perpetuity.</w:t>
      </w:r>
    </w:p>
    <w:p>
      <w:pPr>
        <w:spacing w:after="0" w:line="7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used in investing activities in the three months ended March 31, 2019 was $5.3 million, consisting primarily of capital expenditures of $7.3 million for internal-use software and website development costs and purchases of software and equipment, partially offset by $2.5 million of cash received during the three months ended March 31, 2019 from escrowed funds related to the sale of Webdam, our former digital asset management business, which was sold in February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63" w:lineRule="exact"/>
        <w:rPr>
          <w:sz w:val="20"/>
          <w:szCs w:val="20"/>
          <w:color w:val="auto"/>
        </w:rPr>
      </w:pPr>
    </w:p>
    <w:p>
      <w:pPr>
        <w:jc w:val="both"/>
        <w:ind w:right="440" w:firstLine="405"/>
        <w:spacing w:after="0" w:line="263" w:lineRule="auto"/>
        <w:rPr>
          <w:sz w:val="20"/>
          <w:szCs w:val="20"/>
          <w:color w:val="auto"/>
        </w:rPr>
      </w:pPr>
      <w:r>
        <w:rPr>
          <w:rFonts w:ascii="Arial" w:cs="Arial" w:eastAsia="Arial" w:hAnsi="Arial"/>
          <w:sz w:val="18"/>
          <w:szCs w:val="18"/>
          <w:color w:val="auto"/>
        </w:rPr>
        <w:t>Cash used in financing activities in the three months ended March 31, 2020 was $7.8 million, consisting primarily of $6.0 million related to the payment of the quarterly cash dividend and $1.8 million, which was paid in settlement of tax withholding obligations related to employee stock-based compensation awards.</w:t>
      </w:r>
    </w:p>
    <w:p>
      <w:pPr>
        <w:spacing w:after="0" w:line="76"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Cash used in financing activities in the three months ended March 31, 2019 was $3.9 million, consisting primarily of $4.1 million, which was paid in settlement of tax withholding obligations related to employee stock-based compensation awards. These amounts were partially offset by proceeds of approximately $0.2 million from the issuance of common stock in connection with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lease real estate under operating lease agreements that expire on various dates during the period from 2020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79"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On March 21, 2013, we entered into an operating lease agreement to lease our headquarters in New York City, which was amended in 2016. The aggregate undiscounted future minimum lease payments under the lease, as amended, are approximately $60.6 million. We are also party to a letter of credit as a security deposit for this leased facility, which was reduced from $2.6 million to $1.7 million in February 2020. As of March 31, 2020, the Company is no longer required to provide cash collateral for its letter of credit, and, accordingly, these funds are no longer restricted.</w:t>
      </w:r>
    </w:p>
    <w:p>
      <w:pPr>
        <w:spacing w:after="0" w:line="4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Additionally, as of March 31, 2020, aggregate undiscounted future minimum lease payments under other operating leases are approximately $9.9 million.</w:t>
      </w:r>
    </w:p>
    <w:p>
      <w:pPr>
        <w:spacing w:after="0" w:line="62"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enter into unconditional purchase obligations related to contracts for cloud-based services, infrastructure and other business services as well as minimum royalty guarantees in connection with certain content licenses. As of March 31, 2020, our guaranteed royalty payments and unconditional purchase obligations for the remainder of 2020 and for the fiscal years ending December 31, 2021 and 2022 were approximately $20.5 million, $16.4 million and $4.4 million,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As of March 31, 2020,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9" w:name="page30"/>
    <w:bookmarkEnd w:id="29"/>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foreign currency exchange rate fluctuation, interest rate fluctuation and inflation.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36% and 35% for the three months ended March 31, 2020 and 2019,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three months ended March 31, 2020, we estimate that a 10% change in the exchange rate of the U.S. dollar against all foreign currency denominated revenues would result in an approximately 3% impact on our revenue.</w:t>
      </w:r>
    </w:p>
    <w:p>
      <w:pPr>
        <w:spacing w:after="0" w:line="11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historical revenue by currency is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British pounds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All other non-U.S. currencies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Total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dollar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revenue</w:t>
      </w:r>
    </w:p>
    <w:p>
      <w:pPr>
        <w:spacing w:after="0" w:line="25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no single currency which exceeded 5% of total revenue for any of the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2020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2019</w:t>
            </w:r>
          </w:p>
        </w:tc>
        <w:tc>
          <w:tcPr>
            <w:tcW w:w="800" w:type="dxa"/>
            <w:vAlign w:val="bottom"/>
            <w:tcBorders>
              <w:bottom w:val="single" w:sz="8" w:color="auto"/>
            </w:tcBorders>
          </w:tcPr>
          <w:p>
            <w:pPr>
              <w:spacing w:after="0"/>
              <w:rPr>
                <w:sz w:val="15"/>
                <w:szCs w:val="15"/>
                <w:color w:val="auto"/>
              </w:rPr>
            </w:pPr>
          </w:p>
        </w:tc>
      </w:tr>
      <w:tr>
        <w:trPr>
          <w:trHeight w:val="144"/>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Originating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68"/>
              <w:spacing w:after="0" w:line="144" w:lineRule="exact"/>
              <w:rPr>
                <w:sz w:val="20"/>
                <w:szCs w:val="20"/>
                <w:color w:val="auto"/>
              </w:rPr>
            </w:pPr>
            <w:r>
              <w:rPr>
                <w:rFonts w:ascii="Arial" w:cs="Arial" w:eastAsia="Arial" w:hAnsi="Arial"/>
                <w:sz w:val="13"/>
                <w:szCs w:val="13"/>
                <w:b w:val="1"/>
                <w:bCs w:val="1"/>
                <w:color w:val="auto"/>
                <w:w w:val="92"/>
              </w:rPr>
              <w:t>Originating</w:t>
            </w:r>
          </w:p>
        </w:tc>
      </w:tr>
      <w:tr>
        <w:trPr>
          <w:trHeight w:val="174"/>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87"/>
              </w:rPr>
              <w:t>U.S. Dollars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87"/>
              </w:rPr>
              <w:t>U.S. Dollars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3"/>
                <w:szCs w:val="13"/>
                <w:b w:val="1"/>
                <w:bCs w:val="1"/>
                <w:color w:val="auto"/>
              </w:rPr>
              <w:t>Currency</w:t>
            </w:r>
          </w:p>
        </w:tc>
      </w:tr>
      <w:tr>
        <w:trPr>
          <w:trHeight w:val="223"/>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33,692</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6"/>
                <w:szCs w:val="16"/>
                <w:color w:val="auto"/>
              </w:rPr>
              <w:t>30,378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33,075</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6"/>
                <w:szCs w:val="16"/>
                <w:color w:val="auto"/>
              </w:rPr>
              <w:t>28,671</w:t>
            </w:r>
          </w:p>
        </w:tc>
      </w:tr>
      <w:tr>
        <w:trPr>
          <w:trHeight w:val="256"/>
        </w:trPr>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12,203</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8"/>
              <w:spacing w:after="0"/>
              <w:rPr>
                <w:sz w:val="20"/>
                <w:szCs w:val="20"/>
                <w:color w:val="auto"/>
              </w:rPr>
            </w:pPr>
            <w:r>
              <w:rPr>
                <w:rFonts w:ascii="Arial" w:cs="Arial" w:eastAsia="Arial" w:hAnsi="Arial"/>
                <w:sz w:val="16"/>
                <w:szCs w:val="16"/>
                <w:color w:val="auto"/>
              </w:rPr>
              <w:t>9,470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12,114</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8"/>
              <w:spacing w:after="0"/>
              <w:rPr>
                <w:sz w:val="20"/>
                <w:szCs w:val="20"/>
                <w:color w:val="auto"/>
              </w:rPr>
            </w:pPr>
            <w:r>
              <w:rPr>
                <w:rFonts w:ascii="Arial" w:cs="Arial" w:eastAsia="Arial" w:hAnsi="Arial"/>
                <w:sz w:val="16"/>
                <w:szCs w:val="16"/>
                <w:color w:val="auto"/>
              </w:rPr>
              <w:t>9,256</w:t>
            </w:r>
          </w:p>
        </w:tc>
      </w:tr>
      <w:tr>
        <w:trPr>
          <w:trHeight w:val="257"/>
        </w:trPr>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7"/>
        </w:trPr>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10"/>
        </w:trPr>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103,595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106,382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161,285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163,332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822" w:lineRule="exact"/>
        <w:rPr>
          <w:sz w:val="20"/>
          <w:szCs w:val="20"/>
          <w:color w:val="auto"/>
        </w:rPr>
      </w:pPr>
    </w:p>
    <w:p>
      <w:pPr>
        <w:sectPr>
          <w:pgSz w:w="11900" w:h="16838" w:orient="portrait"/>
          <w:cols w:equalWidth="0" w:num="2">
            <w:col w:w="6560" w:space="720"/>
            <w:col w:w="3960"/>
          </w:cols>
          <w:pgMar w:left="320" w:top="125" w:right="339" w:bottom="1440" w:gutter="0" w:footer="0" w:header="0"/>
          <w:type w:val="continuous"/>
        </w:sectPr>
      </w:pPr>
    </w:p>
    <w:p>
      <w:pPr>
        <w:jc w:val="both"/>
        <w:ind w:right="100" w:firstLine="405"/>
        <w:spacing w:after="0" w:line="263"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any long-term borrowings as of March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2020.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88"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1" w:name="page32"/>
    <w:bookmarkEnd w:id="31"/>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2019 Form 10-K, which could materially affect our business, financial condition or future results. During the three months ended March 31, 2020, there were no material changes to these risk factors as described in our 2019 Form 10-K except as noted below.</w:t>
      </w:r>
    </w:p>
    <w:p>
      <w:pPr>
        <w:spacing w:after="0" w:line="200" w:lineRule="exact"/>
        <w:rPr>
          <w:sz w:val="20"/>
          <w:szCs w:val="20"/>
          <w:color w:val="auto"/>
        </w:rPr>
      </w:pPr>
    </w:p>
    <w:p>
      <w:pPr>
        <w:spacing w:after="0" w:line="2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effect of the COVID-19 pandemic on our operations, and the operations of our customers, partners and suppliers, could have a material adverse effect on our business, financial condition, cash flows and results of operations.</w:t>
      </w:r>
    </w:p>
    <w:p>
      <w:pPr>
        <w:spacing w:after="0" w:line="62"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In December 2019, a novel coronavirus disease (“COVID-19”) was initially reported and on March 11, 2020, the World Health Organization characterized COVID-19 as a pandemic. COVID-19 has had a widespread and detrimental effect on the global economy as a result of the continued increase in the number of cases and affected countries and actions by public health and governmental authorities, businesses, other organizations and individuals to address the outbreak, including travel bans and restrictions, quarantines, shelter in place, stay at home or total lock-down orders and business limitations and shutdowns. The duration and severity of COVID-19 and the degree of its impact on our business is uncertain and difficult to predict. The continued spread of the outbreak could result in one or more of the following conditions that could have a material adverse impact on our business operations and financial condition: decreased business spending by our customers and prospective customers, reduced demand for our products, lower renewal rates by our customers; increased customer losses/churn; increased challenges in or cost of acquiring new customers; reduction in the amount of content uploaded by our contributors and/or reduction in the number of contributors on our site because of reduced royalties earned by our contributors; inability of our Custom contributors to complete assignments because of travel restrictions; increased competition; increased risk in collectability of accounts receivable; reduced productivity due to remote work arrangements; lost productivity due to illness and/or illness of family members; inability to hire key roles; adverse effects on our strategic partners’ businesses; impairment charges; extreme currency exchange-rate fluctuations; inability to recover costs from insurance carriers; business continuity concerns for us and our third-party vendors; increased risk of privacy and cybersecurity breaches from increased remote working; and challenges with Internet infrastructure due to high loads. If we are not able to respond to and manage the potential impact of such events effectively, our business could be harmed.</w:t>
      </w:r>
    </w:p>
    <w:p>
      <w:pPr>
        <w:spacing w:after="0" w:line="74"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As we generally recognize revenue from our customers as content is downloaded, the impact to our reported revenue resulting from recent and near-term changes in our sales activity due to COVID-19 may not be fully apparent until future periods. Our efforts to help mitigate the negative impact of the outbreak on our business may not be effective, and we may be affected by a protracted economic downturn. Furthermore, while many governmental authorities around the world have and continue to enact legislation to address the impact of COVID-19, including measures intended to mitigate some of the more severe anticipated economic effects of the virus, we may not benefit from such legislation or such legislation may prove to be ineffective in addressing COVID-19’s impact on our and our customer’s businesses and operations.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5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addition, the overall uncertainty regarding the economic impact of the COVID-19 pandemic and the impact on our revenue growth, could impact our cash flows from operations and liquidity. Material changes to our cash flows, liquidity and the volatility of the stock market and our stock price could impact our capital allocation strategy, including our recently introduced quarterly dividend program and our outstanding authorization under our stock repurchase program.</w:t>
      </w:r>
    </w:p>
    <w:p>
      <w:pPr>
        <w:spacing w:after="0" w:line="200" w:lineRule="exact"/>
        <w:rPr>
          <w:sz w:val="20"/>
          <w:szCs w:val="20"/>
          <w:color w:val="auto"/>
        </w:rPr>
      </w:pPr>
    </w:p>
    <w:p>
      <w:pPr>
        <w:spacing w:after="0" w:line="32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33" w:name="page34"/>
    <w:bookmarkEnd w:id="33"/>
    <w:p>
      <w:pPr>
        <w:ind w:left="4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42" w:lineRule="exact"/>
        <w:rPr>
          <w:sz w:val="20"/>
          <w:szCs w:val="20"/>
          <w:color w:val="auto"/>
        </w:rPr>
      </w:pPr>
    </w:p>
    <w:p>
      <w:pPr>
        <w:ind w:left="160"/>
        <w:spacing w:after="0"/>
        <w:tabs>
          <w:tab w:leader="none" w:pos="54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41" w:lineRule="exact"/>
        <w:rPr>
          <w:sz w:val="20"/>
          <w:szCs w:val="20"/>
          <w:color w:val="auto"/>
        </w:rPr>
      </w:pPr>
    </w:p>
    <w:p>
      <w:pPr>
        <w:spacing w:after="0"/>
        <w:tabs>
          <w:tab w:leader="none" w:pos="940" w:val="left"/>
        </w:tabs>
        <w:rPr>
          <w:rFonts w:ascii="Arial" w:cs="Arial" w:eastAsia="Arial" w:hAnsi="Arial"/>
          <w:sz w:val="14"/>
          <w:szCs w:val="14"/>
          <w:u w:val="single" w:color="auto"/>
          <w:color w:val="0000FF"/>
        </w:rPr>
      </w:pPr>
      <w:r>
        <w:rPr>
          <w:rFonts w:ascii="Arial" w:cs="Arial" w:eastAsia="Arial" w:hAnsi="Arial"/>
          <w:sz w:val="16"/>
          <w:szCs w:val="16"/>
          <w:color w:val="auto"/>
        </w:rPr>
        <w:t>10.1</w:t>
      </w:r>
      <w:r>
        <w:rPr>
          <w:sz w:val="20"/>
          <w:szCs w:val="20"/>
          <w:color w:val="auto"/>
        </w:rPr>
        <w:tab/>
      </w:r>
      <w:hyperlink w:anchor="page36">
        <w:r>
          <w:rPr>
            <w:rFonts w:ascii="Arial" w:cs="Arial" w:eastAsia="Arial" w:hAnsi="Arial"/>
            <w:sz w:val="14"/>
            <w:szCs w:val="14"/>
            <w:u w:val="single" w:color="auto"/>
            <w:color w:val="0000FF"/>
          </w:rPr>
          <w:t>Mutual Separation Agreement and General Release, dated February 25, 2020, between the Company and Lisa Nadler</w:t>
        </w:r>
      </w:hyperlink>
    </w:p>
    <w:p>
      <w:pPr>
        <w:sectPr>
          <w:pgSz w:w="11900" w:h="16838" w:orient="portrait"/>
          <w:cols w:equalWidth="0" w:num="1">
            <w:col w:w="10980"/>
          </w:cols>
          <w:pgMar w:left="340" w:top="125" w:right="5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31.1#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31.2#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101.INS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00"/>
        <w:spacing w:after="0"/>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Mutual Separation Agreement and General Release, dated March 23, 2020, between the Company and Lou Weiss (incorporated by reference to Exhibit</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10.1 to the Company’s Current Report on Form 8-K filed on April 15, 2020 (File No. 001-35699))</w:t>
        </w:r>
      </w:hyperlink>
    </w:p>
    <w:p>
      <w:pPr>
        <w:spacing w:after="0" w:line="10" w:lineRule="exact"/>
        <w:rPr>
          <w:sz w:val="20"/>
          <w:szCs w:val="20"/>
          <w:color w:val="auto"/>
        </w:rPr>
      </w:pPr>
    </w:p>
    <w:p>
      <w:pPr>
        <w:ind w:right="24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Certification of Chief Executive Officer pursuant to Exchange Act Rules 13a-14(a) and 15d-14(a), as adopted pursuant to Section 302 of the Sarbanes-</w:t>
        </w:r>
      </w:hyperlink>
      <w:hyperlink w:anchor="page46">
        <w:r>
          <w:rPr>
            <w:rFonts w:ascii="Arial" w:cs="Arial" w:eastAsia="Arial" w:hAnsi="Arial"/>
            <w:sz w:val="16"/>
            <w:szCs w:val="16"/>
            <w:u w:val="single" w:color="auto"/>
            <w:color w:val="0000FF"/>
          </w:rPr>
          <w:t>Oxley Act of 2002</w:t>
        </w:r>
      </w:hyperlink>
    </w:p>
    <w:p>
      <w:pPr>
        <w:spacing w:after="0" w:line="10" w:lineRule="exact"/>
        <w:rPr>
          <w:sz w:val="20"/>
          <w:szCs w:val="20"/>
          <w:color w:val="auto"/>
        </w:rPr>
      </w:pPr>
    </w:p>
    <w:p>
      <w:pPr>
        <w:ind w:right="44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Certification of Interim Chief Financial Officer pursuant to Exchange Act Rules 13a-14(a) and 15d-14(a), as adopted pursuant to Section 302 of the</w:t>
        </w:r>
      </w:hyperlink>
      <w:r>
        <w:rPr>
          <w:rFonts w:ascii="Arial" w:cs="Arial" w:eastAsia="Arial" w:hAnsi="Arial"/>
          <w:sz w:val="16"/>
          <w:szCs w:val="16"/>
          <w:u w:val="single" w:color="auto"/>
          <w:color w:val="0000FF"/>
        </w:rPr>
        <w:t xml:space="preserve"> </w:t>
      </w:r>
      <w:hyperlink w:anchor="page47">
        <w:r>
          <w:rPr>
            <w:rFonts w:ascii="Arial" w:cs="Arial" w:eastAsia="Arial" w:hAnsi="Arial"/>
            <w:sz w:val="16"/>
            <w:szCs w:val="16"/>
            <w:u w:val="single" w:color="auto"/>
            <w:color w:val="0000FF"/>
          </w:rPr>
          <w:t>Sarbanes-Oxley Act of 2002</w:t>
        </w:r>
      </w:hyperlink>
    </w:p>
    <w:p>
      <w:pPr>
        <w:spacing w:after="0" w:line="10" w:lineRule="exact"/>
        <w:rPr>
          <w:sz w:val="20"/>
          <w:szCs w:val="20"/>
          <w:color w:val="auto"/>
        </w:rPr>
      </w:pPr>
    </w:p>
    <w:p>
      <w:pP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Certification of Chief Executive Officer and Interim Chief Financial Officer pursuant to 18 U.S.C. Section 1350, as adopted pursuant to Section 906 of the</w:t>
        </w:r>
      </w:hyperlink>
      <w:r>
        <w:rPr>
          <w:rFonts w:ascii="Arial" w:cs="Arial" w:eastAsia="Arial" w:hAnsi="Arial"/>
          <w:sz w:val="16"/>
          <w:szCs w:val="16"/>
          <w:u w:val="single" w:color="auto"/>
          <w:color w:val="0000FF"/>
        </w:rPr>
        <w:t xml:space="preserve"> </w:t>
      </w:r>
      <w:hyperlink w:anchor="page48">
        <w:r>
          <w:rPr>
            <w:rFonts w:ascii="Arial" w:cs="Arial" w:eastAsia="Arial" w:hAnsi="Arial"/>
            <w:sz w:val="16"/>
            <w:szCs w:val="16"/>
            <w:u w:val="single" w:color="auto"/>
            <w:color w:val="0000FF"/>
          </w:rPr>
          <w:t>Sarbanes-Oxley Act of 2002</w:t>
        </w:r>
      </w:hyperlink>
    </w:p>
    <w:p>
      <w:pPr>
        <w:spacing w:after="0" w:line="2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line="10" w:lineRule="exact"/>
        <w:rPr>
          <w:sz w:val="20"/>
          <w:szCs w:val="20"/>
          <w:color w:val="auto"/>
        </w:rPr>
      </w:pPr>
    </w:p>
    <w:p>
      <w:pPr>
        <w:sectPr>
          <w:pgSz w:w="11900" w:h="16838" w:orient="portrait"/>
          <w:cols w:equalWidth="0" w:num="2">
            <w:col w:w="560" w:space="400"/>
            <w:col w:w="10020"/>
          </w:cols>
          <w:pgMar w:left="340" w:top="125" w:right="57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6060" w:type="dxa"/>
            <w:vAlign w:val="bottom"/>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606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7"/>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606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6"/>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6060" w:type="dxa"/>
            <w:vAlign w:val="bottom"/>
          </w:tcPr>
          <w:p>
            <w:pPr>
              <w:ind w:left="180"/>
              <w:spacing w:after="0"/>
              <w:rPr>
                <w:sz w:val="20"/>
                <w:szCs w:val="20"/>
                <w:color w:val="auto"/>
              </w:rPr>
            </w:pPr>
            <w:r>
              <w:rPr>
                <w:rFonts w:ascii="Arial" w:cs="Arial" w:eastAsia="Arial" w:hAnsi="Arial"/>
                <w:sz w:val="16"/>
                <w:szCs w:val="16"/>
                <w:color w:val="auto"/>
              </w:rPr>
              <w:t>XBRL Taxonomy Extension Label Linkbase Document</w:t>
            </w:r>
          </w:p>
        </w:tc>
      </w:tr>
      <w:tr>
        <w:trPr>
          <w:trHeight w:val="257"/>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6060" w:type="dxa"/>
            <w:vAlign w:val="bottom"/>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57"/>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6060" w:type="dxa"/>
            <w:vAlign w:val="bottom"/>
          </w:tcPr>
          <w:p>
            <w:pPr>
              <w:ind w:left="180"/>
              <w:spacing w:after="0"/>
              <w:rPr>
                <w:sz w:val="20"/>
                <w:szCs w:val="20"/>
                <w:color w:val="auto"/>
              </w:rPr>
            </w:pPr>
            <w:r>
              <w:rPr>
                <w:rFonts w:ascii="Arial" w:cs="Arial" w:eastAsia="Arial" w:hAnsi="Arial"/>
                <w:sz w:val="16"/>
                <w:szCs w:val="16"/>
                <w:color w:val="auto"/>
                <w:w w:val="93"/>
              </w:rPr>
              <w:t>Cover Page Interactive Data File (formatted as Inline XBRL and contained in Exhibit 101)</w:t>
            </w:r>
          </w:p>
        </w:tc>
      </w:tr>
    </w:tbl>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40" w:top="125" w:right="579" w:bottom="1440" w:gutter="0" w:footer="0" w:header="0"/>
          <w:type w:val="continuous"/>
        </w:sectPr>
      </w:pPr>
    </w:p>
    <w:bookmarkStart w:id="34" w:name="page35"/>
    <w:bookmarkEnd w:id="34"/>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7760" w:type="dxa"/>
            <w:vAlign w:val="bottom"/>
            <w:gridSpan w:val="2"/>
          </w:tcPr>
          <w:p>
            <w:pPr>
              <w:ind w:left="2020"/>
              <w:spacing w:after="0"/>
              <w:rPr>
                <w:sz w:val="20"/>
                <w:szCs w:val="20"/>
                <w:color w:val="auto"/>
              </w:rPr>
            </w:pPr>
            <w:r>
              <w:rPr>
                <w:rFonts w:ascii="Arial" w:cs="Arial" w:eastAsia="Arial" w:hAnsi="Arial"/>
                <w:sz w:val="16"/>
                <w:szCs w:val="16"/>
                <w:b w:val="1"/>
                <w:bCs w:val="1"/>
                <w:color w:val="auto"/>
              </w:rPr>
              <w:t>SHUTTERSTOCK, INC.</w:t>
            </w:r>
          </w:p>
        </w:tc>
      </w:tr>
      <w:tr>
        <w:trPr>
          <w:trHeight w:val="513"/>
        </w:trPr>
        <w:tc>
          <w:tcPr>
            <w:tcW w:w="3440" w:type="dxa"/>
            <w:vAlign w:val="bottom"/>
          </w:tcPr>
          <w:p>
            <w:pPr>
              <w:spacing w:after="0"/>
              <w:rPr>
                <w:sz w:val="20"/>
                <w:szCs w:val="20"/>
                <w:color w:val="auto"/>
              </w:rPr>
            </w:pPr>
            <w:r>
              <w:rPr>
                <w:rFonts w:ascii="Arial" w:cs="Arial" w:eastAsia="Arial" w:hAnsi="Arial"/>
                <w:sz w:val="16"/>
                <w:szCs w:val="16"/>
                <w:color w:val="auto"/>
              </w:rPr>
              <w:t>Dated: April 28, 2020</w:t>
            </w:r>
          </w:p>
        </w:tc>
        <w:tc>
          <w:tcPr>
            <w:tcW w:w="2640" w:type="dxa"/>
            <w:vAlign w:val="bottom"/>
          </w:tcPr>
          <w:p>
            <w:pPr>
              <w:ind w:left="2020"/>
              <w:spacing w:after="0"/>
              <w:rPr>
                <w:sz w:val="20"/>
                <w:szCs w:val="20"/>
                <w:color w:val="auto"/>
              </w:rPr>
            </w:pPr>
            <w:r>
              <w:rPr>
                <w:rFonts w:ascii="Arial" w:cs="Arial" w:eastAsia="Arial" w:hAnsi="Arial"/>
                <w:sz w:val="16"/>
                <w:szCs w:val="16"/>
                <w:color w:val="auto"/>
              </w:rPr>
              <w:t>By:</w:t>
            </w:r>
          </w:p>
        </w:tc>
        <w:tc>
          <w:tcPr>
            <w:tcW w:w="5120" w:type="dxa"/>
            <w:vAlign w:val="bottom"/>
          </w:tcPr>
          <w:p>
            <w:pPr>
              <w:ind w:left="20"/>
              <w:spacing w:after="0"/>
              <w:rPr>
                <w:sz w:val="20"/>
                <w:szCs w:val="20"/>
                <w:color w:val="auto"/>
              </w:rPr>
            </w:pPr>
            <w:r>
              <w:rPr>
                <w:rFonts w:ascii="Arial" w:cs="Arial" w:eastAsia="Arial" w:hAnsi="Arial"/>
                <w:sz w:val="16"/>
                <w:szCs w:val="16"/>
                <w:color w:val="auto"/>
              </w:rPr>
              <w:t>/s/ Jarrod Yahes</w:t>
            </w:r>
          </w:p>
        </w:tc>
      </w:tr>
      <w:tr>
        <w:trPr>
          <w:trHeight w:val="33"/>
        </w:trPr>
        <w:tc>
          <w:tcPr>
            <w:tcW w:w="3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color w:val="auto"/>
              </w:rPr>
              <w:t>Jarrod Yahes</w:t>
            </w:r>
          </w:p>
        </w:tc>
      </w:tr>
      <w:tr>
        <w:trPr>
          <w:trHeight w:val="257"/>
        </w:trPr>
        <w:tc>
          <w:tcPr>
            <w:tcW w:w="34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r>
      <w:tr>
        <w:trPr>
          <w:trHeight w:val="257"/>
        </w:trPr>
        <w:tc>
          <w:tcPr>
            <w:tcW w:w="34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r>
        <w:trPr>
          <w:trHeight w:val="513"/>
        </w:trPr>
        <w:tc>
          <w:tcPr>
            <w:tcW w:w="3440" w:type="dxa"/>
            <w:vAlign w:val="bottom"/>
          </w:tcPr>
          <w:p>
            <w:pPr>
              <w:spacing w:after="0"/>
              <w:rPr>
                <w:sz w:val="20"/>
                <w:szCs w:val="20"/>
                <w:color w:val="auto"/>
              </w:rPr>
            </w:pPr>
            <w:r>
              <w:rPr>
                <w:rFonts w:ascii="Arial" w:cs="Arial" w:eastAsia="Arial" w:hAnsi="Arial"/>
                <w:sz w:val="16"/>
                <w:szCs w:val="16"/>
                <w:color w:val="auto"/>
              </w:rPr>
              <w:t>Dated: April 28, 2020</w:t>
            </w:r>
          </w:p>
        </w:tc>
        <w:tc>
          <w:tcPr>
            <w:tcW w:w="2640" w:type="dxa"/>
            <w:vAlign w:val="bottom"/>
          </w:tcPr>
          <w:p>
            <w:pPr>
              <w:ind w:left="2020"/>
              <w:spacing w:after="0"/>
              <w:rPr>
                <w:sz w:val="20"/>
                <w:szCs w:val="20"/>
                <w:color w:val="auto"/>
              </w:rPr>
            </w:pPr>
            <w:r>
              <w:rPr>
                <w:rFonts w:ascii="Arial" w:cs="Arial" w:eastAsia="Arial" w:hAnsi="Arial"/>
                <w:sz w:val="16"/>
                <w:szCs w:val="16"/>
                <w:color w:val="auto"/>
              </w:rPr>
              <w:t>By:</w:t>
            </w:r>
          </w:p>
        </w:tc>
        <w:tc>
          <w:tcPr>
            <w:tcW w:w="5120" w:type="dxa"/>
            <w:vAlign w:val="bottom"/>
          </w:tcPr>
          <w:p>
            <w:pPr>
              <w:ind w:left="20"/>
              <w:spacing w:after="0"/>
              <w:rPr>
                <w:sz w:val="20"/>
                <w:szCs w:val="20"/>
                <w:color w:val="auto"/>
              </w:rPr>
            </w:pPr>
            <w:r>
              <w:rPr>
                <w:rFonts w:ascii="Arial" w:cs="Arial" w:eastAsia="Arial" w:hAnsi="Arial"/>
                <w:sz w:val="16"/>
                <w:szCs w:val="16"/>
                <w:color w:val="auto"/>
              </w:rPr>
              <w:t>/s/ Steven Ciardiello</w:t>
            </w:r>
          </w:p>
        </w:tc>
      </w:tr>
      <w:tr>
        <w:trPr>
          <w:trHeight w:val="33"/>
        </w:trPr>
        <w:tc>
          <w:tcPr>
            <w:tcW w:w="3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color w:val="auto"/>
              </w:rPr>
              <w:t>Steven Ciardiello</w:t>
            </w:r>
          </w:p>
        </w:tc>
      </w:tr>
      <w:tr>
        <w:trPr>
          <w:trHeight w:val="257"/>
        </w:trPr>
        <w:tc>
          <w:tcPr>
            <w:tcW w:w="34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Chief Accounting Officer</w:t>
            </w:r>
          </w:p>
        </w:tc>
      </w:tr>
      <w:tr>
        <w:trPr>
          <w:trHeight w:val="257"/>
        </w:trPr>
        <w:tc>
          <w:tcPr>
            <w:tcW w:w="34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5"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Confidential Separation Agreement and General Release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February 25, 2020</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Lisa Nadler</w:t>
      </w:r>
    </w:p>
    <w:p>
      <w:pPr>
        <w:spacing w:after="0"/>
        <w:rPr>
          <w:sz w:val="20"/>
          <w:szCs w:val="20"/>
          <w:color w:val="auto"/>
        </w:rPr>
      </w:pPr>
      <w:r>
        <w:rPr>
          <w:rFonts w:ascii="Arial" w:cs="Arial" w:eastAsia="Arial" w:hAnsi="Arial"/>
          <w:sz w:val="20"/>
          <w:szCs w:val="20"/>
          <w:color w:val="auto"/>
        </w:rPr>
        <w:t>XXXXXXXXX</w:t>
      </w:r>
    </w:p>
    <w:p>
      <w:pPr>
        <w:spacing w:after="0"/>
        <w:rPr>
          <w:sz w:val="20"/>
          <w:szCs w:val="20"/>
          <w:color w:val="auto"/>
        </w:rPr>
      </w:pPr>
      <w:r>
        <w:rPr>
          <w:rFonts w:ascii="Arial" w:cs="Arial" w:eastAsia="Arial" w:hAnsi="Arial"/>
          <w:sz w:val="20"/>
          <w:szCs w:val="20"/>
          <w:color w:val="auto"/>
        </w:rPr>
        <w:t>XXXXXXXXX</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Lisa,</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When signed below in the places indicated, the following shall constitute an agreement (the “Agreement”) between you (“you” or “Executive”) and Shutterstock, Inc. (“Shutterstock” or the “Company”). Please initial and date each page of this Agreement where indicated in the footer.</w:t>
      </w:r>
    </w:p>
    <w:p>
      <w:pPr>
        <w:spacing w:after="0" w:line="233" w:lineRule="exact"/>
        <w:rPr>
          <w:sz w:val="20"/>
          <w:szCs w:val="20"/>
          <w:color w:val="auto"/>
        </w:rPr>
      </w:pPr>
    </w:p>
    <w:p>
      <w:pPr>
        <w:ind w:right="440" w:firstLine="648"/>
        <w:spacing w:after="0" w:line="246" w:lineRule="auto"/>
        <w:rPr>
          <w:sz w:val="20"/>
          <w:szCs w:val="20"/>
          <w:color w:val="auto"/>
        </w:rPr>
      </w:pPr>
      <w:r>
        <w:rPr>
          <w:rFonts w:ascii="Arial" w:cs="Arial" w:eastAsia="Arial" w:hAnsi="Arial"/>
          <w:sz w:val="20"/>
          <w:szCs w:val="20"/>
          <w:color w:val="auto"/>
        </w:rPr>
        <w:t>WHEREAS, the Executive is a party to an Amended and Restated Employment Agreement with the Company dated November 5, 2019 (the “Employment Agreement”);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pursuant to the Employment Agreement, the Executive has been employed as the Chief Human Resources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Officer;</w:t>
      </w:r>
    </w:p>
    <w:p>
      <w:pPr>
        <w:spacing w:after="0" w:line="229"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WHEREAS, the Parties wish to document the Executive’s separation from the Company and establish the terms of the Executive’s severance arrangement;</w:t>
      </w:r>
    </w:p>
    <w:p>
      <w:pPr>
        <w:spacing w:after="0" w:line="217" w:lineRule="exact"/>
        <w:rPr>
          <w:sz w:val="20"/>
          <w:szCs w:val="20"/>
          <w:color w:val="auto"/>
        </w:rPr>
      </w:pPr>
    </w:p>
    <w:p>
      <w:pPr>
        <w:ind w:right="560" w:firstLine="648"/>
        <w:spacing w:after="0" w:line="246" w:lineRule="auto"/>
        <w:rPr>
          <w:sz w:val="20"/>
          <w:szCs w:val="20"/>
          <w:color w:val="auto"/>
        </w:rPr>
      </w:pPr>
      <w:r>
        <w:rPr>
          <w:rFonts w:ascii="Arial" w:cs="Arial" w:eastAsia="Arial" w:hAnsi="Arial"/>
          <w:sz w:val="20"/>
          <w:szCs w:val="20"/>
          <w:color w:val="auto"/>
        </w:rPr>
        <w:t>NOW, THEREFORE, in consideration of the promises and conditions set forth herein, the receipt and sufficiency of which is hereby acknowledged, the Parties agree as follows</w:t>
      </w:r>
    </w:p>
    <w:p>
      <w:pPr>
        <w:spacing w:after="0" w:line="231" w:lineRule="exact"/>
        <w:rPr>
          <w:sz w:val="20"/>
          <w:szCs w:val="20"/>
          <w:color w:val="auto"/>
        </w:rPr>
      </w:pPr>
    </w:p>
    <w:p>
      <w:pPr>
        <w:ind w:left="660" w:right="160" w:hanging="328"/>
        <w:spacing w:after="0"/>
        <w:tabs>
          <w:tab w:leader="none" w:pos="718" w:val="left"/>
        </w:tabs>
        <w:numPr>
          <w:ilvl w:val="0"/>
          <w:numId w:val="8"/>
        </w:numPr>
        <w:rPr>
          <w:rFonts w:ascii="Arial" w:cs="Arial" w:eastAsia="Arial" w:hAnsi="Arial"/>
          <w:sz w:val="20"/>
          <w:szCs w:val="20"/>
          <w:color w:val="auto"/>
        </w:rPr>
      </w:pPr>
      <w:r>
        <w:rPr>
          <w:rFonts w:ascii="Arial" w:cs="Arial" w:eastAsia="Arial" w:hAnsi="Arial"/>
          <w:sz w:val="20"/>
          <w:szCs w:val="20"/>
          <w:color w:val="auto"/>
        </w:rPr>
        <w:t>Your employment will terminate no later than the close of business on March 27, 2020 (the “Separation Date”). You will be paid your current salary and accrued benefits, including accrued paid time off, through the close of business on the Separation Date. As of the Separation Date, all salary payments from the Company will cease and any benefits the Executive had as of the Separation Date under Company-provided benefit plans, programs, or practices will terminate, except as required by federal or state law or as otherwise provided in this Agreement, incorporating by reference as necessary any related agreements (including without limitation the stock option plan, 401K and medical benefits as provided under Company plans).</w:t>
      </w:r>
    </w:p>
    <w:p>
      <w:pPr>
        <w:spacing w:after="0" w:line="215" w:lineRule="exact"/>
        <w:rPr>
          <w:rFonts w:ascii="Arial" w:cs="Arial" w:eastAsia="Arial" w:hAnsi="Arial"/>
          <w:sz w:val="20"/>
          <w:szCs w:val="20"/>
          <w:color w:val="auto"/>
        </w:rPr>
      </w:pPr>
    </w:p>
    <w:p>
      <w:pPr>
        <w:ind w:left="680" w:right="60" w:hanging="348"/>
        <w:spacing w:after="0" w:line="255" w:lineRule="auto"/>
        <w:tabs>
          <w:tab w:leader="none" w:pos="738"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Severance </w:t>
      </w:r>
      <w:r>
        <w:rPr>
          <w:rFonts w:ascii="Arial" w:cs="Arial" w:eastAsia="Arial" w:hAnsi="Arial"/>
          <w:sz w:val="20"/>
          <w:szCs w:val="20"/>
          <w:color w:val="auto"/>
        </w:rPr>
        <w:t>. Provided the Executive executes this Agreement and does not revoke acceptance of this Agreement as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Section 4(b) of this Agreement, the Company will provide the Executive with the following severance benefits (the “Severance Benefits”):</w:t>
      </w:r>
    </w:p>
    <w:p>
      <w:pPr>
        <w:spacing w:after="0" w:line="198" w:lineRule="exact"/>
        <w:rPr>
          <w:rFonts w:ascii="Arial" w:cs="Arial" w:eastAsia="Arial" w:hAnsi="Arial"/>
          <w:sz w:val="20"/>
          <w:szCs w:val="20"/>
          <w:color w:val="auto"/>
        </w:rPr>
      </w:pPr>
    </w:p>
    <w:p>
      <w:pPr>
        <w:ind w:left="1340" w:right="40" w:hanging="360"/>
        <w:spacing w:after="0" w:line="244" w:lineRule="auto"/>
        <w:tabs>
          <w:tab w:leader="none" w:pos="1411"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Severance Pay </w:t>
      </w:r>
      <w:r>
        <w:rPr>
          <w:rFonts w:ascii="Arial" w:cs="Arial" w:eastAsia="Arial" w:hAnsi="Arial"/>
          <w:sz w:val="20"/>
          <w:szCs w:val="20"/>
          <w:color w:val="auto"/>
        </w:rPr>
        <w:t>: Commencing on sixtieth day after the Separation Date, the Company shall pay an amount</w:t>
      </w:r>
      <w:r>
        <w:rPr>
          <w:rFonts w:ascii="Arial" w:cs="Arial" w:eastAsia="Arial" w:hAnsi="Arial"/>
          <w:sz w:val="20"/>
          <w:szCs w:val="20"/>
          <w:b w:val="1"/>
          <w:bCs w:val="1"/>
          <w:color w:val="auto"/>
        </w:rPr>
        <w:t xml:space="preserve"> </w:t>
      </w:r>
      <w:r>
        <w:rPr>
          <w:rFonts w:ascii="Arial" w:cs="Arial" w:eastAsia="Arial" w:hAnsi="Arial"/>
          <w:sz w:val="20"/>
          <w:szCs w:val="20"/>
          <w:color w:val="auto"/>
        </w:rPr>
        <w:t>equal to the Executive’s base salary, at the rate in effect immediately prior to the Separation Date, less all required tax withholdings and other applicable deductions, in substantially equal installments for a period of twelve (12) months following the Separation Date, which installments shall be paid in accordance with the Company’s regular payroll procedures; provided, however, that any such installments otherwise payable during the 60 day period immediately following the Separation Date shall be paid to you in the first payroll cycle after the sixtieth day following the Separation Date.</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spacing w:after="0" w:line="211" w:lineRule="exact"/>
        <w:rPr>
          <w:sz w:val="20"/>
          <w:szCs w:val="20"/>
          <w:color w:val="auto"/>
        </w:rPr>
      </w:pPr>
    </w:p>
    <w:p>
      <w:pPr>
        <w:ind w:left="1008" w:right="20" w:hanging="360"/>
        <w:spacing w:after="0" w:line="243" w:lineRule="auto"/>
        <w:tabs>
          <w:tab w:leader="none" w:pos="1066" w:val="left"/>
        </w:tabs>
        <w:numPr>
          <w:ilvl w:val="2"/>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COBRA </w:t>
      </w:r>
      <w:r>
        <w:rPr>
          <w:rFonts w:ascii="Arial" w:cs="Arial" w:eastAsia="Arial" w:hAnsi="Arial"/>
          <w:sz w:val="20"/>
          <w:szCs w:val="20"/>
          <w:color w:val="auto"/>
        </w:rPr>
        <w:t>: If you elect continuation coverage pursuant to the Consolidated Omnibus Budget Reconciliation Act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1985, as amended (“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xml:space="preserve"> ”) for you and your eligible dependents, within the time period prescribed pursuant to COBRA, the Company will reimburse you for the COBRA premiums for such coverage (at the coverage levels in effect immediately prior to Employee’s termination or resignation) until the earlier of (A) twelve ]months from the Separation Date, or (B) the date upon which you and/or your eligible dependents become covered under similar plans. COBRA reimbursements will be made by the Company to you consistent with the Company’s normal expense reimbursement policy and will be taxable to the extent required to avoid adverse consequences to Employee or the Company under either Code Section 105(h) or the Patient Protection and Affordable Care Act of 2010.</w:t>
      </w:r>
    </w:p>
    <w:p>
      <w:pPr>
        <w:spacing w:after="0" w:line="212" w:lineRule="exact"/>
        <w:rPr>
          <w:rFonts w:ascii="Arial" w:cs="Arial" w:eastAsia="Arial" w:hAnsi="Arial"/>
          <w:sz w:val="20"/>
          <w:szCs w:val="20"/>
          <w:color w:val="auto"/>
        </w:rPr>
      </w:pPr>
    </w:p>
    <w:p>
      <w:pPr>
        <w:ind w:left="1008" w:right="180" w:hanging="360"/>
        <w:spacing w:after="0" w:line="255" w:lineRule="auto"/>
        <w:tabs>
          <w:tab w:leader="none" w:pos="1082" w:val="left"/>
        </w:tabs>
        <w:numPr>
          <w:ilvl w:val="2"/>
          <w:numId w:val="9"/>
        </w:numPr>
        <w:rPr>
          <w:rFonts w:ascii="Arial" w:cs="Arial" w:eastAsia="Arial" w:hAnsi="Arial"/>
          <w:sz w:val="19"/>
          <w:szCs w:val="19"/>
          <w:color w:val="auto"/>
        </w:rPr>
      </w:pPr>
      <w:r>
        <w:rPr>
          <w:rFonts w:ascii="Arial" w:cs="Arial" w:eastAsia="Arial" w:hAnsi="Arial"/>
          <w:sz w:val="19"/>
          <w:szCs w:val="19"/>
          <w:b w:val="1"/>
          <w:bCs w:val="1"/>
          <w:color w:val="auto"/>
        </w:rPr>
        <w:t xml:space="preserve">Equity </w:t>
      </w:r>
      <w:r>
        <w:rPr>
          <w:rFonts w:ascii="Arial" w:cs="Arial" w:eastAsia="Arial" w:hAnsi="Arial"/>
          <w:sz w:val="19"/>
          <w:szCs w:val="19"/>
          <w:color w:val="auto"/>
        </w:rPr>
        <w:t>: Except as described below for any outstanding Performance Stock Unit awards, one hundred percent</w:t>
      </w:r>
      <w:r>
        <w:rPr>
          <w:rFonts w:ascii="Arial" w:cs="Arial" w:eastAsia="Arial" w:hAnsi="Arial"/>
          <w:sz w:val="19"/>
          <w:szCs w:val="19"/>
          <w:b w:val="1"/>
          <w:bCs w:val="1"/>
          <w:color w:val="auto"/>
        </w:rPr>
        <w:t xml:space="preserve"> </w:t>
      </w:r>
      <w:r>
        <w:rPr>
          <w:rFonts w:ascii="Arial" w:cs="Arial" w:eastAsia="Arial" w:hAnsi="Arial"/>
          <w:sz w:val="19"/>
          <w:szCs w:val="19"/>
          <w:color w:val="auto"/>
        </w:rPr>
        <w:t>(100%) of Executive’s unvested and outstanding equity awards that would have become vested had Executive remained in the employ of the Company for the twelve (12)-month period following the Separation Date shall immediately vest and become exercisable. The acceleration of vesting shall occur on the Effective Date (as defined below). In accordance with the terms of the applicable award agreement, the Executive will remain eligible to vest in a pro-rata portion of those unvested performance stock units granted to the Executive on April 1, 2019 that are determined to vest in the normal course for such award’s second performance year under the terms of the applicable award agreement. In no event may any equity award be exercised beyond the earlier of</w:t>
      </w:r>
    </w:p>
    <w:p>
      <w:pPr>
        <w:spacing w:after="0" w:line="2" w:lineRule="exact"/>
        <w:rPr>
          <w:rFonts w:ascii="Arial" w:cs="Arial" w:eastAsia="Arial" w:hAnsi="Arial"/>
          <w:sz w:val="19"/>
          <w:szCs w:val="19"/>
          <w:color w:val="auto"/>
        </w:rPr>
      </w:pPr>
    </w:p>
    <w:p>
      <w:pPr>
        <w:ind w:left="1288" w:hanging="289"/>
        <w:spacing w:after="0"/>
        <w:tabs>
          <w:tab w:leader="none" w:pos="1288" w:val="left"/>
        </w:tabs>
        <w:numPr>
          <w:ilvl w:val="3"/>
          <w:numId w:val="9"/>
        </w:numPr>
        <w:rPr>
          <w:rFonts w:ascii="Arial" w:cs="Arial" w:eastAsia="Arial" w:hAnsi="Arial"/>
          <w:sz w:val="20"/>
          <w:szCs w:val="20"/>
          <w:color w:val="auto"/>
        </w:rPr>
      </w:pPr>
      <w:r>
        <w:rPr>
          <w:rFonts w:ascii="Arial" w:cs="Arial" w:eastAsia="Arial" w:hAnsi="Arial"/>
          <w:sz w:val="20"/>
          <w:szCs w:val="20"/>
          <w:color w:val="auto"/>
        </w:rPr>
        <w:t>the original maximum term of such equity award (unrelated to termination), and (y) ten (10) years from the</w:t>
      </w:r>
    </w:p>
    <w:p>
      <w:pPr>
        <w:ind w:left="1008" w:right="100"/>
        <w:spacing w:after="0" w:line="246" w:lineRule="auto"/>
        <w:rPr>
          <w:rFonts w:ascii="Arial" w:cs="Arial" w:eastAsia="Arial" w:hAnsi="Arial"/>
          <w:sz w:val="20"/>
          <w:szCs w:val="20"/>
          <w:color w:val="auto"/>
        </w:rPr>
      </w:pPr>
      <w:r>
        <w:rPr>
          <w:rFonts w:ascii="Arial" w:cs="Arial" w:eastAsia="Arial" w:hAnsi="Arial"/>
          <w:sz w:val="20"/>
          <w:szCs w:val="20"/>
          <w:color w:val="auto"/>
        </w:rPr>
        <w:t>original grant date of such equity award. For the sake of clarity, as of the Separation Date, Executive shall cease to be a Service Provider for purposes of the applicable Equity Plan and award agreements.</w:t>
      </w:r>
    </w:p>
    <w:p>
      <w:pPr>
        <w:spacing w:after="0" w:line="206" w:lineRule="exact"/>
        <w:rPr>
          <w:rFonts w:ascii="Arial" w:cs="Arial" w:eastAsia="Arial" w:hAnsi="Arial"/>
          <w:sz w:val="20"/>
          <w:szCs w:val="20"/>
          <w:color w:val="auto"/>
        </w:rPr>
      </w:pPr>
    </w:p>
    <w:p>
      <w:pPr>
        <w:ind w:left="1008" w:right="600" w:hanging="360"/>
        <w:spacing w:after="0" w:line="271" w:lineRule="auto"/>
        <w:tabs>
          <w:tab w:leader="none" w:pos="1066" w:val="left"/>
        </w:tabs>
        <w:numPr>
          <w:ilvl w:val="2"/>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Additional Equity </w:t>
      </w:r>
      <w:r>
        <w:rPr>
          <w:rFonts w:ascii="Arial" w:cs="Arial" w:eastAsia="Arial" w:hAnsi="Arial"/>
          <w:sz w:val="20"/>
          <w:szCs w:val="20"/>
          <w:color w:val="auto"/>
        </w:rPr>
        <w:t>: The Company agrees to accelerate the vesting of 2,888 restricted stock units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scheduled to vest on April 1, 2021. The acceleration of vesting shall occur on the Effective Date.</w:t>
      </w:r>
    </w:p>
    <w:p>
      <w:pPr>
        <w:spacing w:after="0" w:line="206" w:lineRule="exact"/>
        <w:rPr>
          <w:rFonts w:ascii="Arial" w:cs="Arial" w:eastAsia="Arial" w:hAnsi="Arial"/>
          <w:sz w:val="20"/>
          <w:szCs w:val="20"/>
          <w:color w:val="auto"/>
        </w:rPr>
      </w:pPr>
    </w:p>
    <w:p>
      <w:pPr>
        <w:ind w:left="348" w:right="320" w:hanging="348"/>
        <w:spacing w:after="0" w:line="243" w:lineRule="auto"/>
        <w:tabs>
          <w:tab w:leader="none" w:pos="406" w:val="left"/>
        </w:tabs>
        <w:numPr>
          <w:ilvl w:val="0"/>
          <w:numId w:val="10"/>
        </w:numPr>
        <w:rPr>
          <w:rFonts w:ascii="Arial" w:cs="Arial" w:eastAsia="Arial" w:hAnsi="Arial"/>
          <w:sz w:val="20"/>
          <w:szCs w:val="20"/>
          <w:color w:val="auto"/>
        </w:rPr>
      </w:pPr>
      <w:r>
        <w:rPr>
          <w:rFonts w:ascii="Arial" w:cs="Arial" w:eastAsia="Arial" w:hAnsi="Arial"/>
          <w:sz w:val="20"/>
          <w:szCs w:val="20"/>
          <w:color w:val="auto"/>
        </w:rPr>
        <w:t>If this Agreement does not become effective and irrevocable by the sixtieth (60th) day following the Separation Date, Executive will forfeit and will not be entitled to any of the severance benefits set forth herein, including those under Paragraph 2.</w:t>
      </w:r>
    </w:p>
    <w:p>
      <w:pPr>
        <w:spacing w:after="0" w:line="208" w:lineRule="exact"/>
        <w:rPr>
          <w:rFonts w:ascii="Arial" w:cs="Arial" w:eastAsia="Arial" w:hAnsi="Arial"/>
          <w:sz w:val="20"/>
          <w:szCs w:val="20"/>
          <w:color w:val="auto"/>
        </w:rPr>
      </w:pPr>
    </w:p>
    <w:p>
      <w:pPr>
        <w:ind w:left="348" w:right="540" w:hanging="348"/>
        <w:spacing w:after="0" w:line="271" w:lineRule="auto"/>
        <w:tabs>
          <w:tab w:leader="none" w:pos="406"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OWBPA </w:t>
      </w:r>
      <w:r>
        <w:rPr>
          <w:rFonts w:ascii="Arial" w:cs="Arial" w:eastAsia="Arial" w:hAnsi="Arial"/>
          <w:sz w:val="20"/>
          <w:szCs w:val="20"/>
          <w:color w:val="auto"/>
        </w:rPr>
        <w:t>. This Agreement is intended to satisfy the requirements of the Older Workers’ Benefit Protection Act (the</w:t>
      </w:r>
      <w:r>
        <w:rPr>
          <w:rFonts w:ascii="Arial" w:cs="Arial" w:eastAsia="Arial" w:hAnsi="Arial"/>
          <w:sz w:val="20"/>
          <w:szCs w:val="20"/>
          <w:b w:val="1"/>
          <w:bCs w:val="1"/>
          <w:color w:val="auto"/>
        </w:rPr>
        <w:t xml:space="preserve"> </w:t>
      </w:r>
      <w:r>
        <w:rPr>
          <w:rFonts w:ascii="Arial" w:cs="Arial" w:eastAsia="Arial" w:hAnsi="Arial"/>
          <w:sz w:val="20"/>
          <w:szCs w:val="20"/>
          <w:color w:val="auto"/>
        </w:rPr>
        <w:t>“OWBPA”), 29 U.S.C. sec. 626(f).</w:t>
      </w:r>
    </w:p>
    <w:p>
      <w:pPr>
        <w:spacing w:after="0" w:line="206" w:lineRule="exact"/>
        <w:rPr>
          <w:rFonts w:ascii="Arial" w:cs="Arial" w:eastAsia="Arial" w:hAnsi="Arial"/>
          <w:sz w:val="20"/>
          <w:szCs w:val="20"/>
          <w:color w:val="auto"/>
        </w:rPr>
      </w:pPr>
    </w:p>
    <w:p>
      <w:pPr>
        <w:ind w:left="1008" w:right="280" w:hanging="455"/>
        <w:spacing w:after="0" w:line="252" w:lineRule="auto"/>
        <w:tabs>
          <w:tab w:leader="none" w:pos="1067" w:val="left"/>
        </w:tabs>
        <w:numPr>
          <w:ilvl w:val="1"/>
          <w:numId w:val="10"/>
        </w:numPr>
        <w:rPr>
          <w:rFonts w:ascii="Arial" w:cs="Arial" w:eastAsia="Arial" w:hAnsi="Arial"/>
          <w:sz w:val="19"/>
          <w:szCs w:val="19"/>
          <w:color w:val="auto"/>
        </w:rPr>
      </w:pPr>
      <w:r>
        <w:rPr>
          <w:rFonts w:ascii="Arial" w:cs="Arial" w:eastAsia="Arial" w:hAnsi="Arial"/>
          <w:sz w:val="19"/>
          <w:szCs w:val="19"/>
          <w:color w:val="auto"/>
        </w:rPr>
        <w:t>You acknowledge and agree that (i) you have read and understand the terms of this Agreement; (ii) you are advised to consult with an attorney before executing this Agreement, and you have been represented by legal counsel in connection with the signing of this Agreement or you have waived your right to such representation;</w:t>
      </w:r>
    </w:p>
    <w:p>
      <w:pPr>
        <w:ind w:left="1008" w:right="40" w:hanging="9"/>
        <w:spacing w:after="0" w:line="241" w:lineRule="auto"/>
        <w:tabs>
          <w:tab w:leader="none" w:pos="1327" w:val="left"/>
        </w:tabs>
        <w:numPr>
          <w:ilvl w:val="3"/>
          <w:numId w:val="10"/>
        </w:numPr>
        <w:rPr>
          <w:rFonts w:ascii="Arial" w:cs="Arial" w:eastAsia="Arial" w:hAnsi="Arial"/>
          <w:sz w:val="20"/>
          <w:szCs w:val="20"/>
          <w:color w:val="auto"/>
        </w:rPr>
      </w:pPr>
      <w:r>
        <w:rPr>
          <w:rFonts w:ascii="Arial" w:cs="Arial" w:eastAsia="Arial" w:hAnsi="Arial"/>
          <w:sz w:val="20"/>
          <w:szCs w:val="20"/>
          <w:color w:val="auto"/>
        </w:rPr>
        <w:t>you understand that the Company hereby gives you a period of twenty-one (21) days to review and consider this Agreement before signing it. You further understand that you may use as much of this review and consideration period as you wish prior to signing. The Executive understands that she may revoke this Agreement for a period of seven (7) days after she signs each respective agreement, and that neither agreement shall be</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542290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7" w:name="page38"/>
    <w:bookmarkEnd w:id="37"/>
    <w:p>
      <w:pPr>
        <w:jc w:val="both"/>
        <w:ind w:left="1008" w:right="100"/>
        <w:spacing w:after="0" w:line="241" w:lineRule="auto"/>
        <w:rPr>
          <w:sz w:val="20"/>
          <w:szCs w:val="20"/>
          <w:color w:val="auto"/>
        </w:rPr>
      </w:pPr>
      <w:r>
        <w:rPr>
          <w:rFonts w:ascii="Arial" w:cs="Arial" w:eastAsia="Arial" w:hAnsi="Arial"/>
          <w:sz w:val="20"/>
          <w:szCs w:val="20"/>
          <w:color w:val="auto"/>
        </w:rPr>
        <w:t>effective or enforceable until the expiration of each respective seven (7) day revocation period. Changes to this Agreement, material or otherwise, will not extend the aforementioned review and consideration period. You also agree and acknowledge that the consideration provided to you under this Agreement is in addition to anything of value to which you are already entitled.</w:t>
      </w:r>
    </w:p>
    <w:p>
      <w:pPr>
        <w:spacing w:after="0" w:line="237" w:lineRule="exact"/>
        <w:rPr>
          <w:sz w:val="20"/>
          <w:szCs w:val="20"/>
          <w:color w:val="auto"/>
        </w:rPr>
      </w:pPr>
    </w:p>
    <w:p>
      <w:pPr>
        <w:ind w:left="1008" w:right="20" w:hanging="473"/>
        <w:spacing w:after="0"/>
        <w:tabs>
          <w:tab w:leader="none" w:pos="1065" w:val="left"/>
        </w:tabs>
        <w:numPr>
          <w:ilvl w:val="2"/>
          <w:numId w:val="11"/>
        </w:numPr>
        <w:rPr>
          <w:rFonts w:ascii="Arial" w:cs="Arial" w:eastAsia="Arial" w:hAnsi="Arial"/>
          <w:sz w:val="20"/>
          <w:szCs w:val="20"/>
          <w:color w:val="auto"/>
        </w:rPr>
      </w:pPr>
      <w:r>
        <w:rPr>
          <w:rFonts w:ascii="Arial" w:cs="Arial" w:eastAsia="Arial" w:hAnsi="Arial"/>
          <w:sz w:val="20"/>
          <w:szCs w:val="20"/>
          <w:color w:val="auto"/>
        </w:rPr>
        <w:t xml:space="preserve">You may revoke this Agreement for a period of seven (7) days following the day you sign same (the “Revocation Period”). Any revocation must be submitted, in writing, to Shutterstock, Inc. 350 Fifth Avenue, 21 </w:t>
      </w:r>
      <w:r>
        <w:rPr>
          <w:rFonts w:ascii="Arial" w:cs="Arial" w:eastAsia="Arial" w:hAnsi="Arial"/>
          <w:sz w:val="12"/>
          <w:szCs w:val="12"/>
          <w:color w:val="auto"/>
        </w:rPr>
        <w:t>st</w:t>
      </w:r>
      <w:r>
        <w:rPr>
          <w:rFonts w:ascii="Arial" w:cs="Arial" w:eastAsia="Arial" w:hAnsi="Arial"/>
          <w:sz w:val="20"/>
          <w:szCs w:val="20"/>
          <w:color w:val="auto"/>
        </w:rPr>
        <w:t xml:space="preserve"> Floor, New York, New York 10118 Attention: General Counsel, and must state, “I hereby revoke my acceptance of my Separation Agreement and General Release”. This Agreement shall not become effective or enforceable until the expiration of the Revocation Period (the “Effective Date”). If the last day of the Revocation Period is a Saturday, Sunday or such legal holiday, then the Revocation Period shall not expire until the next following day which is not a Saturday, Sunday or legal holiday. If you revoke this Agreement, it shall not be effective or enforceable, and you will receive no further benefits under this Agreement.</w:t>
      </w:r>
    </w:p>
    <w:p>
      <w:pPr>
        <w:spacing w:after="0" w:line="239" w:lineRule="exact"/>
        <w:rPr>
          <w:rFonts w:ascii="Arial" w:cs="Arial" w:eastAsia="Arial" w:hAnsi="Arial"/>
          <w:sz w:val="20"/>
          <w:szCs w:val="20"/>
          <w:color w:val="auto"/>
        </w:rPr>
      </w:pPr>
    </w:p>
    <w:p>
      <w:pPr>
        <w:ind w:left="1008" w:right="40" w:hanging="519"/>
        <w:spacing w:after="0" w:line="241" w:lineRule="auto"/>
        <w:tabs>
          <w:tab w:leader="none" w:pos="1064" w:val="left"/>
        </w:tabs>
        <w:numPr>
          <w:ilvl w:val="2"/>
          <w:numId w:val="11"/>
        </w:numPr>
        <w:rPr>
          <w:rFonts w:ascii="Arial" w:cs="Arial" w:eastAsia="Arial" w:hAnsi="Arial"/>
          <w:sz w:val="20"/>
          <w:szCs w:val="20"/>
          <w:color w:val="auto"/>
        </w:rPr>
      </w:pPr>
      <w:r>
        <w:rPr>
          <w:rFonts w:ascii="Arial" w:cs="Arial" w:eastAsia="Arial" w:hAnsi="Arial"/>
          <w:sz w:val="20"/>
          <w:szCs w:val="20"/>
          <w:color w:val="auto"/>
        </w:rPr>
        <w:t>Preserved Rights of Executive. This Agreement does not waive or release any rights or claims that you may have under the Age Discrimination in Employment Act of 1967 (the “ADEA”) that arise after your execution of this Agreement. In addition, this Agreement does not prohibit you from challenging the validity of this Agreement’s waiver and release of claims under the ADEA or the OWBPA or commencing an arbitration to enforce this Agreement, in accordance with Paragraph 16 below.</w:t>
      </w:r>
    </w:p>
    <w:p>
      <w:pPr>
        <w:spacing w:after="0" w:line="211" w:lineRule="exact"/>
        <w:rPr>
          <w:rFonts w:ascii="Arial" w:cs="Arial" w:eastAsia="Arial" w:hAnsi="Arial"/>
          <w:sz w:val="20"/>
          <w:szCs w:val="20"/>
          <w:color w:val="auto"/>
        </w:rPr>
      </w:pPr>
    </w:p>
    <w:p>
      <w:pPr>
        <w:jc w:val="both"/>
        <w:ind w:left="348" w:right="100" w:hanging="348"/>
        <w:spacing w:after="0" w:line="260" w:lineRule="auto"/>
        <w:tabs>
          <w:tab w:leader="none" w:pos="406"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 xml:space="preserve">No Other Compensation </w:t>
      </w:r>
      <w:r>
        <w:rPr>
          <w:rFonts w:ascii="Arial" w:cs="Arial" w:eastAsia="Arial" w:hAnsi="Arial"/>
          <w:sz w:val="19"/>
          <w:szCs w:val="19"/>
          <w:color w:val="auto"/>
        </w:rPr>
        <w:t>. Except as expressly set forth in this Agreement, Executive shall not be entitled to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or benefits, including but not limited to salary, front pay, back pay, vacation pay, severance, commissions or bonuses from Releasees, as defined below, with respect to your employment with or termination from Shutterstock.</w:t>
      </w:r>
    </w:p>
    <w:p>
      <w:pPr>
        <w:spacing w:after="0" w:line="2" w:lineRule="exact"/>
        <w:rPr>
          <w:rFonts w:ascii="Arial" w:cs="Arial" w:eastAsia="Arial" w:hAnsi="Arial"/>
          <w:sz w:val="19"/>
          <w:szCs w:val="19"/>
          <w:color w:val="auto"/>
        </w:rPr>
      </w:pPr>
    </w:p>
    <w:p>
      <w:pPr>
        <w:ind w:left="348" w:right="1260"/>
        <w:spacing w:after="0" w:line="246" w:lineRule="auto"/>
        <w:rPr>
          <w:rFonts w:ascii="Arial" w:cs="Arial" w:eastAsia="Arial" w:hAnsi="Arial"/>
          <w:sz w:val="19"/>
          <w:szCs w:val="19"/>
          <w:color w:val="auto"/>
        </w:rPr>
      </w:pPr>
      <w:r>
        <w:rPr>
          <w:rFonts w:ascii="Arial" w:cs="Arial" w:eastAsia="Arial" w:hAnsi="Arial"/>
          <w:sz w:val="20"/>
          <w:szCs w:val="20"/>
          <w:color w:val="auto"/>
        </w:rPr>
        <w:t>The severance payments and benefits provided for in this Paragraph 2 shall be subject to the provisions of Section 6(a) of the Employment Agreement and such provisions are hereby incorporated herein.</w:t>
      </w:r>
    </w:p>
    <w:p>
      <w:pPr>
        <w:spacing w:after="0" w:line="206" w:lineRule="exact"/>
        <w:rPr>
          <w:rFonts w:ascii="Arial" w:cs="Arial" w:eastAsia="Arial" w:hAnsi="Arial"/>
          <w:sz w:val="19"/>
          <w:szCs w:val="19"/>
          <w:color w:val="auto"/>
        </w:rPr>
      </w:pPr>
    </w:p>
    <w:p>
      <w:pPr>
        <w:ind w:left="408" w:hanging="408"/>
        <w:spacing w:after="0"/>
        <w:tabs>
          <w:tab w:leader="none" w:pos="408"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w:t>
      </w:r>
    </w:p>
    <w:p>
      <w:pPr>
        <w:spacing w:after="0" w:line="266" w:lineRule="exact"/>
        <w:rPr>
          <w:rFonts w:ascii="Arial" w:cs="Arial" w:eastAsia="Arial" w:hAnsi="Arial"/>
          <w:sz w:val="20"/>
          <w:szCs w:val="20"/>
          <w:color w:val="auto"/>
        </w:rPr>
      </w:pPr>
    </w:p>
    <w:p>
      <w:pPr>
        <w:ind w:left="1008" w:right="40" w:hanging="455"/>
        <w:spacing w:after="0"/>
        <w:tabs>
          <w:tab w:leader="none" w:pos="1067" w:val="left"/>
        </w:tabs>
        <w:numPr>
          <w:ilvl w:val="1"/>
          <w:numId w:val="12"/>
        </w:numPr>
        <w:rPr>
          <w:rFonts w:ascii="Arial" w:cs="Arial" w:eastAsia="Arial" w:hAnsi="Arial"/>
          <w:sz w:val="20"/>
          <w:szCs w:val="20"/>
          <w:color w:val="auto"/>
        </w:rPr>
      </w:pPr>
      <w:r>
        <w:rPr>
          <w:rFonts w:ascii="Arial" w:cs="Arial" w:eastAsia="Arial" w:hAnsi="Arial"/>
          <w:sz w:val="20"/>
          <w:szCs w:val="20"/>
          <w:color w:val="auto"/>
        </w:rPr>
        <w:t>For and in consideration of the payments and benefits enumerated in Paragraph 2, and for other valuable consideration to be provided to Executive pursuant to this Agreement, the receipt and sufficiency of which you hereby acknowledge, you, for yourself, your heirs, executors, administrators, trustees, legal representatives, successors and assigns (collectively referred to as “Releasors”), hereby forever release and discharge Shutterstock and any of its employees, officers, shareholders, investors, subsidiaries, joint ventures, affiliates, divisions, employee benefit and/or pension plans or funds, successors and assigns and any of their past, present or future directors, officers, attorneys, agents, trustees, administrators, employees, or assigns (whether acting as agents or in their individual capacities) (collectively referred to as “Releasees”), from any and all claims, demands, causes of action, contracts, suits, proceedings, debts, damages and liabilities, in law or equity, known or unknown, whether asserted or not, arising out of or relating to your employment by or performance of services for Shutterstock or the termination of such employment or services, including without limitation any claims relating to a wrongful, premature or</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542290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32" w:right="339" w:bottom="1440" w:gutter="0" w:footer="0" w:header="0"/>
        </w:sectPr>
      </w:pPr>
    </w:p>
    <w:bookmarkStart w:id="38" w:name="page39"/>
    <w:bookmarkEnd w:id="38"/>
    <w:p>
      <w:pPr>
        <w:ind w:left="520" w:right="40"/>
        <w:spacing w:after="0" w:line="239" w:lineRule="auto"/>
        <w:rPr>
          <w:sz w:val="20"/>
          <w:szCs w:val="20"/>
          <w:color w:val="auto"/>
        </w:rPr>
      </w:pPr>
      <w:r>
        <w:rPr>
          <w:rFonts w:ascii="Arial" w:cs="Arial" w:eastAsia="Arial" w:hAnsi="Arial"/>
          <w:sz w:val="20"/>
          <w:szCs w:val="20"/>
          <w:color w:val="auto"/>
        </w:rPr>
        <w:t xml:space="preserve">discriminatory termination of your employment and/or any and all claims under any and all federal, state or local laws including, but not limited to the fair employment practice laws of all jurisdictions, states, municipalities and localities, including, but not limited to Title VII of the Civil Rights Act of 1964, as amended, 42 U.S.C. </w:t>
      </w:r>
      <w:r>
        <w:rPr>
          <w:rFonts w:ascii="Arial" w:cs="Arial" w:eastAsia="Arial" w:hAnsi="Arial"/>
          <w:sz w:val="20"/>
          <w:szCs w:val="20"/>
          <w:b w:val="1"/>
          <w:bCs w:val="1"/>
          <w:color w:val="auto"/>
        </w:rPr>
        <w:t>§</w:t>
      </w:r>
      <w:r>
        <w:rPr>
          <w:rFonts w:ascii="Arial" w:cs="Arial" w:eastAsia="Arial" w:hAnsi="Arial"/>
          <w:sz w:val="20"/>
          <w:szCs w:val="20"/>
          <w:color w:val="auto"/>
        </w:rPr>
        <w:t xml:space="preserve"> 2000 </w:t>
      </w:r>
      <w:r>
        <w:rPr>
          <w:rFonts w:ascii="Arial" w:cs="Arial" w:eastAsia="Arial" w:hAnsi="Arial"/>
          <w:sz w:val="20"/>
          <w:szCs w:val="20"/>
          <w:u w:val="single" w:color="auto"/>
          <w:color w:val="auto"/>
        </w:rPr>
        <w:t>et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seq</w:t>
      </w:r>
      <w:r>
        <w:rPr>
          <w:rFonts w:ascii="Arial" w:cs="Arial" w:eastAsia="Arial" w:hAnsi="Arial"/>
          <w:sz w:val="20"/>
          <w:szCs w:val="20"/>
          <w:color w:val="auto"/>
        </w:rPr>
        <w:t xml:space="preserve"> ., the Civil Rights Act of 1991, the Older Workers Benefit Protection Act, the Age Discrimination in Employment Act of 1967, as amended, 29 U.S.C </w:t>
      </w:r>
      <w:r>
        <w:rPr>
          <w:rFonts w:ascii="Arial" w:cs="Arial" w:eastAsia="Arial" w:hAnsi="Arial"/>
          <w:sz w:val="20"/>
          <w:szCs w:val="20"/>
          <w:b w:val="1"/>
          <w:bCs w:val="1"/>
          <w:color w:val="auto"/>
        </w:rPr>
        <w:t>. §</w:t>
      </w:r>
      <w:r>
        <w:rPr>
          <w:rFonts w:ascii="Arial" w:cs="Arial" w:eastAsia="Arial" w:hAnsi="Arial"/>
          <w:sz w:val="20"/>
          <w:szCs w:val="20"/>
          <w:color w:val="auto"/>
        </w:rPr>
        <w:t xml:space="preserve"> 621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 the Americans With Disabilities Act of 1990, 42 U.S.C. </w:t>
      </w:r>
      <w:r>
        <w:rPr>
          <w:rFonts w:ascii="Arial" w:cs="Arial" w:eastAsia="Arial" w:hAnsi="Arial"/>
          <w:sz w:val="20"/>
          <w:szCs w:val="20"/>
          <w:b w:val="1"/>
          <w:bCs w:val="1"/>
          <w:color w:val="auto"/>
        </w:rPr>
        <w:t>§</w:t>
      </w:r>
      <w:r>
        <w:rPr>
          <w:rFonts w:ascii="Arial" w:cs="Arial" w:eastAsia="Arial" w:hAnsi="Arial"/>
          <w:sz w:val="20"/>
          <w:szCs w:val="20"/>
          <w:color w:val="auto"/>
        </w:rPr>
        <w:t xml:space="preserve"> 12101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 the Consolidated Omnibus Budget Reconciliation Act of 1985, the Immigration Reform and Control Act of 1986, the Civil Rights Act of 1866, 42 U.S.C. </w:t>
      </w:r>
      <w:r>
        <w:rPr>
          <w:rFonts w:ascii="Arial" w:cs="Arial" w:eastAsia="Arial" w:hAnsi="Arial"/>
          <w:sz w:val="20"/>
          <w:szCs w:val="20"/>
          <w:b w:val="1"/>
          <w:bCs w:val="1"/>
          <w:color w:val="auto"/>
        </w:rPr>
        <w:t>§</w:t>
      </w:r>
      <w:r>
        <w:rPr>
          <w:rFonts w:ascii="Arial" w:cs="Arial" w:eastAsia="Arial" w:hAnsi="Arial"/>
          <w:sz w:val="20"/>
          <w:szCs w:val="20"/>
          <w:color w:val="auto"/>
        </w:rPr>
        <w:t xml:space="preserve"> 1981, the Employee Retirement Income Security Act of 1974; the Family and Medical Leave Act of 1993, the Genetic Information Non-Discrimination Act of 2008; the Worker Adjustment and Retraining Notification Act, 29 U.S.C. </w:t>
      </w:r>
      <w:r>
        <w:rPr>
          <w:rFonts w:ascii="Arial" w:cs="Arial" w:eastAsia="Arial" w:hAnsi="Arial"/>
          <w:sz w:val="20"/>
          <w:szCs w:val="20"/>
          <w:b w:val="1"/>
          <w:bCs w:val="1"/>
          <w:color w:val="auto"/>
        </w:rPr>
        <w:t>§</w:t>
      </w:r>
      <w:r>
        <w:rPr>
          <w:rFonts w:ascii="Arial" w:cs="Arial" w:eastAsia="Arial" w:hAnsi="Arial"/>
          <w:sz w:val="20"/>
          <w:szCs w:val="20"/>
          <w:color w:val="auto"/>
        </w:rPr>
        <w:t xml:space="preserve"> 2101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 the New York Executive Law, Article 15, </w:t>
      </w:r>
      <w:r>
        <w:rPr>
          <w:rFonts w:ascii="Arial" w:cs="Arial" w:eastAsia="Arial" w:hAnsi="Arial"/>
          <w:sz w:val="20"/>
          <w:szCs w:val="20"/>
          <w:b w:val="1"/>
          <w:bCs w:val="1"/>
          <w:color w:val="auto"/>
        </w:rPr>
        <w:t>§</w:t>
      </w:r>
      <w:r>
        <w:rPr>
          <w:rFonts w:ascii="Arial" w:cs="Arial" w:eastAsia="Arial" w:hAnsi="Arial"/>
          <w:sz w:val="20"/>
          <w:szCs w:val="20"/>
          <w:color w:val="auto"/>
        </w:rPr>
        <w:t xml:space="preserve"> 290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 the New York State Labor Law, the New York City Human Rights law, the New York City Earned Sick Time Act; all as amended; and any claims relating to rights under federal, state or local laws prohibiting discrimination on the basis of race, color, creed, ancestry, national origin, age, sex, or other basis prohibited by law, and any other applicable federal, state or local laws or regulations. You expressly waive any and all entitlement you have now, to any relief, such as back pay (to the exclusion of any references in this Agreement), front pay, reinstatement, compensatory damages, punitive damages, as well as all claims, demands, causes of action, and liabilities of any kind whatsoever (upon any legal or equitable theory, whether contractual, common-law, statutory, federal, state, local or otherwise including but not limited to tortious conduct), whether known or unknown, by reason of any act, omission, transaction or occurrence which Releasors ever had, now have or hereafter can, shall or may have arising out of your employment or separation from employment with Shutterstock against the Releasees up to and including the date of your execution of this Agreement. Notwithstanding the foregoing, you will not release or discharge the Releasees from any of Shutterstock’s obligations to you under or pursuant to (1) Paragraph 1 and/or 2 of this Agreement (or any benefit plans referenced therein), (2) any tax qualified pension plan of Shutterstock pertaining to vested and accrued benefits, or (3) any obligations of indemnification in your capacity as an employee, officer or director of the Company, whether under insurance policies, contract, Company by-laws or certification of incorporation or under applicable law.</w:t>
      </w:r>
    </w:p>
    <w:p>
      <w:pPr>
        <w:spacing w:after="0" w:line="255" w:lineRule="exact"/>
        <w:rPr>
          <w:sz w:val="20"/>
          <w:szCs w:val="20"/>
          <w:color w:val="auto"/>
        </w:rPr>
      </w:pPr>
    </w:p>
    <w:p>
      <w:pPr>
        <w:ind w:left="520" w:right="140" w:hanging="473"/>
        <w:spacing w:after="0"/>
        <w:tabs>
          <w:tab w:leader="none" w:pos="577" w:val="left"/>
        </w:tabs>
        <w:numPr>
          <w:ilvl w:val="0"/>
          <w:numId w:val="13"/>
        </w:numPr>
        <w:rPr>
          <w:rFonts w:ascii="Arial" w:cs="Arial" w:eastAsia="Arial" w:hAnsi="Arial"/>
          <w:sz w:val="20"/>
          <w:szCs w:val="20"/>
          <w:color w:val="auto"/>
        </w:rPr>
      </w:pPr>
      <w:r>
        <w:rPr>
          <w:rFonts w:ascii="Arial" w:cs="Arial" w:eastAsia="Arial" w:hAnsi="Arial"/>
          <w:sz w:val="20"/>
          <w:szCs w:val="20"/>
          <w:color w:val="auto"/>
        </w:rPr>
        <w:t>Executive understands and agrees that this is a full and general release covering all unknown, undisclosed and unanticipated losses, wrongs, injuries, debts, claims or damages to you which may have arisen, or may arise from any act or omission prior to the date of your execution of this Agreement, including, without limitation, any claim arising out of or related, directly or indirectly, to your employment, compensation or termination of employment, as well as those losses, wrongs, injuries, debts, claims or damages now known or disclosed which may arise as a result of any act or omission as described above.</w:t>
      </w:r>
    </w:p>
    <w:p>
      <w:pPr>
        <w:spacing w:after="0" w:line="240" w:lineRule="exact"/>
        <w:rPr>
          <w:rFonts w:ascii="Arial" w:cs="Arial" w:eastAsia="Arial" w:hAnsi="Arial"/>
          <w:sz w:val="20"/>
          <w:szCs w:val="20"/>
          <w:color w:val="auto"/>
        </w:rPr>
      </w:pPr>
    </w:p>
    <w:p>
      <w:pPr>
        <w:ind w:left="520" w:right="200" w:hanging="519"/>
        <w:spacing w:after="0" w:line="241" w:lineRule="auto"/>
        <w:tabs>
          <w:tab w:leader="none" w:pos="576"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Company hereby fully, forever, irrevocably and unconditionally releases, remises and discharges the Executive from any and all claims arising out of acts undertaken by the Executive in good faith and in a manner the Executive reasonably believed to be in or not opposed to the best interests of the Company; provided, however, that this release does not include any claims arising out of or related to any fraudulent, criminal, or willful misconduct by the Executive.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542290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432" w:right="339" w:bottom="1440" w:gutter="0" w:footer="0" w:header="0"/>
        </w:sectPr>
      </w:pPr>
    </w:p>
    <w:bookmarkStart w:id="39" w:name="page40"/>
    <w:bookmarkEnd w:id="39"/>
    <w:p>
      <w:pPr>
        <w:ind w:left="328" w:right="1080" w:hanging="328"/>
        <w:spacing w:after="0" w:line="239" w:lineRule="auto"/>
        <w:tabs>
          <w:tab w:leader="none" w:pos="386"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Executive acknowledges that no representations have been made to you by the Company (other than in this Agreement) about the benefits that the Company might or might not offer in the future.</w:t>
      </w:r>
    </w:p>
    <w:p>
      <w:pPr>
        <w:ind w:left="388" w:hanging="388"/>
        <w:spacing w:after="0"/>
        <w:tabs>
          <w:tab w:leader="none" w:pos="388"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Continuing and Post-Employment Obligations </w:t>
      </w:r>
      <w:r>
        <w:rPr>
          <w:rFonts w:ascii="Arial" w:cs="Arial" w:eastAsia="Arial" w:hAnsi="Arial"/>
          <w:sz w:val="20"/>
          <w:szCs w:val="20"/>
          <w:color w:val="auto"/>
        </w:rPr>
        <w:t>.</w:t>
      </w:r>
    </w:p>
    <w:p>
      <w:pPr>
        <w:spacing w:after="0" w:line="218" w:lineRule="exact"/>
        <w:rPr>
          <w:rFonts w:ascii="Arial" w:cs="Arial" w:eastAsia="Arial" w:hAnsi="Arial"/>
          <w:sz w:val="20"/>
          <w:szCs w:val="20"/>
          <w:b w:val="1"/>
          <w:bCs w:val="1"/>
          <w:color w:val="auto"/>
        </w:rPr>
      </w:pPr>
    </w:p>
    <w:p>
      <w:pPr>
        <w:ind w:left="1008" w:right="20" w:hanging="455"/>
        <w:spacing w:after="0" w:line="244" w:lineRule="auto"/>
        <w:tabs>
          <w:tab w:leader="none" w:pos="1067"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Return of Property </w:t>
      </w:r>
      <w:r>
        <w:rPr>
          <w:rFonts w:ascii="Arial" w:cs="Arial" w:eastAsia="Arial" w:hAnsi="Arial"/>
          <w:sz w:val="20"/>
          <w:szCs w:val="20"/>
          <w:color w:val="auto"/>
        </w:rPr>
        <w:t>. Executive agrees that by the termination of employment, or as soon thereafter as possible,</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return to the Company all Releasees’ credit cards, files, memoranda, documents, records and copies of the foregoing, keys, all storage media containing Releasees’ information and any other property of the Releasees in your possession. You represent and warrant that as of the termination of your employment, or as soon thereafter as possible, you will have deleted all files, memoranda, documents and/or records containing Releasees’ information from any computer or storage device which you have utilized which is not located on Company premises. The Company acknowledges and agrees that you may retain any documents in your possession concerning employee benefits and/or compensation and personal contacts.</w:t>
      </w:r>
    </w:p>
    <w:p>
      <w:pPr>
        <w:spacing w:after="0" w:line="208" w:lineRule="exact"/>
        <w:rPr>
          <w:rFonts w:ascii="Arial" w:cs="Arial" w:eastAsia="Arial" w:hAnsi="Arial"/>
          <w:sz w:val="20"/>
          <w:szCs w:val="20"/>
          <w:color w:val="auto"/>
        </w:rPr>
      </w:pPr>
    </w:p>
    <w:p>
      <w:pPr>
        <w:ind w:left="1008" w:hanging="500"/>
        <w:spacing w:after="0" w:line="244" w:lineRule="auto"/>
        <w:tabs>
          <w:tab w:leader="none" w:pos="1065"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Non-Disclosure and Non-Competition </w:t>
      </w:r>
      <w:r>
        <w:rPr>
          <w:rFonts w:ascii="Arial" w:cs="Arial" w:eastAsia="Arial" w:hAnsi="Arial"/>
          <w:sz w:val="20"/>
          <w:szCs w:val="20"/>
          <w:color w:val="auto"/>
        </w:rPr>
        <w:t>. You further agree not to disclose, nor use for your benefit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benefit of any other person or entity, any information received in connection with the Releasees which is confidential or proprietary and (i) which has not been disclosed publicly by the Releasees, (ii) which is otherwise not a matter of public knowledge or (iii) which is a matter of public knowledge but you know or have reason to know that such information became a matter of public knowledge through an unauthorized disclosure. You further understand and acknowledge that you continue to be bound by the Shutterstock, Inc. Employee Non-Disclosure, Non-Compete and Non-Solicitation Agreement executed by you on February 16, 2018 (the “Employee Obligations Agreement”).</w:t>
      </w:r>
    </w:p>
    <w:p>
      <w:pPr>
        <w:spacing w:after="0" w:line="208" w:lineRule="exact"/>
        <w:rPr>
          <w:rFonts w:ascii="Arial" w:cs="Arial" w:eastAsia="Arial" w:hAnsi="Arial"/>
          <w:sz w:val="20"/>
          <w:szCs w:val="20"/>
          <w:color w:val="auto"/>
        </w:rPr>
      </w:pPr>
    </w:p>
    <w:p>
      <w:pPr>
        <w:ind w:left="1008" w:right="60" w:hanging="546"/>
        <w:spacing w:after="0" w:line="242" w:lineRule="auto"/>
        <w:tabs>
          <w:tab w:leader="none" w:pos="1064"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Non-Solicitation </w:t>
      </w:r>
      <w:r>
        <w:rPr>
          <w:rFonts w:ascii="Arial" w:cs="Arial" w:eastAsia="Arial" w:hAnsi="Arial"/>
          <w:sz w:val="20"/>
          <w:szCs w:val="20"/>
          <w:color w:val="auto"/>
        </w:rPr>
        <w:t>. In addition to the non-solicitation obligations set forth in Paragraph 10 of the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Agreement, for a period of one (1) year following the Separation Date hereof, you shall not, without the prior written consent of the Company’s Chief Human Resources Officer: (a) directly or indirectly solicit or employ (or encourage any company or business organization in which you are an officer, manager, employee, partner, director, consultant or member, to solicit or employ) or (b) refer to any employee search firms, any person who was employed by the Company on the Separation Date. This Non-Solicitation provision does not, however, restrict any company or business organization in which you are an officer, manager, employee, partner, director, consultant or member from employing or engaging as an independent contractor, any such person whose employment or engagement you have not directly or indirectly solicited or encouraged, including but not limited to general job postings that are not directed to any person who was employed by the Company on the Separation Date.</w:t>
      </w:r>
    </w:p>
    <w:p>
      <w:pPr>
        <w:spacing w:after="0" w:line="216" w:lineRule="exact"/>
        <w:rPr>
          <w:rFonts w:ascii="Arial" w:cs="Arial" w:eastAsia="Arial" w:hAnsi="Arial"/>
          <w:sz w:val="20"/>
          <w:szCs w:val="20"/>
          <w:color w:val="auto"/>
        </w:rPr>
      </w:pPr>
    </w:p>
    <w:p>
      <w:pPr>
        <w:ind w:left="1048" w:hanging="584"/>
        <w:spacing w:after="0"/>
        <w:tabs>
          <w:tab w:leader="none" w:pos="1048"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Non-Disparagement </w:t>
      </w:r>
      <w:r>
        <w:rPr>
          <w:rFonts w:ascii="Arial" w:cs="Arial" w:eastAsia="Arial" w:hAnsi="Arial"/>
          <w:sz w:val="20"/>
          <w:szCs w:val="20"/>
          <w:color w:val="auto"/>
        </w:rPr>
        <w:t>.</w:t>
      </w:r>
    </w:p>
    <w:p>
      <w:pPr>
        <w:spacing w:after="0" w:line="23" w:lineRule="exact"/>
        <w:rPr>
          <w:rFonts w:ascii="Arial" w:cs="Arial" w:eastAsia="Arial" w:hAnsi="Arial"/>
          <w:sz w:val="20"/>
          <w:szCs w:val="20"/>
          <w:color w:val="auto"/>
        </w:rPr>
      </w:pPr>
    </w:p>
    <w:p>
      <w:pPr>
        <w:ind w:left="1648" w:right="20" w:hanging="352"/>
        <w:spacing w:after="0" w:line="243" w:lineRule="auto"/>
        <w:tabs>
          <w:tab w:leader="none" w:pos="1706" w:val="left"/>
        </w:tabs>
        <w:numPr>
          <w:ilvl w:val="2"/>
          <w:numId w:val="14"/>
        </w:numPr>
        <w:rPr>
          <w:rFonts w:ascii="Arial" w:cs="Arial" w:eastAsia="Arial" w:hAnsi="Arial"/>
          <w:sz w:val="20"/>
          <w:szCs w:val="20"/>
          <w:color w:val="auto"/>
        </w:rPr>
      </w:pPr>
      <w:r>
        <w:rPr>
          <w:rFonts w:ascii="Arial" w:cs="Arial" w:eastAsia="Arial" w:hAnsi="Arial"/>
          <w:sz w:val="20"/>
          <w:szCs w:val="20"/>
          <w:color w:val="auto"/>
        </w:rPr>
        <w:t>You will not disparage Releasees, or issue any communication, written or otherwise, that reflects adversely on or encourages any adverse action against Releasees, except: (a) if testifying truthfully under oath pursuant to any lawful</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542290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32" w:right="339" w:bottom="1440" w:gutter="0" w:footer="0" w:header="0"/>
        </w:sectPr>
      </w:pPr>
    </w:p>
    <w:bookmarkStart w:id="40" w:name="page41"/>
    <w:bookmarkEnd w:id="40"/>
    <w:p>
      <w:pPr>
        <w:ind w:left="1648" w:right="20"/>
        <w:spacing w:after="0" w:line="241" w:lineRule="auto"/>
        <w:rPr>
          <w:sz w:val="20"/>
          <w:szCs w:val="20"/>
          <w:color w:val="auto"/>
        </w:rPr>
      </w:pPr>
      <w:r>
        <w:rPr>
          <w:rFonts w:ascii="Arial" w:cs="Arial" w:eastAsia="Arial" w:hAnsi="Arial"/>
          <w:sz w:val="20"/>
          <w:szCs w:val="20"/>
          <w:color w:val="auto"/>
        </w:rPr>
        <w:t>court order or subpoena, (b) otherwise responding to or providing disclosures required by law, or (c) while engaging in the activities referenced in Paragraph 10 of this Agreement. This includes any statement to or response to an inquiry by any member of the press or media, whether written, verbal, electronic, or otherwise. Nothing herein shall prevent you from including your employment with Shutterstock on your resume.</w:t>
      </w:r>
    </w:p>
    <w:p>
      <w:pPr>
        <w:spacing w:after="0" w:line="236" w:lineRule="exact"/>
        <w:rPr>
          <w:sz w:val="20"/>
          <w:szCs w:val="20"/>
          <w:color w:val="auto"/>
        </w:rPr>
      </w:pPr>
    </w:p>
    <w:p>
      <w:pPr>
        <w:ind w:left="1648" w:right="120" w:hanging="352"/>
        <w:spacing w:after="0" w:line="243" w:lineRule="auto"/>
        <w:tabs>
          <w:tab w:leader="none" w:pos="1706"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Company shall direct its Executive Leadership Team (specifically: Jon Oringer, Stan Pavlovsky, Heidi Garfield and Jarrod Yahes) not to disparage or induce or encourage others to disparage you at any time and that such conduct is prohibited.</w:t>
      </w:r>
    </w:p>
    <w:p>
      <w:pPr>
        <w:spacing w:after="0" w:line="232" w:lineRule="exact"/>
        <w:rPr>
          <w:rFonts w:ascii="Arial" w:cs="Arial" w:eastAsia="Arial" w:hAnsi="Arial"/>
          <w:sz w:val="20"/>
          <w:szCs w:val="20"/>
          <w:color w:val="auto"/>
        </w:rPr>
      </w:pPr>
    </w:p>
    <w:p>
      <w:pPr>
        <w:ind w:left="1648" w:right="160" w:hanging="352"/>
        <w:spacing w:after="0" w:line="262" w:lineRule="auto"/>
        <w:tabs>
          <w:tab w:leader="none" w:pos="1706" w:val="left"/>
        </w:tabs>
        <w:numPr>
          <w:ilvl w:val="1"/>
          <w:numId w:val="15"/>
        </w:numPr>
        <w:rPr>
          <w:rFonts w:ascii="Arial" w:cs="Arial" w:eastAsia="Arial" w:hAnsi="Arial"/>
          <w:sz w:val="19"/>
          <w:szCs w:val="19"/>
          <w:color w:val="auto"/>
        </w:rPr>
      </w:pPr>
      <w:r>
        <w:rPr>
          <w:rFonts w:ascii="Arial" w:cs="Arial" w:eastAsia="Arial" w:hAnsi="Arial"/>
          <w:sz w:val="19"/>
          <w:szCs w:val="19"/>
          <w:color w:val="auto"/>
        </w:rPr>
        <w:t>You shall direct any potential employer seeking a reference or employment verification to Shutterstock’s Human Resources Department, in response to which the Company shall state (a) dates of your employment, (b) last position held, and (c) that it is the Company’s policy to only provide these details.</w:t>
      </w:r>
    </w:p>
    <w:p>
      <w:pPr>
        <w:spacing w:after="0" w:line="191" w:lineRule="exact"/>
        <w:rPr>
          <w:rFonts w:ascii="Arial" w:cs="Arial" w:eastAsia="Arial" w:hAnsi="Arial"/>
          <w:sz w:val="19"/>
          <w:szCs w:val="19"/>
          <w:color w:val="auto"/>
        </w:rPr>
      </w:pPr>
    </w:p>
    <w:p>
      <w:pPr>
        <w:ind w:left="1008" w:right="460" w:hanging="499"/>
        <w:spacing w:after="0" w:line="298" w:lineRule="auto"/>
        <w:tabs>
          <w:tab w:leader="none" w:pos="1063"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Future Employment. </w:t>
      </w:r>
      <w:r>
        <w:rPr>
          <w:rFonts w:ascii="Arial" w:cs="Arial" w:eastAsia="Arial" w:hAnsi="Arial"/>
          <w:sz w:val="19"/>
          <w:szCs w:val="19"/>
          <w:color w:val="auto"/>
        </w:rPr>
        <w:t>Unless otherwise determined by the Company, you shall not apply for or seek</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and you waive and release any right to be considered for such employment.</w:t>
      </w:r>
    </w:p>
    <w:p>
      <w:pPr>
        <w:spacing w:after="0" w:line="159" w:lineRule="exact"/>
        <w:rPr>
          <w:sz w:val="20"/>
          <w:szCs w:val="20"/>
          <w:color w:val="auto"/>
        </w:rPr>
      </w:pPr>
    </w:p>
    <w:p>
      <w:pPr>
        <w:ind w:left="1008" w:right="20" w:hanging="544"/>
        <w:spacing w:after="0" w:line="243" w:lineRule="auto"/>
        <w:tabs>
          <w:tab w:leader="none" w:pos="1076" w:val="left"/>
        </w:tabs>
        <w:numPr>
          <w:ilvl w:val="1"/>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Cooperation </w:t>
      </w:r>
      <w:r>
        <w:rPr>
          <w:rFonts w:ascii="Arial" w:cs="Arial" w:eastAsia="Arial" w:hAnsi="Arial"/>
          <w:sz w:val="20"/>
          <w:szCs w:val="20"/>
          <w:color w:val="auto"/>
        </w:rPr>
        <w:t>. You agree to cooperate fully in any investigation Releasees undertake into matters occurring</w:t>
      </w:r>
      <w:r>
        <w:rPr>
          <w:rFonts w:ascii="Arial" w:cs="Arial" w:eastAsia="Arial" w:hAnsi="Arial"/>
          <w:sz w:val="20"/>
          <w:szCs w:val="20"/>
          <w:b w:val="1"/>
          <w:bCs w:val="1"/>
          <w:color w:val="auto"/>
        </w:rPr>
        <w:t xml:space="preserve"> </w:t>
      </w:r>
      <w:r>
        <w:rPr>
          <w:rFonts w:ascii="Arial" w:cs="Arial" w:eastAsia="Arial" w:hAnsi="Arial"/>
          <w:sz w:val="20"/>
          <w:szCs w:val="20"/>
          <w:color w:val="auto"/>
        </w:rPr>
        <w:t>during your employment with the Company. Additionally, you agree that when requested by Releasees or third parties with Releasees’ consent (“Designated Third Parties”), you will promptly, as is reasonable under the circumstances, and fully respond to all inquiries from Releasees, Designated Third Parties and its/their representatives concerning matters relating to Releasees including but not limited to any claims or lawsuits by or against Releasees or any third parties. Furthermore, you agree to testify in matters related to Releasees when requested by Releasees or Designated Third Parties and, for all matters which are not adverse to you, the Company shall reimburse your reasonable preapproved out-of-pocket expenses incident to such cooperation and provide counsel at the Company’s sole expense on your behalf. In the event that you would prefer to have your own counsel, you may do so at your own cost and expense.</w:t>
      </w:r>
    </w:p>
    <w:p>
      <w:pPr>
        <w:spacing w:after="0" w:line="233" w:lineRule="exact"/>
        <w:rPr>
          <w:rFonts w:ascii="Arial" w:cs="Arial" w:eastAsia="Arial" w:hAnsi="Arial"/>
          <w:sz w:val="20"/>
          <w:szCs w:val="20"/>
          <w:color w:val="auto"/>
        </w:rPr>
      </w:pPr>
    </w:p>
    <w:p>
      <w:pPr>
        <w:ind w:left="388" w:hanging="388"/>
        <w:spacing w:after="0"/>
        <w:tabs>
          <w:tab w:leader="none" w:pos="388"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 xml:space="preserve">[Intentionally Omitted] </w:t>
      </w:r>
      <w:r>
        <w:rPr>
          <w:rFonts w:ascii="Arial" w:cs="Arial" w:eastAsia="Arial" w:hAnsi="Arial"/>
          <w:sz w:val="20"/>
          <w:szCs w:val="20"/>
          <w:color w:val="212121"/>
        </w:rPr>
        <w:t>.</w:t>
      </w:r>
    </w:p>
    <w:p>
      <w:pPr>
        <w:spacing w:after="0" w:line="242" w:lineRule="exact"/>
        <w:rPr>
          <w:rFonts w:ascii="Arial" w:cs="Arial" w:eastAsia="Arial" w:hAnsi="Arial"/>
          <w:sz w:val="20"/>
          <w:szCs w:val="20"/>
          <w:b w:val="1"/>
          <w:bCs w:val="1"/>
          <w:color w:val="auto"/>
        </w:rPr>
      </w:pPr>
    </w:p>
    <w:p>
      <w:pPr>
        <w:ind w:left="328" w:hanging="328"/>
        <w:spacing w:after="0"/>
        <w:tabs>
          <w:tab w:leader="none" w:pos="397"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Nothing in this Agreement shall prohibit or restrict you (or your attorney) without prior notice to Releasees from filing a charge, testifying, assisting, or participating in any manner in an investigation, or proceeding; responding to any inquiry; or making protected disclosures to, or otherwise communicating with, any administrative or regulatory agency or authority, including, but not limited to, the Securities and Exchange Commission (SEC), the Financial Industry Regulatory Authority (FINRA), the Commodity Futures Trading Commission (CFTC), the Consumer Financial Protection Bureau (CFPB), the US Department of Justice (DOJ), the US Congress, any agency Inspector General, the Equal Employment Opportunity Commission (EEOC) and the National Labor Relations Board (NLRB). Pursuant to the Defend Trade Secrets Act of 2016, an individual may not be held criminally or civilly liable under any federal or state trade secret law for the disclosure of a trade secret that: (a) is made (i) in confidence to a federal,</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542290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32" w:right="339" w:bottom="1440" w:gutter="0" w:footer="0" w:header="0"/>
        </w:sectPr>
      </w:pPr>
    </w:p>
    <w:bookmarkStart w:id="41" w:name="page42"/>
    <w:bookmarkEnd w:id="41"/>
    <w:p>
      <w:pPr>
        <w:ind w:left="328" w:right="60"/>
        <w:spacing w:after="0"/>
        <w:rPr>
          <w:sz w:val="20"/>
          <w:szCs w:val="20"/>
          <w:color w:val="auto"/>
        </w:rPr>
      </w:pPr>
      <w:r>
        <w:rPr>
          <w:rFonts w:ascii="Arial" w:cs="Arial" w:eastAsia="Arial" w:hAnsi="Arial"/>
          <w:sz w:val="20"/>
          <w:szCs w:val="20"/>
          <w:color w:val="auto"/>
        </w:rPr>
        <w:t>state, or local government official, either directly or indirectly, or to an attorney; and (ii) solely for the purpose of reporting or investigating a suspected violation of law; or (b)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(a) files any document containing the trade secret under seal; and (b) does not disclose the trade secret, except pursuant to court order .</w:t>
      </w:r>
    </w:p>
    <w:p>
      <w:pPr>
        <w:spacing w:after="0" w:line="216" w:lineRule="exact"/>
        <w:rPr>
          <w:sz w:val="20"/>
          <w:szCs w:val="20"/>
          <w:color w:val="auto"/>
        </w:rPr>
      </w:pPr>
    </w:p>
    <w:p>
      <w:pPr>
        <w:ind w:left="328" w:right="120" w:hanging="328"/>
        <w:spacing w:after="0" w:line="244" w:lineRule="auto"/>
        <w:tabs>
          <w:tab w:leader="none" w:pos="386"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Confidentiality </w:t>
      </w:r>
      <w:r>
        <w:rPr>
          <w:rFonts w:ascii="Arial" w:cs="Arial" w:eastAsia="Arial" w:hAnsi="Arial"/>
          <w:sz w:val="20"/>
          <w:szCs w:val="20"/>
          <w:color w:val="auto"/>
        </w:rPr>
        <w:t>. To the extent permitted by law, you agree not to disclose the terms, contents or execution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claims that have been or could have been raised against Releasees, or the facts and circumstances underlying this Agreement, except you may make such disclosures: (a) to your immediate family, tax advisors, or taxing authorities, so long as such person or entity agrees to be bound by the confidential nature of this Agreement; (b) to your legal counsel; (c) pursuant to the order of a court; (d) while engaging in the activities referenced in Paragraph 10 of this Agreement; (e) as required by applicable law; and/or (f) for purposes of securing enforcement of the terms and conditions of this Agreement, should that ever be necessary.</w:t>
      </w:r>
    </w:p>
    <w:p>
      <w:pPr>
        <w:spacing w:after="0" w:line="212" w:lineRule="exact"/>
        <w:rPr>
          <w:rFonts w:ascii="Arial" w:cs="Arial" w:eastAsia="Arial" w:hAnsi="Arial"/>
          <w:sz w:val="20"/>
          <w:szCs w:val="20"/>
          <w:b w:val="1"/>
          <w:bCs w:val="1"/>
          <w:color w:val="auto"/>
        </w:rPr>
      </w:pPr>
    </w:p>
    <w:p>
      <w:pPr>
        <w:ind w:left="328" w:right="40" w:hanging="328"/>
        <w:spacing w:after="0" w:line="242" w:lineRule="auto"/>
        <w:tabs>
          <w:tab w:leader="none" w:pos="38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 The Company may deduct or withhold from any compensation or benefits any applicable federal, state</w:t>
      </w:r>
      <w:r>
        <w:rPr>
          <w:rFonts w:ascii="Arial" w:cs="Arial" w:eastAsia="Arial" w:hAnsi="Arial"/>
          <w:sz w:val="20"/>
          <w:szCs w:val="20"/>
          <w:b w:val="1"/>
          <w:bCs w:val="1"/>
          <w:color w:val="auto"/>
        </w:rPr>
        <w:t xml:space="preserve"> </w:t>
      </w:r>
      <w:r>
        <w:rPr>
          <w:rFonts w:ascii="Arial" w:cs="Arial" w:eastAsia="Arial" w:hAnsi="Arial"/>
          <w:sz w:val="20"/>
          <w:szCs w:val="20"/>
          <w:color w:val="auto"/>
        </w:rPr>
        <w:t>or local tax or employment withholdings or deductions resulting from any payments or benefits provided under this Agreement. In addition, it is the Company’s intention that all payments or benefits provided under this Agreement comply with Section 409A of the Internal Revenue Code of 1986, as amended (the “Code”), including without limitation the six month delay for payments of deferred compensation to “key employees” upon separation from service pursuant to Section 409A(a)(2)(B)(i) of the Code (if applicable), and this Agreement shall be interpreted, administered and operated accordingly. If under this Agreement an amount is to be paid in installments, each installment shall be treated as a separate payment for purposes of Treasury Regulation Section 1.409A-2(b)(2)(iii). Notwithstanding anything to the contrary herein, the Company does not guarantee the tax treatment of any payments or benefits under this Agreement, including without limitation under the Code, federal, state, local or foreign tax laws and regulations. In no event may you, directly or indirectly, designate the calendar year of any payment under this Agreement. In the event the period of notice and payment referenced in Section 2 of this Agreement ends in the taxable year following your termination of employment, any severance payment or deferred compensation payment shall be paid or commence in such subsequent taxable year if required under Section 409A of the Code.</w:t>
      </w:r>
    </w:p>
    <w:p>
      <w:pPr>
        <w:spacing w:after="0" w:line="209" w:lineRule="exact"/>
        <w:rPr>
          <w:rFonts w:ascii="Arial" w:cs="Arial" w:eastAsia="Arial" w:hAnsi="Arial"/>
          <w:sz w:val="20"/>
          <w:szCs w:val="20"/>
          <w:b w:val="1"/>
          <w:bCs w:val="1"/>
          <w:color w:val="auto"/>
        </w:rPr>
      </w:pPr>
    </w:p>
    <w:p>
      <w:pPr>
        <w:ind w:left="328" w:right="320" w:hanging="328"/>
        <w:spacing w:after="0" w:line="255" w:lineRule="auto"/>
        <w:tabs>
          <w:tab w:leader="none" w:pos="41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Admission </w:t>
      </w:r>
      <w:r>
        <w:rPr>
          <w:rFonts w:ascii="Arial" w:cs="Arial" w:eastAsia="Arial" w:hAnsi="Arial"/>
          <w:sz w:val="20"/>
          <w:szCs w:val="20"/>
          <w:color w:val="auto"/>
        </w:rPr>
        <w:t>. The parties agree that this Agreement shall not constitute or operate as an acknowledgment or</w:t>
      </w:r>
      <w:r>
        <w:rPr>
          <w:rFonts w:ascii="Arial" w:cs="Arial" w:eastAsia="Arial" w:hAnsi="Arial"/>
          <w:sz w:val="20"/>
          <w:szCs w:val="20"/>
          <w:b w:val="1"/>
          <w:bCs w:val="1"/>
          <w:color w:val="auto"/>
        </w:rPr>
        <w:t xml:space="preserve"> </w:t>
      </w:r>
      <w:r>
        <w:rPr>
          <w:rFonts w:ascii="Arial" w:cs="Arial" w:eastAsia="Arial" w:hAnsi="Arial"/>
          <w:sz w:val="20"/>
          <w:szCs w:val="20"/>
          <w:color w:val="auto"/>
        </w:rPr>
        <w:t>admission of any kind by Releasees that they have violated any federal, state, local or municipal statute, regulation or common law, or breached any other legal obligation or duty Releasees have or ever had to you.</w:t>
      </w:r>
    </w:p>
    <w:p>
      <w:pPr>
        <w:spacing w:after="0" w:line="198" w:lineRule="exact"/>
        <w:rPr>
          <w:rFonts w:ascii="Arial" w:cs="Arial" w:eastAsia="Arial" w:hAnsi="Arial"/>
          <w:sz w:val="20"/>
          <w:szCs w:val="20"/>
          <w:b w:val="1"/>
          <w:bCs w:val="1"/>
          <w:color w:val="auto"/>
        </w:rPr>
      </w:pPr>
    </w:p>
    <w:p>
      <w:pPr>
        <w:ind w:left="328" w:right="80" w:hanging="328"/>
        <w:spacing w:after="0" w:line="250" w:lineRule="auto"/>
        <w:tabs>
          <w:tab w:leader="none" w:pos="397"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Successors </w:t>
      </w:r>
      <w:r>
        <w:rPr>
          <w:rFonts w:ascii="Arial" w:cs="Arial" w:eastAsia="Arial" w:hAnsi="Arial"/>
          <w:sz w:val="20"/>
          <w:szCs w:val="20"/>
          <w:color w:val="auto"/>
        </w:rPr>
        <w:t>. This Agreement shall be binding upon the Parties and may not be modified in any manner,</w:t>
      </w:r>
      <w:r>
        <w:rPr>
          <w:rFonts w:ascii="Arial" w:cs="Arial" w:eastAsia="Arial" w:hAnsi="Arial"/>
          <w:sz w:val="20"/>
          <w:szCs w:val="20"/>
          <w:b w:val="1"/>
          <w:bCs w:val="1"/>
          <w:color w:val="auto"/>
        </w:rPr>
        <w:t xml:space="preserve"> </w:t>
      </w:r>
      <w:r>
        <w:rPr>
          <w:rFonts w:ascii="Arial" w:cs="Arial" w:eastAsia="Arial" w:hAnsi="Arial"/>
          <w:sz w:val="20"/>
          <w:szCs w:val="20"/>
          <w:color w:val="auto"/>
        </w:rPr>
        <w:t>except by an instrument in writing of concurrent or subsequent date signed by duly authorized representatives of the Parties hereto. This Agreement are binding upon and shall inure to the benefit of the Parties and their respective agents, assigns, heirs, executors, successors and administrators, including any corporation with which or into which</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542290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32" w:right="339" w:bottom="1440" w:gutter="0" w:footer="0" w:header="0"/>
        </w:sectPr>
      </w:pPr>
    </w:p>
    <w:bookmarkStart w:id="42" w:name="page43"/>
    <w:bookmarkEnd w:id="42"/>
    <w:p>
      <w:pPr>
        <w:ind w:left="328" w:right="260"/>
        <w:spacing w:after="0" w:line="243" w:lineRule="auto"/>
        <w:rPr>
          <w:sz w:val="20"/>
          <w:szCs w:val="20"/>
          <w:color w:val="auto"/>
        </w:rPr>
      </w:pPr>
      <w:r>
        <w:rPr>
          <w:rFonts w:ascii="Arial" w:cs="Arial" w:eastAsia="Arial" w:hAnsi="Arial"/>
          <w:sz w:val="20"/>
          <w:szCs w:val="20"/>
          <w:color w:val="auto"/>
        </w:rPr>
        <w:t>the Company may be merged or which may succeed to its asserts or business. For the avoidance of doubt, the Executive’s death or disability shall not affect his continued eligibility (or that of his estate, as applicable) to receive the Severance Benefits, subject to the terms and conditions of this Agreement.</w:t>
      </w:r>
    </w:p>
    <w:p>
      <w:pPr>
        <w:spacing w:after="0" w:line="209" w:lineRule="exact"/>
        <w:rPr>
          <w:sz w:val="20"/>
          <w:szCs w:val="20"/>
          <w:color w:val="auto"/>
        </w:rPr>
      </w:pPr>
    </w:p>
    <w:p>
      <w:pPr>
        <w:ind w:left="328" w:hanging="328"/>
        <w:spacing w:after="0" w:line="255" w:lineRule="auto"/>
        <w:tabs>
          <w:tab w:leader="none" w:pos="385"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of Rights </w:t>
      </w:r>
      <w:r>
        <w:rPr>
          <w:rFonts w:ascii="Arial" w:cs="Arial" w:eastAsia="Arial" w:hAnsi="Arial"/>
          <w:sz w:val="20"/>
          <w:szCs w:val="20"/>
          <w:color w:val="auto"/>
        </w:rPr>
        <w:t>. No delay or omission by the Company in exercising any right under this Agreement shall operate as</w:t>
      </w:r>
      <w:r>
        <w:rPr>
          <w:rFonts w:ascii="Arial" w:cs="Arial" w:eastAsia="Arial" w:hAnsi="Arial"/>
          <w:sz w:val="20"/>
          <w:szCs w:val="20"/>
          <w:b w:val="1"/>
          <w:bCs w:val="1"/>
          <w:color w:val="auto"/>
        </w:rPr>
        <w:t xml:space="preserve"> </w:t>
      </w:r>
      <w:r>
        <w:rPr>
          <w:rFonts w:ascii="Arial" w:cs="Arial" w:eastAsia="Arial" w:hAnsi="Arial"/>
          <w:sz w:val="20"/>
          <w:szCs w:val="20"/>
          <w:color w:val="auto"/>
        </w:rPr>
        <w:t>a waiver of that or any other right. A waiver or consent given by the Company on any one occasion shall be effective only in that instance and shall not be construed as a bar to or waiver of any right on any other occasion.</w:t>
      </w:r>
    </w:p>
    <w:p>
      <w:pPr>
        <w:spacing w:after="0" w:line="198" w:lineRule="exact"/>
        <w:rPr>
          <w:rFonts w:ascii="Arial" w:cs="Arial" w:eastAsia="Arial" w:hAnsi="Arial"/>
          <w:sz w:val="20"/>
          <w:szCs w:val="20"/>
          <w:b w:val="1"/>
          <w:bCs w:val="1"/>
          <w:color w:val="auto"/>
        </w:rPr>
      </w:pPr>
    </w:p>
    <w:p>
      <w:pPr>
        <w:ind w:left="328" w:right="220" w:hanging="328"/>
        <w:spacing w:after="0" w:line="247" w:lineRule="auto"/>
        <w:tabs>
          <w:tab w:leader="none" w:pos="385"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Acknowledgement </w:t>
      </w:r>
      <w:r>
        <w:rPr>
          <w:rFonts w:ascii="Arial" w:cs="Arial" w:eastAsia="Arial" w:hAnsi="Arial"/>
          <w:sz w:val="20"/>
          <w:szCs w:val="20"/>
          <w:color w:val="auto"/>
        </w:rPr>
        <w:t>. By executing this Agreement, you affirm that you are competent and understand and accept the</w:t>
      </w:r>
      <w:r>
        <w:rPr>
          <w:rFonts w:ascii="Arial" w:cs="Arial" w:eastAsia="Arial" w:hAnsi="Arial"/>
          <w:sz w:val="20"/>
          <w:szCs w:val="20"/>
          <w:b w:val="1"/>
          <w:bCs w:val="1"/>
          <w:color w:val="auto"/>
        </w:rPr>
        <w:t xml:space="preserve"> </w:t>
      </w:r>
      <w:r>
        <w:rPr>
          <w:rFonts w:ascii="Arial" w:cs="Arial" w:eastAsia="Arial" w:hAnsi="Arial"/>
          <w:sz w:val="20"/>
          <w:szCs w:val="20"/>
          <w:color w:val="auto"/>
        </w:rPr>
        <w:t>nature, terms and scope of this Agreement as fully resolving all differences and disputes between you and Releasees. Moreover, you acknowledge that by signing your name below you have read, understand and accept each of the terms of this Agreement, that you have had sufficient opportunity to review it, to consult with an attorney or other advisor (at your own expense), and have done so to the extent that you deem appropriate.</w:t>
      </w:r>
    </w:p>
    <w:p>
      <w:pPr>
        <w:spacing w:after="0" w:line="207" w:lineRule="exact"/>
        <w:rPr>
          <w:rFonts w:ascii="Arial" w:cs="Arial" w:eastAsia="Arial" w:hAnsi="Arial"/>
          <w:sz w:val="20"/>
          <w:szCs w:val="20"/>
          <w:b w:val="1"/>
          <w:bCs w:val="1"/>
          <w:color w:val="auto"/>
        </w:rPr>
      </w:pPr>
    </w:p>
    <w:p>
      <w:pPr>
        <w:ind w:left="328" w:right="100" w:hanging="328"/>
        <w:spacing w:after="0" w:line="263" w:lineRule="auto"/>
        <w:tabs>
          <w:tab w:leader="none" w:pos="399"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Acknowledgement </w:t>
      </w:r>
      <w:r>
        <w:rPr>
          <w:rFonts w:ascii="Arial" w:cs="Arial" w:eastAsia="Arial" w:hAnsi="Arial"/>
          <w:sz w:val="19"/>
          <w:szCs w:val="19"/>
          <w:color w:val="auto"/>
        </w:rPr>
        <w:t>. In connection with the payments and consideration provided to the Executive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Company shall withhold and remit to the tax authorities the amounts required under applicable law, and the Executive shall be responsible for all applicable taxes with respect to such payments and consideration under applicable law. The Executive acknowledges that she is not relying upon the advice or representation of the Company with respect to the tax treatment of any of the payments or benefits set forth in Paragraph 2 of this Agreement</w:t>
      </w:r>
    </w:p>
    <w:p>
      <w:pPr>
        <w:spacing w:after="0" w:line="193" w:lineRule="exact"/>
        <w:rPr>
          <w:rFonts w:ascii="Arial" w:cs="Arial" w:eastAsia="Arial" w:hAnsi="Arial"/>
          <w:sz w:val="19"/>
          <w:szCs w:val="19"/>
          <w:b w:val="1"/>
          <w:bCs w:val="1"/>
          <w:color w:val="auto"/>
        </w:rPr>
      </w:pPr>
    </w:p>
    <w:p>
      <w:pPr>
        <w:ind w:left="328" w:right="200" w:hanging="328"/>
        <w:spacing w:after="0" w:line="244" w:lineRule="auto"/>
        <w:tabs>
          <w:tab w:leader="none" w:pos="385"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 Except for the Employee Obligations Agreement, which shall remain in full force and effect, this is</w:t>
      </w:r>
      <w:r>
        <w:rPr>
          <w:rFonts w:ascii="Arial" w:cs="Arial" w:eastAsia="Arial" w:hAnsi="Arial"/>
          <w:sz w:val="20"/>
          <w:szCs w:val="20"/>
          <w:b w:val="1"/>
          <w:bCs w:val="1"/>
          <w:color w:val="auto"/>
        </w:rPr>
        <w:t xml:space="preserve"> </w:t>
      </w:r>
      <w:r>
        <w:rPr>
          <w:rFonts w:ascii="Arial" w:cs="Arial" w:eastAsia="Arial" w:hAnsi="Arial"/>
          <w:sz w:val="20"/>
          <w:szCs w:val="20"/>
          <w:color w:val="auto"/>
        </w:rPr>
        <w:t>the entire Agreement between you and the Company. This Agreement may not be modified or canceled in any manner except by a writing signed by both you and an authorized Company official. You acknowledge that the Company has made no promises or representations to you other than those in this Agreement. It is not necessary that the Company sign this Agreement for it to become binding upon you. To the extent there is any conflict or inconsistency between any term of this Agreement and the Employee Obligations Agreement, the term which provides the greater benefit or protection to Releasees shall control.</w:t>
      </w:r>
    </w:p>
    <w:p>
      <w:pPr>
        <w:spacing w:after="0" w:line="212" w:lineRule="exact"/>
        <w:rPr>
          <w:rFonts w:ascii="Arial" w:cs="Arial" w:eastAsia="Arial" w:hAnsi="Arial"/>
          <w:sz w:val="20"/>
          <w:szCs w:val="20"/>
          <w:b w:val="1"/>
          <w:bCs w:val="1"/>
          <w:color w:val="auto"/>
        </w:rPr>
      </w:pPr>
    </w:p>
    <w:p>
      <w:pPr>
        <w:ind w:left="328" w:right="20" w:hanging="328"/>
        <w:spacing w:after="0" w:line="242" w:lineRule="auto"/>
        <w:tabs>
          <w:tab w:leader="none" w:pos="398"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Jurisdiction and Arbitration </w:t>
      </w:r>
      <w:r>
        <w:rPr>
          <w:rFonts w:ascii="Arial" w:cs="Arial" w:eastAsia="Arial" w:hAnsi="Arial"/>
          <w:sz w:val="20"/>
          <w:szCs w:val="20"/>
          <w:color w:val="auto"/>
        </w:rPr>
        <w:t>. This Agreement shall be governed by and construed and enforced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New York, without regard to conflicts of laws. In the event that either party believes that the other party has breached this Agreement, Executive and the Company hereby agree that such dispute shall be submitted to JAMS for confidential and binding arbitration before a single arbitrator at JAMS’ offices in New York City, in accordance with JAMS’ Employment Arbitration Rules &amp; Procedures. No claims may be arbitrated on a class or collective basis. Both Executive and the Company expressly waive any right to submit, initiate, or participate in a representative capacity, or as a plaintiff, claimant or member in a class action, collective action or other representative or joint action, regardless of whether the action is filed in arbitration or in court. Notwithstanding the foregoing, either you or the Company may seek injunctive relief in a lawsuit filed in a court of competent jurisdiction in order to prevent irreparable harm or preserve the status quo. Any award pursuant to said arbitration shall be accompanied by a written opinion of the arbitrator setting forth the reason</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542290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32" w:right="339" w:bottom="1440" w:gutter="0" w:footer="0" w:header="0"/>
        </w:sectPr>
      </w:pPr>
    </w:p>
    <w:bookmarkStart w:id="43" w:name="page44"/>
    <w:bookmarkEnd w:id="43"/>
    <w:p>
      <w:pPr>
        <w:ind w:left="660" w:right="100"/>
        <w:spacing w:after="0" w:line="241" w:lineRule="auto"/>
        <w:rPr>
          <w:sz w:val="20"/>
          <w:szCs w:val="20"/>
          <w:color w:val="auto"/>
        </w:rPr>
      </w:pPr>
      <w:r>
        <w:rPr>
          <w:rFonts w:ascii="Arial" w:cs="Arial" w:eastAsia="Arial" w:hAnsi="Arial"/>
          <w:sz w:val="20"/>
          <w:szCs w:val="20"/>
          <w:color w:val="auto"/>
        </w:rPr>
        <w:t>for the award, including findings of fact and conclusions of law. The award rendered by the arbitrator shall be conclusive and binding upon the parties hereto, and judgment upon the award may be entered, and enforcement may be sought in, any court of competent jurisdiction. YOU UNDERSTAND THAT, ABSENT THIS AGREEMENT, YOU AND THE COMPANY WOULD HAVE THE RIGHT TO SUE EACH OTHER IN COURT, AND THE RIGHT TO A JURY TRIAL, BUT, BY THIS AGREEMENT, BOTH PARTIES GIVE UP THAT RIGHT.</w:t>
      </w:r>
    </w:p>
    <w:p>
      <w:pPr>
        <w:spacing w:after="0" w:line="212" w:lineRule="exact"/>
        <w:rPr>
          <w:sz w:val="20"/>
          <w:szCs w:val="20"/>
          <w:color w:val="auto"/>
        </w:rPr>
      </w:pPr>
    </w:p>
    <w:p>
      <w:pPr>
        <w:ind w:left="660" w:right="320" w:hanging="328"/>
        <w:spacing w:after="0" w:line="267" w:lineRule="auto"/>
        <w:tabs>
          <w:tab w:leader="none" w:pos="729"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 This Agreement may be executed in one or more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but all of which together shall constitute one and the same instrument. The signatures of any party to a counterpart shall be deemed to be a signature to, and may be appended to, any other counterpart. Executed originals transmitted electronically as PDF files (or their equivalent) shall have the same force and effect as signed originals.</w:t>
      </w:r>
    </w:p>
    <w:p>
      <w:pPr>
        <w:spacing w:after="0" w:line="188" w:lineRule="exact"/>
        <w:rPr>
          <w:rFonts w:ascii="Arial" w:cs="Arial" w:eastAsia="Arial" w:hAnsi="Arial"/>
          <w:sz w:val="19"/>
          <w:szCs w:val="19"/>
          <w:b w:val="1"/>
          <w:bCs w:val="1"/>
          <w:color w:val="auto"/>
        </w:rPr>
      </w:pPr>
    </w:p>
    <w:p>
      <w:pPr>
        <w:ind w:left="660" w:right="40" w:hanging="328"/>
        <w:spacing w:after="0" w:line="271" w:lineRule="auto"/>
        <w:tabs>
          <w:tab w:leader="none" w:pos="729"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Recital Paragraphs </w:t>
      </w:r>
      <w:r>
        <w:rPr>
          <w:rFonts w:ascii="Arial" w:cs="Arial" w:eastAsia="Arial" w:hAnsi="Arial"/>
          <w:sz w:val="20"/>
          <w:szCs w:val="20"/>
          <w:color w:val="auto"/>
        </w:rPr>
        <w:t>. The recital paragraphs at the beginning of this Agreement are incorporated by reference as if fully</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herein.</w:t>
      </w:r>
    </w:p>
    <w:p>
      <w:pPr>
        <w:spacing w:after="0" w:line="206" w:lineRule="exact"/>
        <w:rPr>
          <w:rFonts w:ascii="Arial" w:cs="Arial" w:eastAsia="Arial" w:hAnsi="Arial"/>
          <w:sz w:val="20"/>
          <w:szCs w:val="20"/>
          <w:b w:val="1"/>
          <w:bCs w:val="1"/>
          <w:color w:val="auto"/>
        </w:rPr>
      </w:pPr>
    </w:p>
    <w:p>
      <w:pPr>
        <w:ind w:left="660" w:right="60" w:hanging="328"/>
        <w:spacing w:after="0"/>
        <w:tabs>
          <w:tab w:leader="none" w:pos="729"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YOU ACKNOWLEDGE THAT YOU HAVE CAREFULLY READ THIS AGREEMENT, UNDERSTAND IT, AND ARE VOLUNTARILY ENTERING INTO IT OF YOUR OWN FREE WILL, WITHOUT DURESS OR COERCION, AFTER DUE CONSIDERATION OF ITS TERMS AND CONDITIONS. YOU FURTHER ACKNOWLEDGE THAT EXCEPT AS STATED IN THIS AGREEMENT, NEITHER THE COMPANY NOR ANY REPRESENTATIVE OF THE COMPANY HAS MADE ANY REPRESENTATIONS OR PROMISES TO YOU. YOU FURTHER ACKNOWLEDGE THAT YOU HAVE BEEN GIVEN AN OPPORTUNITY TO CONSULT WITH COUNSEL OF YOUR CHOICE BEFORE SIGNING THIS AGREEMENT. YOU UNDERSTAND THAT WHETHER OR NOT YOU DO SO IS YOUR DECISION.</w:t>
      </w:r>
    </w:p>
    <w:p>
      <w:pPr>
        <w:spacing w:after="0" w:line="239" w:lineRule="exact"/>
        <w:rPr>
          <w:rFonts w:ascii="Arial" w:cs="Arial" w:eastAsia="Arial" w:hAnsi="Arial"/>
          <w:sz w:val="20"/>
          <w:szCs w:val="20"/>
          <w:b w:val="1"/>
          <w:bCs w:val="1"/>
          <w:color w:val="auto"/>
        </w:rPr>
      </w:pPr>
    </w:p>
    <w:p>
      <w:pPr>
        <w:jc w:val="both"/>
        <w:ind w:left="660" w:right="180" w:hanging="328"/>
        <w:spacing w:after="0" w:line="243" w:lineRule="auto"/>
        <w:tabs>
          <w:tab w:leader="none" w:pos="729"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Should any provision of this Agreement be declared illegal or unenforceable by any court of competent jurisdiction and cannot be modified to be enforceable, such provision shall immediately become null and void, leaving the remainder of this Agreement in full force and effect.</w:t>
      </w:r>
    </w:p>
    <w:p>
      <w:pPr>
        <w:spacing w:after="0" w:line="233" w:lineRule="exact"/>
        <w:rPr>
          <w:sz w:val="20"/>
          <w:szCs w:val="20"/>
          <w:color w:val="auto"/>
        </w:rPr>
      </w:pPr>
    </w:p>
    <w:p>
      <w:pPr>
        <w:ind w:right="640"/>
        <w:spacing w:after="0" w:line="272" w:lineRule="auto"/>
        <w:rPr>
          <w:sz w:val="20"/>
          <w:szCs w:val="20"/>
          <w:color w:val="auto"/>
        </w:rPr>
      </w:pPr>
      <w:r>
        <w:rPr>
          <w:rFonts w:ascii="Arial" w:cs="Arial" w:eastAsia="Arial" w:hAnsi="Arial"/>
          <w:sz w:val="19"/>
          <w:szCs w:val="19"/>
          <w:color w:val="auto"/>
        </w:rPr>
        <w:t>Executive provides this Agreement as of the current date and acknowledges that execution of this Agreement is in further consideration of Paragraph 2.a, to which Executive agrees you would not be entitled if you did not sign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44" w:name="page45"/>
    <w:bookmarkEnd w:id="44"/>
    <w:p>
      <w:pPr>
        <w:spacing w:after="0" w:line="400"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b w:val="1"/>
          <w:bCs w:val="1"/>
          <w:color w:val="auto"/>
        </w:rPr>
        <w:t xml:space="preserve">Executive must sign and return this Agreement to Shutterstock Inc., Chief Human Resources Officer or a similarly designated representative, 350 Fifth Avenue, 21st Floor, New York, NY 10118 no 10118 no sooner than the date your employment ends and no later than the close of business on the third (3 </w:t>
      </w:r>
      <w:r>
        <w:rPr>
          <w:rFonts w:ascii="Arial" w:cs="Arial" w:eastAsia="Arial" w:hAnsi="Arial"/>
          <w:sz w:val="25"/>
          <w:szCs w:val="25"/>
          <w:b w:val="1"/>
          <w:bCs w:val="1"/>
          <w:color w:val="auto"/>
          <w:vertAlign w:val="superscript"/>
        </w:rPr>
        <w:t>rd</w:t>
      </w:r>
      <w:r>
        <w:rPr>
          <w:rFonts w:ascii="Arial" w:cs="Arial" w:eastAsia="Arial" w:hAnsi="Arial"/>
          <w:sz w:val="20"/>
          <w:szCs w:val="20"/>
          <w:b w:val="1"/>
          <w:bCs w:val="1"/>
          <w:color w:val="auto"/>
        </w:rPr>
        <w:t xml:space="preserve"> ) day following the Separation Date or irrevocably lose the right to receive the consideration detailed herein. Executive intends that this Agreement will become a binding agreement between Executive and the Company if you do not revoke your acceptance in seven (7) days.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rPr>
          <w:sz w:val="20"/>
          <w:szCs w:val="20"/>
          <w:color w:val="auto"/>
        </w:rPr>
      </w:pPr>
      <w:r>
        <w:rPr>
          <w:rFonts w:ascii="Arial" w:cs="Arial" w:eastAsia="Arial" w:hAnsi="Arial"/>
          <w:sz w:val="20"/>
          <w:szCs w:val="20"/>
          <w:color w:val="auto"/>
        </w:rPr>
        <w:t>Shutterstock, Inc.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5"/>
          </w:tcPr>
          <w:p>
            <w:pPr>
              <w:spacing w:after="0"/>
              <w:rPr>
                <w:sz w:val="20"/>
                <w:szCs w:val="20"/>
                <w:color w:val="auto"/>
              </w:rPr>
            </w:pPr>
            <w:r>
              <w:rPr>
                <w:rFonts w:ascii="Arial" w:cs="Arial" w:eastAsia="Arial" w:hAnsi="Arial"/>
                <w:sz w:val="20"/>
                <w:szCs w:val="20"/>
                <w:color w:val="auto"/>
              </w:rPr>
              <w:t>By: /s/ Stan Pavlovsky</w:t>
            </w:r>
          </w:p>
        </w:tc>
        <w:tc>
          <w:tcPr>
            <w:tcW w:w="1660" w:type="dxa"/>
            <w:vAlign w:val="bottom"/>
            <w:gridSpan w:val="3"/>
          </w:tcPr>
          <w:p>
            <w:pPr>
              <w:ind w:left="160"/>
              <w:spacing w:after="0"/>
              <w:rPr>
                <w:sz w:val="20"/>
                <w:szCs w:val="20"/>
                <w:color w:val="auto"/>
              </w:rPr>
            </w:pPr>
            <w:r>
              <w:rPr>
                <w:rFonts w:ascii="Arial" w:cs="Arial" w:eastAsia="Arial" w:hAnsi="Arial"/>
                <w:sz w:val="20"/>
                <w:szCs w:val="20"/>
                <w:color w:val="auto"/>
              </w:rPr>
              <w:t>March 28, 2020</w:t>
            </w:r>
          </w:p>
        </w:tc>
      </w:tr>
      <w:tr>
        <w:trPr>
          <w:trHeight w:val="20"/>
        </w:trPr>
        <w:tc>
          <w:tcPr>
            <w:tcW w:w="34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46"/>
        </w:trPr>
        <w:tc>
          <w:tcPr>
            <w:tcW w:w="2180" w:type="dxa"/>
            <w:vAlign w:val="bottom"/>
            <w:gridSpan w:val="5"/>
          </w:tcPr>
          <w:p>
            <w:pPr>
              <w:spacing w:after="0"/>
              <w:rPr>
                <w:sz w:val="20"/>
                <w:szCs w:val="20"/>
                <w:color w:val="auto"/>
              </w:rPr>
            </w:pPr>
            <w:r>
              <w:rPr>
                <w:rFonts w:ascii="Arial" w:cs="Arial" w:eastAsia="Arial" w:hAnsi="Arial"/>
                <w:sz w:val="20"/>
                <w:szCs w:val="20"/>
                <w:color w:val="auto"/>
              </w:rPr>
              <w:t>Stan Pavlovsky   Date</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7"/>
        </w:trPr>
        <w:tc>
          <w:tcPr>
            <w:tcW w:w="3840" w:type="dxa"/>
            <w:vAlign w:val="bottom"/>
            <w:gridSpan w:val="8"/>
          </w:tcPr>
          <w:p>
            <w:pPr>
              <w:spacing w:after="0"/>
              <w:rPr>
                <w:sz w:val="20"/>
                <w:szCs w:val="20"/>
                <w:color w:val="auto"/>
              </w:rPr>
            </w:pPr>
            <w:r>
              <w:rPr>
                <w:rFonts w:ascii="Arial" w:cs="Arial" w:eastAsia="Arial" w:hAnsi="Arial"/>
                <w:sz w:val="20"/>
                <w:szCs w:val="20"/>
                <w:color w:val="auto"/>
              </w:rPr>
              <w:t>Read, Agreed to and Accepted:</w:t>
            </w:r>
          </w:p>
        </w:tc>
      </w:tr>
      <w:tr>
        <w:trPr>
          <w:trHeight w:val="428"/>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Lisa Nadler</w:t>
            </w:r>
          </w:p>
        </w:tc>
        <w:tc>
          <w:tcPr>
            <w:tcW w:w="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March 27, 2020</w:t>
            </w:r>
          </w:p>
        </w:tc>
        <w:tc>
          <w:tcPr>
            <w:tcW w:w="640" w:type="dxa"/>
            <w:vAlign w:val="bottom"/>
          </w:tcPr>
          <w:p>
            <w:pPr>
              <w:spacing w:after="0"/>
              <w:rPr>
                <w:sz w:val="24"/>
                <w:szCs w:val="24"/>
                <w:color w:val="auto"/>
              </w:rPr>
            </w:pPr>
          </w:p>
        </w:tc>
      </w:tr>
      <w:tr>
        <w:trPr>
          <w:trHeight w:val="254"/>
        </w:trPr>
        <w:tc>
          <w:tcPr>
            <w:tcW w:w="1300" w:type="dxa"/>
            <w:vAlign w:val="bottom"/>
            <w:gridSpan w:val="2"/>
          </w:tcPr>
          <w:p>
            <w:pPr>
              <w:spacing w:after="0"/>
              <w:rPr>
                <w:sz w:val="20"/>
                <w:szCs w:val="20"/>
                <w:color w:val="auto"/>
              </w:rPr>
            </w:pPr>
            <w:r>
              <w:rPr>
                <w:rFonts w:ascii="Arial" w:cs="Arial" w:eastAsia="Arial" w:hAnsi="Arial"/>
                <w:sz w:val="20"/>
                <w:szCs w:val="20"/>
                <w:color w:val="auto"/>
              </w:rPr>
              <w:t>Lisa Nadler</w:t>
            </w:r>
          </w:p>
        </w:tc>
        <w:tc>
          <w:tcPr>
            <w:tcW w:w="880" w:type="dxa"/>
            <w:vAlign w:val="bottom"/>
            <w:gridSpan w:val="3"/>
          </w:tcPr>
          <w:p>
            <w:pPr>
              <w:ind w:left="40"/>
              <w:spacing w:after="0"/>
              <w:rPr>
                <w:sz w:val="20"/>
                <w:szCs w:val="20"/>
                <w:color w:val="auto"/>
              </w:rPr>
            </w:pPr>
            <w:r>
              <w:rPr>
                <w:rFonts w:ascii="Arial" w:cs="Arial" w:eastAsia="Arial" w:hAnsi="Arial"/>
                <w:sz w:val="20"/>
                <w:szCs w:val="20"/>
                <w:color w:val="auto"/>
              </w:rPr>
              <w:t>Date</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7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Initials: </w:t>
      </w:r>
      <w:r>
        <w:rPr>
          <w:rFonts w:ascii="Arial" w:cs="Arial" w:eastAsia="Arial" w:hAnsi="Arial"/>
          <w:sz w:val="20"/>
          <w:szCs w:val="20"/>
          <w:u w:val="single" w:color="auto"/>
          <w:color w:val="auto"/>
        </w:rPr>
        <w:t>/s/ LN</w:t>
      </w:r>
    </w:p>
    <w:p>
      <w:pPr>
        <w:jc w:val="right"/>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27, 2020</w:t>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line="26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Stan Pavlovsky, certify that:</w:t>
      </w:r>
    </w:p>
    <w:p>
      <w:pPr>
        <w:spacing w:after="0" w:line="194" w:lineRule="exact"/>
        <w:rPr>
          <w:sz w:val="20"/>
          <w:szCs w:val="20"/>
          <w:color w:val="auto"/>
        </w:rPr>
      </w:pPr>
    </w:p>
    <w:p>
      <w:pPr>
        <w:ind w:left="860" w:hanging="52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4" w:lineRule="exact"/>
        <w:rPr>
          <w:rFonts w:ascii="Arial" w:cs="Arial" w:eastAsia="Arial" w:hAnsi="Arial"/>
          <w:sz w:val="16"/>
          <w:szCs w:val="16"/>
          <w:color w:val="auto"/>
        </w:rPr>
      </w:pPr>
    </w:p>
    <w:p>
      <w:pPr>
        <w:ind w:left="340" w:right="240" w:hanging="8"/>
        <w:spacing w:after="0" w:line="310" w:lineRule="auto"/>
        <w:tabs>
          <w:tab w:leader="none" w:pos="866"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340" w:right="320" w:hanging="8"/>
        <w:spacing w:after="0" w:line="275" w:lineRule="auto"/>
        <w:tabs>
          <w:tab w:leader="none" w:pos="86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right="180" w:hanging="8"/>
        <w:spacing w:after="0" w:line="349" w:lineRule="auto"/>
        <w:tabs>
          <w:tab w:leader="none" w:pos="864"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660" w:right="120" w:hanging="4"/>
        <w:spacing w:after="0" w:line="261" w:lineRule="auto"/>
        <w:tabs>
          <w:tab w:leader="none" w:pos="11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left="660" w:right="220" w:hanging="4"/>
        <w:spacing w:after="0" w:line="261" w:lineRule="auto"/>
        <w:tabs>
          <w:tab w:leader="none" w:pos="118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660" w:right="40" w:hanging="4"/>
        <w:spacing w:after="0" w:line="275" w:lineRule="auto"/>
        <w:tabs>
          <w:tab w:leader="none" w:pos="11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660" w:right="80" w:hanging="4"/>
        <w:spacing w:after="0" w:line="261" w:lineRule="auto"/>
        <w:tabs>
          <w:tab w:leader="none" w:pos="118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00" w:hanging="8"/>
        <w:spacing w:after="0" w:line="275" w:lineRule="auto"/>
        <w:tabs>
          <w:tab w:leader="none" w:pos="8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220" w:hanging="4"/>
        <w:spacing w:after="0" w:line="275" w:lineRule="auto"/>
        <w:tabs>
          <w:tab w:leader="none" w:pos="1168"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660" w:right="420" w:hanging="4"/>
        <w:spacing w:after="0" w:line="275" w:lineRule="auto"/>
        <w:tabs>
          <w:tab w:leader="none" w:pos="1178"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40"/>
        <w:spacing w:after="0"/>
        <w:tabs>
          <w:tab w:leader="none" w:pos="5680" w:val="left"/>
          <w:tab w:leader="none" w:pos="6120" w:val="left"/>
        </w:tabs>
        <w:rPr>
          <w:sz w:val="20"/>
          <w:szCs w:val="20"/>
          <w:color w:val="auto"/>
        </w:rPr>
      </w:pPr>
      <w:r>
        <w:rPr>
          <w:rFonts w:ascii="Arial" w:cs="Arial" w:eastAsia="Arial" w:hAnsi="Arial"/>
          <w:sz w:val="16"/>
          <w:szCs w:val="16"/>
          <w:color w:val="auto"/>
        </w:rPr>
        <w:t>Date: April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34925</wp:posOffset>
            </wp:positionV>
            <wp:extent cx="3240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6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Stan Pavlovsky</w:t>
      </w:r>
    </w:p>
    <w:p>
      <w:pPr>
        <w:spacing w:after="0" w:line="73"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line="26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Jarrod Yahes, certify that:</w:t>
      </w:r>
    </w:p>
    <w:p>
      <w:pPr>
        <w:spacing w:after="0" w:line="194" w:lineRule="exact"/>
        <w:rPr>
          <w:sz w:val="20"/>
          <w:szCs w:val="20"/>
          <w:color w:val="auto"/>
        </w:rPr>
      </w:pPr>
    </w:p>
    <w:p>
      <w:pPr>
        <w:ind w:left="860" w:hanging="528"/>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4" w:lineRule="exact"/>
        <w:rPr>
          <w:rFonts w:ascii="Arial" w:cs="Arial" w:eastAsia="Arial" w:hAnsi="Arial"/>
          <w:sz w:val="16"/>
          <w:szCs w:val="16"/>
          <w:color w:val="auto"/>
        </w:rPr>
      </w:pPr>
    </w:p>
    <w:p>
      <w:pPr>
        <w:ind w:left="340" w:right="240" w:hanging="8"/>
        <w:spacing w:after="0" w:line="310" w:lineRule="auto"/>
        <w:tabs>
          <w:tab w:leader="none" w:pos="866"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340" w:right="320" w:hanging="8"/>
        <w:spacing w:after="0" w:line="275" w:lineRule="auto"/>
        <w:tabs>
          <w:tab w:leader="none" w:pos="86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right="180" w:hanging="8"/>
        <w:spacing w:after="0" w:line="349" w:lineRule="auto"/>
        <w:tabs>
          <w:tab w:leader="none" w:pos="86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660" w:right="120" w:hanging="4"/>
        <w:spacing w:after="0" w:line="261" w:lineRule="auto"/>
        <w:tabs>
          <w:tab w:leader="none" w:pos="11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left="660" w:right="220" w:hanging="4"/>
        <w:spacing w:after="0" w:line="261" w:lineRule="auto"/>
        <w:tabs>
          <w:tab w:leader="none" w:pos="118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660" w:right="40" w:hanging="4"/>
        <w:spacing w:after="0" w:line="275" w:lineRule="auto"/>
        <w:tabs>
          <w:tab w:leader="none" w:pos="11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660" w:right="80" w:hanging="4"/>
        <w:spacing w:after="0" w:line="261" w:lineRule="auto"/>
        <w:tabs>
          <w:tab w:leader="none" w:pos="118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00" w:hanging="8"/>
        <w:spacing w:after="0" w:line="275" w:lineRule="auto"/>
        <w:tabs>
          <w:tab w:leader="none" w:pos="8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220" w:hanging="4"/>
        <w:spacing w:after="0" w:line="275" w:lineRule="auto"/>
        <w:tabs>
          <w:tab w:leader="none" w:pos="11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660" w:right="420" w:hanging="4"/>
        <w:spacing w:after="0" w:line="275" w:lineRule="auto"/>
        <w:tabs>
          <w:tab w:leader="none" w:pos="11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40"/>
        <w:spacing w:after="0"/>
        <w:tabs>
          <w:tab w:leader="none" w:pos="5800" w:val="left"/>
          <w:tab w:leader="none" w:pos="6220" w:val="left"/>
        </w:tabs>
        <w:rPr>
          <w:sz w:val="20"/>
          <w:szCs w:val="20"/>
          <w:color w:val="auto"/>
        </w:rPr>
      </w:pPr>
      <w:r>
        <w:rPr>
          <w:rFonts w:ascii="Arial" w:cs="Arial" w:eastAsia="Arial" w:hAnsi="Arial"/>
          <w:sz w:val="16"/>
          <w:szCs w:val="16"/>
          <w:color w:val="auto"/>
        </w:rPr>
        <w:t>Date: April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34925</wp:posOffset>
            </wp:positionV>
            <wp:extent cx="31718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6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Jarrod Yahes</w:t>
      </w:r>
    </w:p>
    <w:p>
      <w:pPr>
        <w:spacing w:after="0" w:line="7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89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connection with the Quarterly Report on Form 10-Q of Shutterstock, Inc., for the quarterly period ended March 31, 2020 as filed with the Securities and Exchange Commission on the date hereof (the “Report”), I, Stan Pavlovsky,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18" w:lineRule="exact"/>
        <w:rPr>
          <w:sz w:val="20"/>
          <w:szCs w:val="20"/>
          <w:color w:val="auto"/>
        </w:rPr>
      </w:pPr>
    </w:p>
    <w:p>
      <w:pPr>
        <w:ind w:left="40"/>
        <w:spacing w:after="0"/>
        <w:tabs>
          <w:tab w:leader="none" w:pos="5680" w:val="left"/>
          <w:tab w:leader="none" w:pos="6120" w:val="left"/>
        </w:tabs>
        <w:rPr>
          <w:sz w:val="20"/>
          <w:szCs w:val="20"/>
          <w:color w:val="auto"/>
        </w:rPr>
      </w:pPr>
      <w:r>
        <w:rPr>
          <w:rFonts w:ascii="Arial" w:cs="Arial" w:eastAsia="Arial" w:hAnsi="Arial"/>
          <w:sz w:val="16"/>
          <w:szCs w:val="16"/>
          <w:color w:val="auto"/>
        </w:rPr>
        <w:t>Date: April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34925</wp:posOffset>
            </wp:positionV>
            <wp:extent cx="32404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6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Stan Pavlovsky</w:t>
      </w:r>
    </w:p>
    <w:p>
      <w:pPr>
        <w:spacing w:after="0" w:line="73"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Executive Officer)</w:t>
      </w:r>
    </w:p>
    <w:p>
      <w:pPr>
        <w:spacing w:after="0" w:line="34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connection with the Quarterly Report on Form 10-Q of Shutterstock, Inc., for the quarterly period ended March 31, 2020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18" w:lineRule="exact"/>
        <w:rPr>
          <w:sz w:val="20"/>
          <w:szCs w:val="20"/>
          <w:color w:val="auto"/>
        </w:rPr>
      </w:pPr>
    </w:p>
    <w:p>
      <w:pPr>
        <w:ind w:left="40"/>
        <w:spacing w:after="0"/>
        <w:tabs>
          <w:tab w:leader="none" w:pos="5680" w:val="left"/>
          <w:tab w:leader="none" w:pos="6120" w:val="left"/>
        </w:tabs>
        <w:rPr>
          <w:sz w:val="20"/>
          <w:szCs w:val="20"/>
          <w:color w:val="auto"/>
        </w:rPr>
      </w:pPr>
      <w:r>
        <w:rPr>
          <w:rFonts w:ascii="Arial" w:cs="Arial" w:eastAsia="Arial" w:hAnsi="Arial"/>
          <w:sz w:val="16"/>
          <w:szCs w:val="16"/>
          <w:color w:val="auto"/>
        </w:rPr>
        <w:t>Date: April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34925</wp:posOffset>
            </wp:positionV>
            <wp:extent cx="3240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6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Jarrod Yahes</w:t>
      </w:r>
    </w:p>
    <w:p>
      <w:pPr>
        <w:spacing w:after="0" w:line="73"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lvl w:ilvl="1">
      <w:lvlJc w:val="left"/>
      <w:lvlText w:val="%2."/>
      <w:numFmt w:val="lowerLetter"/>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0"/>
    </w:lvl>
  </w:abstractNum>
  <w:abstractNum w:abstractNumId="9">
    <w:nsid w:val="4E6AFB66"/>
    <w:multiLevelType w:val="hybridMultilevel"/>
    <w:lvl w:ilvl="0">
      <w:lvlJc w:val="left"/>
      <w:lvlText w:val="%1."/>
      <w:numFmt w:val="decimal"/>
      <w:start w:val="3"/>
    </w:lvl>
    <w:lvl w:ilvl="1">
      <w:lvlJc w:val="left"/>
      <w:lvlText w:val="%2."/>
      <w:numFmt w:val="lowerLetter"/>
      <w:start w:val="9"/>
    </w:lvl>
    <w:lvl w:ilvl="2">
      <w:lvlJc w:val="left"/>
      <w:lvlText w:val="%3"/>
      <w:numFmt w:val="lowerLetter"/>
      <w:start w:val="1"/>
    </w:lvl>
    <w:lvl w:ilvl="3">
      <w:lvlJc w:val="left"/>
      <w:lvlText w:val="(%4)"/>
      <w:numFmt w:val="lowerRoman"/>
      <w:start w:val="3"/>
    </w:lvl>
  </w:abstractNum>
  <w:abstractNum w:abstractNumId="10">
    <w:nsid w:val="25E45D32"/>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1">
    <w:nsid w:val="519B500D"/>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12">
    <w:nsid w:val="431BD7B7"/>
    <w:multiLevelType w:val="hybridMultilevel"/>
    <w:lvl w:ilvl="0">
      <w:lvlJc w:val="left"/>
      <w:lvlText w:val="%1."/>
      <w:numFmt w:val="lowerRoman"/>
      <w:start w:val="2"/>
    </w:lvl>
  </w:abstractNum>
  <w:abstractNum w:abstractNumId="13">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
    <w:nsid w:val="7C83E458"/>
    <w:multiLevelType w:val="hybridMultilevel"/>
    <w:lvl w:ilvl="0">
      <w:lvlJc w:val="left"/>
      <w:lvlText w:val="%1"/>
      <w:numFmt w:val="lowerRoman"/>
      <w:start w:val="1"/>
    </w:lvl>
    <w:lvl w:ilvl="1">
      <w:lvlJc w:val="left"/>
      <w:lvlText w:val="%2."/>
      <w:numFmt w:val="decimal"/>
      <w:start w:val="2"/>
    </w:lvl>
  </w:abstractNum>
  <w:abstractNum w:abstractNumId="15">
    <w:nsid w:val="257130A3"/>
    <w:multiLevelType w:val="hybridMultilevel"/>
    <w:lvl w:ilvl="0">
      <w:lvlJc w:val="left"/>
      <w:lvlText w:val="%1."/>
      <w:numFmt w:val="lowerRoman"/>
      <w:start w:val="5"/>
    </w:lvl>
    <w:lvl w:ilvl="1">
      <w:lvlJc w:val="left"/>
      <w:lvlText w:val="%2"/>
      <w:numFmt w:val="decimal"/>
      <w:start w:val="1"/>
    </w:lvl>
  </w:abstractNum>
  <w:abstractNum w:abstractNumId="16">
    <w:nsid w:val="62BBD95A"/>
    <w:multiLevelType w:val="hybridMultilevel"/>
    <w:lvl w:ilvl="0">
      <w:lvlJc w:val="left"/>
      <w:lvlText w:val="%1"/>
      <w:numFmt w:val="lowerLetter"/>
      <w:start w:val="1"/>
    </w:lvl>
    <w:lvl w:ilvl="1">
      <w:lvlJc w:val="left"/>
      <w:lvlText w:val="%2."/>
      <w:numFmt w:val="lowerRoman"/>
      <w:start w:val="6"/>
    </w:lvl>
  </w:abstractNum>
  <w:abstractNum w:abstractNumId="17">
    <w:nsid w:val="436C6125"/>
    <w:multiLevelType w:val="hybridMultilevel"/>
    <w:lvl w:ilvl="0">
      <w:lvlJc w:val="left"/>
      <w:lvlText w:val="%1."/>
      <w:numFmt w:val="lowerLetter"/>
      <w:start w:val="3"/>
    </w:lvl>
    <w:lvl w:ilvl="1">
      <w:lvlJc w:val="left"/>
      <w:lvlText w:val="%2"/>
      <w:numFmt w:val="lowerRoman"/>
      <w:start w:val="1"/>
    </w:lvl>
  </w:abstractNum>
  <w:abstractNum w:abstractNumId="18">
    <w:nsid w:val="628C895D"/>
    <w:multiLevelType w:val="hybridMultilevel"/>
    <w:lvl w:ilvl="0">
      <w:lvlJc w:val="left"/>
      <w:lvlText w:val="%1."/>
      <w:numFmt w:val="lowerLetter"/>
      <w:start w:val="5"/>
    </w:lvl>
  </w:abstractNum>
  <w:abstractNum w:abstractNumId="19">
    <w:nsid w:val="333AB105"/>
    <w:multiLevelType w:val="hybridMultilevel"/>
    <w:lvl w:ilvl="0">
      <w:lvlJc w:val="left"/>
      <w:lvlText w:val="%1."/>
      <w:numFmt w:val="lowerLetter"/>
      <w:start w:val="9"/>
    </w:lvl>
  </w:abstractNum>
  <w:abstractNum w:abstractNumId="20">
    <w:nsid w:val="721DA317"/>
    <w:multiLevelType w:val="hybridMultilevel"/>
    <w:lvl w:ilvl="0">
      <w:lvlJc w:val="left"/>
      <w:lvlText w:val="%1."/>
      <w:numFmt w:val="lowerLetter"/>
      <w:start w:val="14"/>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55" Type="http://schemas.openxmlformats.org/officeDocument/2006/relationships/hyperlink" Target="http://www.sec.gov/Archives/edgar/data/1549346/000154934620000014/lweisssepara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2020-04-28T06:10:35Z</dcterms:created>
  <dcterms:modified xsi:type="dcterms:W3CDTF">2020-04-28T06:10:35Z</dcterms:modified>
</cp:coreProperties>
</file>