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682625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640715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6"/>
          <w:szCs w:val="16"/>
          <w:color w:val="auto"/>
        </w:rPr>
      </w:pPr>
    </w:p>
    <w:p>
      <w:pPr>
        <w:ind w:left="390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2"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54" w:lineRule="exact"/>
        <w:rPr>
          <w:sz w:val="24"/>
          <w:szCs w:val="24"/>
          <w:color w:val="auto"/>
        </w:rPr>
      </w:pPr>
    </w:p>
    <w:p>
      <w:pPr>
        <w:ind w:left="2600"/>
        <w:spacing w:after="0"/>
        <w:tabs>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80-0812659</w:t>
      </w:r>
    </w:p>
    <w:p>
      <w:pPr>
        <w:spacing w:after="0" w:line="165" w:lineRule="exact"/>
        <w:rPr>
          <w:sz w:val="24"/>
          <w:szCs w:val="24"/>
          <w:color w:val="auto"/>
        </w:rPr>
      </w:pPr>
    </w:p>
    <w:p>
      <w:pPr>
        <w:ind w:left="1240"/>
        <w:spacing w:after="0"/>
        <w:tabs>
          <w:tab w:leader="none" w:pos="76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26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3" w:lineRule="exact"/>
        <w:rPr>
          <w:sz w:val="24"/>
          <w:szCs w:val="24"/>
          <w:color w:val="auto"/>
        </w:rPr>
      </w:pPr>
    </w:p>
    <w:tbl>
      <w:tblPr>
        <w:tblLayout w:type="fixed"/>
        <w:tblInd w:w="720" w:type="dxa"/>
        <w:tblCellMar>
          <w:top w:w="0" w:type="dxa"/>
          <w:left w:w="0" w:type="dxa"/>
          <w:bottom w:w="0" w:type="dxa"/>
          <w:right w:w="0" w:type="dxa"/>
        </w:tblCellMar>
      </w:tblPr>
      <w:tr>
        <w:trPr>
          <w:trHeight w:val="185"/>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18"/>
        </w:trPr>
        <w:tc>
          <w:tcPr>
            <w:tcW w:w="398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c>
          <w:tcPr>
            <w:tcW w:w="0" w:type="dxa"/>
            <w:vAlign w:val="bottom"/>
          </w:tcPr>
          <w:p>
            <w:pPr>
              <w:spacing w:after="0"/>
              <w:rPr>
                <w:sz w:val="1"/>
                <w:szCs w:val="1"/>
                <w:color w:val="auto"/>
              </w:rPr>
            </w:pPr>
          </w:p>
        </w:tc>
      </w:tr>
    </w:tbl>
    <w:p>
      <w:pPr>
        <w:spacing w:after="0" w:line="217"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3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420" w:type="dxa"/>
        <w:tblCellMar>
          <w:top w:w="0" w:type="dxa"/>
          <w:left w:w="0" w:type="dxa"/>
          <w:bottom w:w="0" w:type="dxa"/>
          <w:right w:w="0" w:type="dxa"/>
        </w:tblCellMar>
      </w:tblPr>
      <w:tr>
        <w:trPr>
          <w:trHeight w:val="352"/>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9"/>
                <w:szCs w:val="19"/>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9"/>
                <w:szCs w:val="19"/>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20"/>
                <w:szCs w:val="20"/>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October 30, 2026, 37,086,271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6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00" w:type="dxa"/>
            <w:vAlign w:val="bottom"/>
            <w:tcBorders>
              <w:bottom w:val="single" w:sz="8" w:color="0000FF"/>
            </w:tcBorders>
            <w:gridSpan w:val="12"/>
            <w:vMerge w:val="continue"/>
          </w:tcPr>
          <w:p>
            <w:pPr>
              <w:spacing w:after="0"/>
              <w:rPr>
                <w:sz w:val="18"/>
                <w:szCs w:val="18"/>
                <w:color w:val="auto"/>
              </w:rPr>
            </w:pPr>
          </w:p>
        </w:tc>
        <w:tc>
          <w:tcPr>
            <w:tcW w:w="5340" w:type="dxa"/>
            <w:vAlign w:val="bottom"/>
            <w:gridSpan w:val="11"/>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4"/>
          </w:tcPr>
          <w:p>
            <w:pPr>
              <w:spacing w:after="0"/>
              <w:rPr>
                <w:sz w:val="22"/>
                <w:szCs w:val="22"/>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380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7"/>
                <w:szCs w:val="17"/>
                <w:color w:val="auto"/>
              </w:rPr>
            </w:pPr>
          </w:p>
        </w:tc>
        <w:tc>
          <w:tcPr>
            <w:tcW w:w="3980" w:type="dxa"/>
            <w:vAlign w:val="bottom"/>
            <w:gridSpan w:val="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4"/>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3"/>
          </w:tcPr>
          <w:p>
            <w:pPr>
              <w:spacing w:after="0"/>
              <w:rPr>
                <w:sz w:val="17"/>
                <w:szCs w:val="17"/>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w:t>
            </w:r>
          </w:p>
        </w:tc>
        <w:tc>
          <w:tcPr>
            <w:tcW w:w="0" w:type="dxa"/>
            <w:vAlign w:val="bottom"/>
          </w:tcPr>
          <w:p>
            <w:pPr>
              <w:spacing w:after="0"/>
              <w:rPr>
                <w:sz w:val="1"/>
                <w:szCs w:val="1"/>
                <w:color w:val="auto"/>
              </w:rPr>
            </w:pPr>
          </w:p>
        </w:tc>
      </w:tr>
      <w:tr>
        <w:trPr>
          <w:trHeight w:val="204"/>
        </w:trPr>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360" w:type="dxa"/>
            <w:vAlign w:val="bottom"/>
            <w:gridSpan w:val="3"/>
          </w:tcPr>
          <w:p>
            <w:pPr>
              <w:spacing w:after="0"/>
              <w:rPr>
                <w:sz w:val="17"/>
                <w:szCs w:val="17"/>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4"/>
          </w:tcPr>
          <w:p>
            <w:pPr>
              <w:spacing w:after="0"/>
              <w:rPr>
                <w:sz w:val="17"/>
                <w:szCs w:val="17"/>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p>
        </w:tc>
        <w:tc>
          <w:tcPr>
            <w:tcW w:w="280" w:type="dxa"/>
            <w:vAlign w:val="bottom"/>
            <w:gridSpan w:val="2"/>
          </w:tcPr>
          <w:p>
            <w:pPr>
              <w:spacing w:after="0"/>
              <w:rPr>
                <w:sz w:val="22"/>
                <w:szCs w:val="22"/>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4"/>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3"/>
          </w:tcPr>
          <w:p>
            <w:pPr>
              <w:spacing w:after="0"/>
              <w:rPr>
                <w:sz w:val="17"/>
                <w:szCs w:val="17"/>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4"/>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3"/>
          </w:tcPr>
          <w:p>
            <w:pPr>
              <w:spacing w:after="0"/>
              <w:rPr>
                <w:sz w:val="17"/>
                <w:szCs w:val="17"/>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4"/>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3"/>
          </w:tcPr>
          <w:p>
            <w:pPr>
              <w:spacing w:after="0"/>
              <w:rPr>
                <w:sz w:val="17"/>
                <w:szCs w:val="17"/>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guidance, industry prospects, future business, future results of operations or financial condition,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17, 2026 (our “2025 Form 10-K”) and in our consolidated financial statements, related notes, and the other information appearing elsewhere in the 2025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Shutterstock, Inc.</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9"/>
                <w:szCs w:val="19"/>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42"/>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110,472</w:t>
            </w:r>
          </w:p>
        </w:tc>
        <w:tc>
          <w:tcPr>
            <w:tcW w:w="120" w:type="dxa"/>
            <w:vAlign w:val="bottom"/>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$4,073 and $3,431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0" w:type="dxa"/>
            <w:vAlign w:val="bottom"/>
          </w:tcPr>
          <w:p>
            <w:pPr>
              <w:spacing w:after="0"/>
              <w:rPr>
                <w:sz w:val="1"/>
                <w:szCs w:val="1"/>
                <w:color w:val="auto"/>
              </w:rPr>
            </w:pPr>
          </w:p>
        </w:tc>
      </w:tr>
      <w:tr>
        <w:trPr>
          <w:trHeight w:val="221"/>
        </w:trPr>
        <w:tc>
          <w:tcPr>
            <w:tcW w:w="40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338,639</w:t>
            </w: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62,553</w:t>
            </w:r>
          </w:p>
        </w:tc>
        <w:tc>
          <w:tcPr>
            <w:tcW w:w="0" w:type="dxa"/>
            <w:vAlign w:val="bottom"/>
          </w:tcPr>
          <w:p>
            <w:pPr>
              <w:spacing w:after="0"/>
              <w:rPr>
                <w:sz w:val="1"/>
                <w:szCs w:val="1"/>
                <w:color w:val="auto"/>
              </w:rPr>
            </w:pPr>
          </w:p>
        </w:tc>
      </w:tr>
      <w:tr>
        <w:trPr>
          <w:trHeight w:val="22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215,673</w:t>
            </w:r>
          </w:p>
        </w:tc>
        <w:tc>
          <w:tcPr>
            <w:tcW w:w="0" w:type="dxa"/>
            <w:vAlign w:val="bottom"/>
          </w:tcPr>
          <w:p>
            <w:pPr>
              <w:spacing w:after="0"/>
              <w:rPr>
                <w:sz w:val="1"/>
                <w:szCs w:val="1"/>
                <w:color w:val="auto"/>
              </w:rPr>
            </w:pPr>
          </w:p>
        </w:tc>
      </w:tr>
      <w:tr>
        <w:trPr>
          <w:trHeight w:val="226"/>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574,614</w:t>
            </w: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61,289</w:t>
            </w:r>
          </w:p>
        </w:tc>
        <w:tc>
          <w:tcPr>
            <w:tcW w:w="0" w:type="dxa"/>
            <w:vAlign w:val="bottom"/>
          </w:tcPr>
          <w:p>
            <w:pPr>
              <w:spacing w:after="0"/>
              <w:rPr>
                <w:sz w:val="1"/>
                <w:szCs w:val="1"/>
                <w:color w:val="auto"/>
              </w:rPr>
            </w:pPr>
          </w:p>
        </w:tc>
      </w:tr>
      <w:tr>
        <w:trPr>
          <w:trHeight w:val="22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93,398</w:t>
            </w:r>
          </w:p>
        </w:tc>
        <w:tc>
          <w:tcPr>
            <w:tcW w:w="0" w:type="dxa"/>
            <w:vAlign w:val="bottom"/>
          </w:tcPr>
          <w:p>
            <w:pPr>
              <w:spacing w:after="0"/>
              <w:rPr>
                <w:sz w:val="1"/>
                <w:szCs w:val="1"/>
                <w:color w:val="auto"/>
              </w:rPr>
            </w:pPr>
          </w:p>
        </w:tc>
      </w:tr>
      <w:tr>
        <w:trPr>
          <w:trHeight w:val="215"/>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Total assets</w:t>
            </w: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853,523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129,952</w:t>
            </w: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94,163</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212,984</w:t>
            </w: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158,110</w:t>
            </w:r>
          </w:p>
        </w:tc>
        <w:tc>
          <w:tcPr>
            <w:tcW w:w="0" w:type="dxa"/>
            <w:vAlign w:val="bottom"/>
          </w:tcPr>
          <w:p>
            <w:pPr>
              <w:spacing w:after="0"/>
              <w:rPr>
                <w:sz w:val="1"/>
                <w:szCs w:val="1"/>
                <w:color w:val="auto"/>
              </w:rPr>
            </w:pPr>
          </w:p>
        </w:tc>
      </w:tr>
      <w:tr>
        <w:trPr>
          <w:trHeight w:val="221"/>
        </w:trPr>
        <w:tc>
          <w:tcPr>
            <w:tcW w:w="40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19,295</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628,402</w:t>
            </w: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2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116,639</w:t>
            </w: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0" w:type="dxa"/>
            <w:vAlign w:val="bottom"/>
          </w:tcPr>
          <w:p>
            <w:pPr>
              <w:spacing w:after="0"/>
              <w:rPr>
                <w:sz w:val="1"/>
                <w:szCs w:val="1"/>
                <w:color w:val="auto"/>
              </w:rPr>
            </w:pPr>
          </w:p>
        </w:tc>
      </w:tr>
      <w:tr>
        <w:trPr>
          <w:trHeight w:val="22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681,989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774,898</w:t>
            </w:r>
          </w:p>
        </w:tc>
        <w:tc>
          <w:tcPr>
            <w:tcW w:w="0" w:type="dxa"/>
            <w:vAlign w:val="bottom"/>
          </w:tcPr>
          <w:p>
            <w:pPr>
              <w:spacing w:after="0"/>
              <w:rPr>
                <w:sz w:val="1"/>
                <w:szCs w:val="1"/>
                <w:color w:val="auto"/>
              </w:rPr>
            </w:pPr>
          </w:p>
        </w:tc>
      </w:tr>
      <w:tr>
        <w:trPr>
          <w:trHeight w:val="215"/>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 w:type="dxa"/>
            <w:vAlign w:val="bottom"/>
            <w:shd w:val="clear" w:color="auto" w:fill="CCEEFF"/>
          </w:tcPr>
          <w:p>
            <w:pPr>
              <w:spacing w:after="0"/>
              <w:rPr>
                <w:sz w:val="15"/>
                <w:szCs w:val="15"/>
                <w:color w:val="auto"/>
              </w:rPr>
            </w:pPr>
          </w:p>
        </w:tc>
        <w:tc>
          <w:tcPr>
            <w:tcW w:w="7320" w:type="dxa"/>
            <w:vAlign w:val="bottom"/>
            <w:gridSpan w:val="3"/>
            <w:shd w:val="clear" w:color="auto" w:fill="CCEEFF"/>
          </w:tcPr>
          <w:p>
            <w:pPr>
              <w:ind w:left="60"/>
              <w:spacing w:after="0" w:line="174" w:lineRule="exact"/>
              <w:rPr>
                <w:sz w:val="20"/>
                <w:szCs w:val="20"/>
                <w:color w:val="auto"/>
              </w:rPr>
            </w:pPr>
            <w:r>
              <w:rPr>
                <w:rFonts w:ascii="Times New Roman" w:cs="Times New Roman" w:eastAsia="Times New Roman" w:hAnsi="Times New Roman"/>
                <w:sz w:val="16"/>
                <w:szCs w:val="16"/>
                <w:color w:val="auto"/>
              </w:rPr>
              <w:t>Common stock, $0.01 par value; 200,000 shares authorized; 42,598 and 41,049 shares issued and 37,077 and</w:t>
            </w:r>
          </w:p>
        </w:tc>
        <w:tc>
          <w:tcPr>
            <w:tcW w:w="3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35,528 shares outstanding as of September 30, 2026 and December 31, 2025, respectively</w:t>
            </w: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shares as of September 30, 2026 and December 31, 2025</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520,018</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0" w:type="dxa"/>
            <w:vAlign w:val="bottom"/>
          </w:tcPr>
          <w:p>
            <w:pPr>
              <w:spacing w:after="0"/>
              <w:rPr>
                <w:sz w:val="1"/>
                <w:szCs w:val="1"/>
                <w:color w:val="auto"/>
              </w:rPr>
            </w:pPr>
          </w:p>
        </w:tc>
      </w:tr>
      <w:tr>
        <w:trPr>
          <w:trHeight w:val="226"/>
        </w:trPr>
        <w:tc>
          <w:tcPr>
            <w:tcW w:w="400" w:type="dxa"/>
            <w:vAlign w:val="bottom"/>
            <w:shd w:val="clear" w:color="auto" w:fill="CCEEFF"/>
          </w:tcPr>
          <w:p>
            <w:pPr>
              <w:spacing w:after="0"/>
              <w:rPr>
                <w:sz w:val="19"/>
                <w:szCs w:val="19"/>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335,168</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171,534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581,038</w:t>
            </w:r>
          </w:p>
        </w:tc>
        <w:tc>
          <w:tcPr>
            <w:tcW w:w="0" w:type="dxa"/>
            <w:vAlign w:val="bottom"/>
          </w:tcPr>
          <w:p>
            <w:pPr>
              <w:spacing w:after="0"/>
              <w:rPr>
                <w:sz w:val="1"/>
                <w:szCs w:val="1"/>
                <w:color w:val="auto"/>
              </w:rPr>
            </w:pPr>
          </w:p>
        </w:tc>
      </w:tr>
      <w:tr>
        <w:trPr>
          <w:trHeight w:val="242"/>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26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r>
      <w:tr>
        <w:trPr>
          <w:trHeight w:val="142"/>
        </w:trPr>
        <w:tc>
          <w:tcPr>
            <w:tcW w:w="59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93"/>
        </w:trPr>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38"/>
        </w:trPr>
        <w:tc>
          <w:tcPr>
            <w:tcW w:w="5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r>
      <w:tr>
        <w:trPr>
          <w:trHeight w:val="197"/>
        </w:trPr>
        <w:tc>
          <w:tcPr>
            <w:tcW w:w="5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1"/>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309,440</w:t>
            </w:r>
          </w:p>
        </w:tc>
      </w:tr>
      <w:tr>
        <w:trPr>
          <w:trHeight w:val="226"/>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169,794</w:t>
            </w:r>
          </w:p>
        </w:tc>
      </w:tr>
      <w:tr>
        <w:trPr>
          <w:trHeight w:val="221"/>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62,993</w:t>
            </w:r>
          </w:p>
        </w:tc>
      </w:tr>
      <w:tr>
        <w:trPr>
          <w:trHeight w:val="226"/>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150,054</w:t>
            </w:r>
          </w:p>
        </w:tc>
      </w:tr>
      <w:tr>
        <w:trPr>
          <w:trHeight w:val="221"/>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372,946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980,107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692,281</w:t>
            </w:r>
          </w:p>
        </w:tc>
      </w:tr>
      <w:tr>
        <w:trPr>
          <w:trHeight w:val="215"/>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77,423</w:t>
            </w:r>
          </w:p>
        </w:tc>
      </w:tr>
      <w:tr>
        <w:trPr>
          <w:trHeight w:val="226"/>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(12,748)</w:t>
            </w:r>
          </w:p>
        </w:tc>
      </w:tr>
      <w:tr>
        <w:trPr>
          <w:trHeight w:val="221"/>
        </w:trPr>
        <w:tc>
          <w:tcPr>
            <w:tcW w:w="5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30,277</w:t>
            </w:r>
          </w:p>
        </w:tc>
      </w:tr>
      <w:tr>
        <w:trPr>
          <w:trHeight w:val="21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94,952</w:t>
            </w:r>
          </w:p>
        </w:tc>
      </w:tr>
      <w:tr>
        <w:trPr>
          <w:trHeight w:val="221"/>
        </w:trPr>
        <w:tc>
          <w:tcPr>
            <w:tcW w:w="5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33,437</w:t>
            </w:r>
          </w:p>
        </w:tc>
      </w:tr>
      <w:tr>
        <w:trPr>
          <w:trHeight w:val="218"/>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 / income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 Earnings per share:</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1"/>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1"/>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5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1"/>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35,213</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1"/>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0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6"/>
                <w:szCs w:val="16"/>
                <w:color w:val="auto"/>
              </w:rPr>
            </w:pPr>
          </w:p>
        </w:tc>
      </w:tr>
      <w:tr>
        <w:trPr>
          <w:trHeight w:val="142"/>
        </w:trPr>
        <w:tc>
          <w:tcPr>
            <w:tcW w:w="6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93"/>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91"/>
        </w:trPr>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61,515</w:t>
            </w:r>
          </w:p>
        </w:tc>
      </w:tr>
      <w:tr>
        <w:trPr>
          <w:trHeight w:val="221"/>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11,952</w:t>
            </w: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11,952</w:t>
            </w:r>
          </w:p>
        </w:tc>
      </w:tr>
      <w:tr>
        <w:trPr>
          <w:trHeight w:val="215"/>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 income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(198,594)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11,027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(406,596)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73,467</w:t>
            </w:r>
          </w:p>
        </w:tc>
      </w:tr>
      <w:tr>
        <w:trPr>
          <w:trHeight w:val="22"/>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3"/>
                <w:szCs w:val="3"/>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3"/>
                <w:szCs w:val="3"/>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840" w:type="dxa"/>
            <w:vAlign w:val="bottom"/>
            <w:vMerge w:val="continue"/>
          </w:tcPr>
          <w:p>
            <w:pPr>
              <w:spacing w:after="0"/>
              <w:rPr>
                <w:sz w:val="3"/>
                <w:szCs w:val="3"/>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3"/>
                <w:szCs w:val="3"/>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3"/>
                <w:szCs w:val="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(Loss) / Income</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2026</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363,658</w:t>
            </w: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(197,752)</w:t>
            </w:r>
          </w:p>
        </w:tc>
        <w:tc>
          <w:tcPr>
            <w:tcW w:w="0" w:type="dxa"/>
            <w:vAlign w:val="bottom"/>
          </w:tcPr>
          <w:p>
            <w:pPr>
              <w:spacing w:after="0"/>
              <w:rPr>
                <w:sz w:val="1"/>
                <w:szCs w:val="1"/>
                <w:color w:val="auto"/>
              </w:rPr>
            </w:pPr>
          </w:p>
        </w:tc>
      </w:tr>
      <w:tr>
        <w:trPr>
          <w:trHeight w:val="24"/>
        </w:trPr>
        <w:tc>
          <w:tcPr>
            <w:tcW w:w="3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171,534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361,206</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586,163</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0" w:type="dxa"/>
            <w:vAlign w:val="bottom"/>
          </w:tcPr>
          <w:p>
            <w:pPr>
              <w:spacing w:after="0"/>
              <w:rPr>
                <w:sz w:val="1"/>
                <w:szCs w:val="1"/>
                <w:color w:val="auto"/>
              </w:rPr>
            </w:pPr>
          </w:p>
        </w:tc>
      </w:tr>
      <w:tr>
        <w:trPr>
          <w:trHeight w:val="149"/>
        </w:trPr>
        <w:tc>
          <w:tcPr>
            <w:tcW w:w="3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84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13,387</w:t>
            </w:r>
          </w:p>
        </w:tc>
        <w:tc>
          <w:tcPr>
            <w:tcW w:w="0" w:type="dxa"/>
            <w:vAlign w:val="bottom"/>
          </w:tcPr>
          <w:p>
            <w:pPr>
              <w:spacing w:after="0"/>
              <w:rPr>
                <w:sz w:val="1"/>
                <w:szCs w:val="1"/>
                <w:color w:val="auto"/>
              </w:rPr>
            </w:pPr>
          </w:p>
        </w:tc>
      </w:tr>
      <w:tr>
        <w:trPr>
          <w:trHeight w:val="24"/>
        </w:trPr>
        <w:tc>
          <w:tcPr>
            <w:tcW w:w="3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335,168</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581,038</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33,748</w:t>
            </w:r>
          </w:p>
        </w:tc>
        <w:tc>
          <w:tcPr>
            <w:tcW w:w="0" w:type="dxa"/>
            <w:vAlign w:val="bottom"/>
          </w:tcPr>
          <w:p>
            <w:pPr>
              <w:spacing w:after="0"/>
              <w:rPr>
                <w:sz w:val="1"/>
                <w:szCs w:val="1"/>
                <w:color w:val="auto"/>
              </w:rPr>
            </w:pPr>
          </w:p>
        </w:tc>
      </w:tr>
      <w:tr>
        <w:trPr>
          <w:trHeight w:val="149"/>
        </w:trPr>
        <w:tc>
          <w:tcPr>
            <w:tcW w:w="3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84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(401,259)</w:t>
            </w:r>
          </w:p>
        </w:tc>
        <w:tc>
          <w:tcPr>
            <w:tcW w:w="0" w:type="dxa"/>
            <w:vAlign w:val="bottom"/>
          </w:tcPr>
          <w:p>
            <w:pPr>
              <w:spacing w:after="0"/>
              <w:rPr>
                <w:sz w:val="1"/>
                <w:szCs w:val="1"/>
                <w:color w:val="auto"/>
              </w:rPr>
            </w:pPr>
          </w:p>
        </w:tc>
      </w:tr>
      <w:tr>
        <w:trPr>
          <w:trHeight w:val="24"/>
        </w:trPr>
        <w:tc>
          <w:tcPr>
            <w:tcW w:w="3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171,534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46,471</w:t>
            </w:r>
          </w:p>
        </w:tc>
        <w:tc>
          <w:tcPr>
            <w:tcW w:w="0" w:type="dxa"/>
            <w:vAlign w:val="bottom"/>
          </w:tcPr>
          <w:p>
            <w:pPr>
              <w:spacing w:after="0"/>
              <w:rPr>
                <w:sz w:val="1"/>
                <w:szCs w:val="1"/>
                <w:color w:val="auto"/>
              </w:rPr>
            </w:pPr>
          </w:p>
        </w:tc>
      </w:tr>
      <w:tr>
        <w:trPr>
          <w:trHeight w:val="149"/>
        </w:trPr>
        <w:tc>
          <w:tcPr>
            <w:tcW w:w="3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84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(34,823)</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87"/>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61,515</w:t>
            </w:r>
          </w:p>
        </w:tc>
        <w:tc>
          <w:tcPr>
            <w:tcW w:w="0" w:type="dxa"/>
            <w:vAlign w:val="bottom"/>
          </w:tcPr>
          <w:p>
            <w:pPr>
              <w:spacing w:after="0"/>
              <w:rPr>
                <w:sz w:val="1"/>
                <w:szCs w:val="1"/>
                <w:color w:val="auto"/>
              </w:rPr>
            </w:pPr>
          </w:p>
        </w:tc>
      </w:tr>
      <w:tr>
        <w:trPr>
          <w:trHeight w:val="24"/>
        </w:trPr>
        <w:tc>
          <w:tcPr>
            <w:tcW w:w="3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594,361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r>
      <w:tr>
        <w:trPr>
          <w:trHeight w:val="128"/>
        </w:trPr>
        <w:tc>
          <w:tcPr>
            <w:tcW w:w="85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93"/>
        </w:trPr>
        <w:tc>
          <w:tcPr>
            <w:tcW w:w="8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85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72"/>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1"/>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tcPr>
          <w:p>
            <w:pPr>
              <w:spacing w:after="0"/>
              <w:rPr>
                <w:sz w:val="19"/>
                <w:szCs w:val="19"/>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61,515</w:t>
            </w:r>
          </w:p>
        </w:tc>
      </w:tr>
      <w:tr>
        <w:trPr>
          <w:trHeight w:val="22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 income to net cash provided by operating activities: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68,159</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impairment of long-term investment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loss / (gain) on investments, net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(34,128)</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1"/>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(29,429)</w:t>
            </w:r>
          </w:p>
        </w:tc>
      </w:tr>
      <w:tr>
        <w:trPr>
          <w:trHeight w:val="226"/>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w:t>
            </w:r>
          </w:p>
        </w:tc>
      </w:tr>
      <w:tr>
        <w:trPr>
          <w:trHeight w:val="221"/>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(18,397)</w:t>
            </w:r>
          </w:p>
        </w:tc>
      </w:tr>
      <w:tr>
        <w:trPr>
          <w:trHeight w:val="226"/>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22,109</w:t>
            </w:r>
          </w:p>
        </w:tc>
      </w:tr>
      <w:tr>
        <w:trPr>
          <w:trHeight w:val="221"/>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(19,657)</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130,473</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receipt (payment)</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(37,438)</w:t>
            </w:r>
          </w:p>
        </w:tc>
      </w:tr>
      <w:tr>
        <w:trPr>
          <w:trHeight w:val="74"/>
        </w:trPr>
        <w:tc>
          <w:tcPr>
            <w:tcW w:w="85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r>
      <w:tr>
        <w:trPr>
          <w:trHeight w:val="221"/>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settlement of employee taxes related to RSU vesting</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r>
      <w:tr>
        <w:trPr>
          <w:trHeight w:val="221"/>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(34,823)</w:t>
            </w: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15"/>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(46,271)</w:t>
            </w:r>
          </w:p>
        </w:tc>
      </w:tr>
      <w:tr>
        <w:trPr>
          <w:trHeight w:val="74"/>
        </w:trPr>
        <w:tc>
          <w:tcPr>
            <w:tcW w:w="85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r>
      <w:tr>
        <w:trPr>
          <w:trHeight w:val="221"/>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w:t>
            </w:r>
          </w:p>
        </w:tc>
      </w:tr>
      <w:tr>
        <w:trPr>
          <w:trHeight w:val="21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 increase in cash and cash equivalents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54,285</w:t>
            </w:r>
          </w:p>
        </w:tc>
      </w:tr>
      <w:tr>
        <w:trPr>
          <w:trHeight w:val="92"/>
        </w:trPr>
        <w:tc>
          <w:tcPr>
            <w:tcW w:w="8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r>
      <w:tr>
        <w:trPr>
          <w:trHeight w:val="215"/>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110,472</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165,536</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1"/>
        </w:trPr>
        <w:tc>
          <w:tcPr>
            <w:tcW w:w="85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21"/>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r>
      <w:tr>
        <w:trPr>
          <w:trHeight w:val="21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52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120" w:hanging="320"/>
        <w:spacing w:after="0" w:line="268" w:lineRule="auto"/>
        <w:tabs>
          <w:tab w:leader="none" w:pos="7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320" w:hanging="320"/>
        <w:spacing w:after="0" w:line="268" w:lineRule="auto"/>
        <w:tabs>
          <w:tab w:leader="none" w:pos="7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300" w:hanging="320"/>
        <w:spacing w:after="0" w:line="268" w:lineRule="auto"/>
        <w:tabs>
          <w:tab w:leader="none" w:pos="7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right="20" w:hanging="320"/>
        <w:spacing w:after="0" w:line="268" w:lineRule="auto"/>
        <w:tabs>
          <w:tab w:leader="none" w:pos="7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licensable content. Customers can generate images by entering a description of their desired content into model prompts.</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Terminated Merger Agreement with Getty Images</w:t>
      </w:r>
    </w:p>
    <w:p>
      <w:pPr>
        <w:spacing w:after="0" w:line="111"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On January 6, 2025, the Company entered into an Agreement and Plan of Merger (the “Merger Agreement”) to combine in a merger-of-equals transaction with Getty Images Holdings, Inc. (NYSE:GETY) (“Getty Images”) (such transaction referred to herein as the “Merger”).</w:t>
      </w:r>
    </w:p>
    <w:p>
      <w:pPr>
        <w:spacing w:after="0" w:line="64"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June 30, 2026, Getty Images filed a Current Report on Form 8-K announcing that its Board of Directors unanimously resolved to terminate the Merger Agreement. The Merger Agreement was terminated on July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interim Consolidated Balance Sheet as of September 30, 2026, and the Consolidated Statements of Operations, Comprehensive Income and Stockholders’ Equity for the three and nine months ended September 30, 2026 and 2025, and the Consolidated Statements of Cash Flows for the nine months ended September 30, 2026 and 2025 are unaudited. The Consolidated Balance Sheet as of December 31, 2025,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2026, and its consolidated results of operations, comprehensive income, stockholders’ equity and cash flows for the three and nine months ended September 30, 2026 and 2025. The financial data and the other financial information disclosed in the notes to the financial statements related to these periods are also unaudited. The results of operations for the nine months ended September 30, 2026 are not necessarily indicative of the results to be expected for the fiscal year ending December 31, 2026 or for any other future annual or interim period.</w:t>
      </w:r>
    </w:p>
    <w:p>
      <w:pPr>
        <w:spacing w:after="0" w:line="8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2025 included in the Company’s Annual Report on Form 10-K, which was filed with the SEC on February 17, 2026.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$51.0 million of unbilled receivables of which $33.8 million are recorded in Accounts Receivable and $17.2 million are recorded in Other Assets, as of September 30, 2026.</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recorded bad debt expense of $0.7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As of September 30, 2026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the Company’s allowance for doubtful accounts was approximately $4.1 million and $3.4 million, respectively. The allowance for doubtful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is included as a reduction of accounts receivable on the Consolidated Balance Sheets.</w:t>
      </w:r>
    </w:p>
    <w:p>
      <w:pPr>
        <w:spacing w:after="0" w:line="9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September 30, 2026 and December 31, 2025, approximately $5.8 million and $9.8 million of financing receivables, respectively, were included in accounts receivable and other assets on the Consolidated Balance Sheets.</w:t>
      </w:r>
    </w:p>
    <w:p>
      <w:pPr>
        <w:spacing w:after="0" w:line="7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September 30, 2026, two customers accounted for approximately 14% and 12%, respectively, of the accounts receivable balance. As of December 31, 2025, one customer accounted for approximately 15%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40"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September 30, 2026 and December 31, 2025, the Company’s combined allowance for chargebacks and sales refunds was $0.1 million and $0.2 million, respectively, which was included as a component of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1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10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assets or liabilities requiring fair value hierarchy disclosures as of September 30, 2026 or December 31, 2025, except as noted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spacing w:after="0" w:line="40" w:lineRule="exact"/>
        <w:rPr>
          <w:sz w:val="20"/>
          <w:szCs w:val="20"/>
          <w:color w:val="auto"/>
        </w:rPr>
      </w:pPr>
    </w:p>
    <w:p>
      <w:pPr>
        <w:ind w:right="120" w:firstLine="395"/>
        <w:spacing w:after="0" w:line="248"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was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The investment is subject to a contractual sale restriction that limits the sale or transfer of the investment for a period of 3 years, ending March 2027. Its fair value level hierarchy and amount at September 30, 2026 are as follows (in thousands):</w:t>
      </w:r>
    </w:p>
    <w:p>
      <w:pPr>
        <w:spacing w:after="0" w:line="1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21,729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September 30, 2026 and December 31, 2025, the Company had $30.5 million and $30.5 million, respectively, recorded in Other Assets in the Consolidated Balance Sheets from equity instruments received. The Company estimated the value of these equity instruments based on issuers’ recent market transactions at the time the instruments were received from the customers. The Company uses the measurement alternative for fair value since the equity instruments do not have readily determinable fair values and report the instruments at cost, adjusted for impairments or any observable price changes in ordinary transactions with identical or similar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4"/>
        </w:trPr>
        <w:tc>
          <w:tcPr>
            <w:tcW w:w="7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394,200</w:t>
            </w: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11,046</w:t>
            </w: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20,524</w:t>
            </w:r>
          </w:p>
        </w:tc>
      </w:tr>
      <w:tr>
        <w:trPr>
          <w:trHeight w:val="215"/>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425,770</w:t>
            </w: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(363,217)</w:t>
            </w:r>
          </w:p>
        </w:tc>
      </w:tr>
      <w:tr>
        <w:trPr>
          <w:trHeight w:val="215"/>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61,213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62,553</w:t>
            </w:r>
          </w:p>
        </w:tc>
      </w:tr>
      <w:tr>
        <w:trPr>
          <w:trHeight w:val="22"/>
        </w:trPr>
        <w:tc>
          <w:tcPr>
            <w:tcW w:w="7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$10.5 million and $11.0 million for the three months ended September 30, 2026 and 2025, respectively, and $32.3 million and $32.5 million for the nine months ended September 30, 2026 and 2025, respectively. Cost of revenues included depreciation and amortization expense of $10.4 million and $10.6 million for the three months ended September 30, 2026 and 2025, respectively, and $31.7 million and $31.5 million for the nine months ended September 30, 2026 and 2025, respectively. General and administrative expense included depreciation and amortization expense of $0.1 million and $0.4 million for the three months ended September 30, 2026 and 2025, respectively, and $0.6 million and $1.0 million for the nine months ended September 30, 2026 and 2025,</w:t>
      </w:r>
    </w:p>
    <w:p>
      <w:pPr>
        <w:spacing w:after="0" w:line="185"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$10.0 million and $10.4 million for the three months ended September 30, 2026 and 2025, respectively, and $30.6 million and $30.7 million for the nine months ended September 30, 2026 and 2025, respectively. Capitalized amounts are included as a component of property and equipment under computer equipment and software on the Consolidated Balance Sheets.</w:t>
      </w:r>
    </w:p>
    <w:p>
      <w:pPr>
        <w:spacing w:after="0" w:line="40"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portion of total depreciation expense related to capitalized internal-use software was $10.1 million and $10.4 million for the three months ended September 30, 2026 and 2025, respectively, and $30.9 million and $30.8 million for the nine months ended September 30, 2026 and 2025, respectively. Depreciation expense related to capitalized internal-use software is included in cost of revenue in the Consolidated Statements of Operations.</w:t>
      </w:r>
    </w:p>
    <w:p>
      <w:pPr>
        <w:spacing w:after="0" w:line="4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capitalized internal-use software of $57.5 million and $57.7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goodwill balance is tested for impairment annually on October 1 or upon a triggering event.</w:t>
      </w:r>
    </w:p>
    <w:p>
      <w:pPr>
        <w:spacing w:after="0" w:line="109"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As of June 30, 2026, management determined that Getty Image's termination of the Merger Agreement which was announced after the market close on June 30, 2026 resulted in a triggering event and required the performance of a quantitative goodwill impairment test for its single reporting unit. The Company estimated the fair value of its single reporting unit using a market approach to be $363.7 million based on the Company’s market capitalization and a 10% control premium. Due to the post-market close announcement of the merger termination on July 7, 2026, the Company utilized an average of the Company’s market capitalization from July 1, 2026 to July 13, 2026, as that was determined to most appropriately reflect the impact of the termination of the Merger Agreement that was known as of the balance sheet date. The control premium reflected management’s estimate of market-participant benefits associated with control and represented a significant unobservable input. Management has determined the use of the control premium results in the non-recurring fair value to be based on Level 3 fair value inputs. Since the reporting unit's carrying amount exceeded its estimated fair value as of June 30, 2026, the Company recorded a goodwill impairment charge of $173.7 million within total operating expenses on the statement of operations. This charge includes an impact to deferred taxes associated with the goodwill of $10.4 million.</w:t>
      </w:r>
    </w:p>
    <w:p>
      <w:pPr>
        <w:spacing w:after="0" w:line="89"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 xml:space="preserve">As of September 30, 2026, </w:t>
      </w:r>
      <w:r>
        <w:rPr>
          <w:rFonts w:ascii="Times New Roman" w:cs="Times New Roman" w:eastAsia="Times New Roman" w:hAnsi="Times New Roman"/>
          <w:sz w:val="18"/>
          <w:szCs w:val="18"/>
          <w:color w:val="1F1F1F"/>
        </w:rPr>
        <w:t>management determined that the</w:t>
      </w:r>
      <w:r>
        <w:rPr>
          <w:rFonts w:ascii="Times New Roman" w:cs="Times New Roman" w:eastAsia="Times New Roman" w:hAnsi="Times New Roman"/>
          <w:sz w:val="18"/>
          <w:szCs w:val="18"/>
          <w:color w:val="auto"/>
        </w:rPr>
        <w:t xml:space="preserve"> impact of the dividend suspension announced on July 22, 2026 resulted in a triggering event and required the performance of </w:t>
      </w:r>
      <w:r>
        <w:rPr>
          <w:rFonts w:ascii="Times New Roman" w:cs="Times New Roman" w:eastAsia="Times New Roman" w:hAnsi="Times New Roman"/>
          <w:sz w:val="18"/>
          <w:szCs w:val="18"/>
          <w:color w:val="1F1F1F"/>
        </w:rPr>
        <w:t>a quantitative goodwill impairment test for its single reporting unit. The Company estimated the fair value of its single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1F1F"/>
        </w:rPr>
        <w:t xml:space="preserve">reporting unit using a market approach to be </w:t>
      </w:r>
      <w:r>
        <w:rPr>
          <w:rFonts w:ascii="Times New Roman" w:cs="Times New Roman" w:eastAsia="Times New Roman" w:hAnsi="Times New Roman"/>
          <w:sz w:val="18"/>
          <w:szCs w:val="18"/>
          <w:color w:val="000000"/>
        </w:rPr>
        <w:t>$171.5 million</w:t>
      </w:r>
      <w:r>
        <w:rPr>
          <w:rFonts w:ascii="Times New Roman" w:cs="Times New Roman" w:eastAsia="Times New Roman" w:hAnsi="Times New Roman"/>
          <w:sz w:val="18"/>
          <w:szCs w:val="18"/>
          <w:color w:val="1F1F1F"/>
        </w:rPr>
        <w:t xml:space="preserve"> based on the Company’s market capitalization as of September 30, 2026 and a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1F1F1F"/>
        </w:rPr>
        <w:t xml:space="preserve"> control premium. Consistent with the June 30, 2026 test, the control premium represented a significant unobservable input, and the non-recurring fair value measurement is based on Level 3 fair value inputs. Since the reporting unit’s carrying amount exceeded its estimated fair value as of September 30, 2026, the Company recorded an additional goodwill impairment charge of </w:t>
      </w:r>
      <w:r>
        <w:rPr>
          <w:rFonts w:ascii="Times New Roman" w:cs="Times New Roman" w:eastAsia="Times New Roman" w:hAnsi="Times New Roman"/>
          <w:sz w:val="18"/>
          <w:szCs w:val="18"/>
          <w:color w:val="000000"/>
        </w:rPr>
        <w:t>$203.3 million</w:t>
      </w:r>
      <w:r>
        <w:rPr>
          <w:rFonts w:ascii="Times New Roman" w:cs="Times New Roman" w:eastAsia="Times New Roman" w:hAnsi="Times New Roman"/>
          <w:sz w:val="18"/>
          <w:szCs w:val="18"/>
          <w:color w:val="1F1F1F"/>
        </w:rPr>
        <w:t xml:space="preserve"> within total operating expenses on the statement of operations. </w:t>
      </w:r>
      <w:r>
        <w:rPr>
          <w:rFonts w:ascii="Times New Roman" w:cs="Times New Roman" w:eastAsia="Times New Roman" w:hAnsi="Times New Roman"/>
          <w:sz w:val="18"/>
          <w:szCs w:val="18"/>
          <w:color w:val="000000"/>
        </w:rPr>
        <w:t>This charge</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includes an impact to deferred taxes associated with the goodwill of $7.7 million. It is possible that a triggering e</w:t>
      </w:r>
      <w:r>
        <w:rPr>
          <w:rFonts w:ascii="Times New Roman" w:cs="Times New Roman" w:eastAsia="Times New Roman" w:hAnsi="Times New Roman"/>
          <w:sz w:val="18"/>
          <w:szCs w:val="18"/>
          <w:color w:val="1F1F1F"/>
        </w:rPr>
        <w:t>vent for the reporting unit in the future could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F1F1F"/>
        </w:rPr>
        <w:t>lead to a potential impairment of the remaining goodwill.</w:t>
      </w:r>
    </w:p>
    <w:p>
      <w:pPr>
        <w:spacing w:after="0" w:line="8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nine months ended September 30, 2026 (in thousands):</w:t>
      </w:r>
    </w:p>
    <w:p>
      <w:pPr>
        <w:spacing w:after="0" w:line="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50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142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impairment</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September 30, 2026</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980" w:hanging="979"/>
        <w:spacing w:after="0"/>
        <w:tabs>
          <w:tab w:leader="none" w:pos="9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574,614</w:t>
      </w:r>
    </w:p>
    <w:p>
      <w:pPr>
        <w:spacing w:after="0" w:line="39"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(676)</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(377,061)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002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3" w:lineRule="exact"/>
        <w:rPr>
          <w:sz w:val="20"/>
          <w:szCs w:val="20"/>
          <w:color w:val="auto"/>
        </w:rPr>
      </w:pPr>
    </w:p>
    <w:p>
      <w:pPr>
        <w:ind w:left="980" w:hanging="979"/>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0026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42545</wp:posOffset>
            </wp:positionV>
            <wp:extent cx="1002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September 30,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24"/>
              <w:spacing w:after="0" w:line="13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1"/>
                <w:szCs w:val="11"/>
                <w:color w:val="auto"/>
              </w:rPr>
            </w:pPr>
          </w:p>
        </w:tc>
        <w:tc>
          <w:tcPr>
            <w:tcW w:w="900" w:type="dxa"/>
            <w:vAlign w:val="bottom"/>
          </w:tcPr>
          <w:p>
            <w:pPr>
              <w:jc w:val="center"/>
              <w:ind w:right="104"/>
              <w:spacing w:after="0" w:line="13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44"/>
              <w:spacing w:after="0" w:line="13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104"/>
              <w:spacing w:after="0" w:line="13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2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105,491</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(51,055)</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106,557</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61,491</w:t>
            </w: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50,630</w:t>
            </w:r>
          </w:p>
        </w:tc>
        <w:tc>
          <w:tcPr>
            <w:tcW w:w="0" w:type="dxa"/>
            <w:vAlign w:val="bottom"/>
          </w:tcPr>
          <w:p>
            <w:pPr>
              <w:spacing w:after="0"/>
              <w:rPr>
                <w:sz w:val="1"/>
                <w:szCs w:val="1"/>
                <w:color w:val="auto"/>
              </w:rPr>
            </w:pPr>
          </w:p>
        </w:tc>
      </w:tr>
      <w:tr>
        <w:trPr>
          <w:trHeight w:val="221"/>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66,694</w:t>
            </w: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36,796</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7"/>
        </w:trPr>
        <w:tc>
          <w:tcPr>
            <w:tcW w:w="2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436,151</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180,931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437,913</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$11.3 million and $11.9 million for the three months ended September 30, 2026 and 2025, respectively, and $34.6 million and $35.6 million for the nine months ended September 30, 2026 and 2025, respectively. Cost of revenue included amortization expense of $9.8 million and $10.4 million for the three months ended September 30, 2026 and</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2025, respectively, and $30.2 million and $31.1 million for the nine months ended September 30, 2026 and 2025, respectively. General and administrative expense included amortization expense of $1.5 million for the three months ended September 30, 2026 and 2025, respectively, and $4.4 million and $4.6 million for the nine months ended September 30, 2026 and 2025, respectively.</w:t>
      </w:r>
    </w:p>
    <w:p>
      <w:pPr>
        <w:spacing w:after="0" w:line="75"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$10.7 million for the remaining three months of 2026, $38.9 million in 2027, $36.1 million in 2028, $29.3 million in 2029, $18.0 million in 2030, $12.8 million in 2031 and $35.1 million thereafter.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49,705</w:t>
            </w:r>
          </w:p>
        </w:tc>
        <w:tc>
          <w:tcPr>
            <w:tcW w:w="0" w:type="dxa"/>
            <w:vAlign w:val="bottom"/>
          </w:tcPr>
          <w:p>
            <w:pPr>
              <w:spacing w:after="0"/>
              <w:rPr>
                <w:sz w:val="1"/>
                <w:szCs w:val="1"/>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41,584</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w:t>
            </w: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As of September 30, 2026 and December 31, 2025, compensation-related accrued expenses included amounts due to Giphy employees for compensation earned pre-acquisition and severance costs associated with workforce optimizations. Approximately $3.1 million and $1.5 million of severance costs associated with workforce optimization is included within accrued expenses as of September 30, 2026 and December 31, 2025,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1"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240" w:firstLine="395"/>
        <w:spacing w:after="0" w:line="280" w:lineRule="auto"/>
        <w:rPr>
          <w:sz w:val="20"/>
          <w:szCs w:val="20"/>
          <w:color w:val="auto"/>
        </w:rPr>
      </w:pPr>
      <w:r>
        <w:rPr>
          <w:rFonts w:ascii="Times New Roman" w:cs="Times New Roman" w:eastAsia="Times New Roman" w:hAnsi="Times New Roman"/>
          <w:sz w:val="16"/>
          <w:szCs w:val="16"/>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$125,000,000 and (ii) senior unsecured revolving credit facility (the “Revolver”) in an aggregate principal amount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The A&amp;R Credit Agreement also provides for a letter of credit sub-facility and a swingline facility.</w:t>
      </w:r>
    </w:p>
    <w:p>
      <w:pPr>
        <w:spacing w:after="0" w:line="91"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360" w:firstLine="395"/>
        <w:spacing w:after="0" w:line="332" w:lineRule="auto"/>
        <w:rPr>
          <w:sz w:val="20"/>
          <w:szCs w:val="20"/>
          <w:color w:val="auto"/>
        </w:rPr>
      </w:pPr>
      <w:r>
        <w:rPr>
          <w:rFonts w:ascii="Times New Roman" w:cs="Times New Roman" w:eastAsia="Times New Roman" w:hAnsi="Times New Roman"/>
          <w:sz w:val="16"/>
          <w:szCs w:val="16"/>
          <w:color w:val="auto"/>
        </w:rPr>
        <w:t>During the third quarter of 2026, the Company repaid $30.0 million of outstanding principal on the Revolver. The repayment was funded using cash generated from operations. As of September 30, 2026, the Company had a remaining borrowing capacity of $123.7 million, net of standby letters of credit.</w:t>
      </w:r>
    </w:p>
    <w:p>
      <w:pPr>
        <w:spacing w:after="0" w:line="17"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September 30, 2026, the Company was in compliance with these covenants.</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155,000</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116,639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32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interest expense of $3.6 million and $11.2 million, respectively. As of September 30, 2026, unamortized debt issuance cost related to the Term Loan - A&amp;R Credit Agreement is $0.4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269,000 and 216,000 shares of common stock during the three months ended September 30, 2026 and 2025,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$100.0 million of its common stock.</w:t>
      </w:r>
    </w:p>
    <w:p>
      <w:pPr>
        <w:spacing w:after="0" w:line="6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2026, the Company has repurchased approximately 5.5 million shares of common stock in total since 2015 under the repurchase programs (including the 2015 and 2017 Share Repurchase Programs and the 2023 Share Repurchase Program) at an average per-share cost of $48.86. During the three and nine months ended September 30, 2026 and 2025, the Company did not repurchase any shares of common stock. As of September 30, 2026, the Company had $30.2 million of remaining authorization for purchases under the 2023 Share Repurchase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did not declare or pay a cash dividend during the three months ended September 30, 2026. The Company declared and paid cash dividends of $0.72 per share of common stock, or $26.0 million, during the nine months ended September 30, 2026, and $0.33 and $0.99 per share of common stock, or $11.7 million and $34.8 million, during the three and nine months ended September 30, 2025, respectively.</w:t>
      </w:r>
    </w:p>
    <w:p>
      <w:pPr>
        <w:spacing w:after="0" w:line="18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8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nine months ended September 30, 2026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221"/>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w:t>
            </w:r>
          </w:p>
        </w:tc>
      </w:tr>
      <w:tr>
        <w:trPr>
          <w:trHeight w:val="221"/>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28,292</w:t>
            </w:r>
          </w:p>
        </w:tc>
      </w:tr>
      <w:tr>
        <w:trPr>
          <w:trHeight w:val="242"/>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substantially all of the Company’s non-cash equity-based compensation expense related to RSUs.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had RSU grants, net of forfeitures, of approximately 636,000. As of September 30, 2026, there are approximately 3,131,000 non-vested RSUs outstanding with a weighted average grant-date fair value of $17.58. As of September 30, 2026, the total unrecognized non-cash equity-based compensation expense related to the non-vested RSUs was approximately $36.4 million, which is expected to be recognized through 2030.</w:t>
      </w:r>
    </w:p>
    <w:p>
      <w:pPr>
        <w:spacing w:after="0" w:line="7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2026 and 2025, shares of common stock with an aggregate value of $10.7 million and $9.1 million were withheld upon vesting of RSUs and paid in connection with related remittance of employee withholding taxes to taxing authorities.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55"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nine months ended September 30, 2026 and 2025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597,110</w:t>
            </w:r>
          </w:p>
        </w:tc>
      </w:tr>
      <w:tr>
        <w:trPr>
          <w:trHeight w:val="221"/>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172,594</w:t>
            </w:r>
          </w:p>
        </w:tc>
      </w:tr>
      <w:tr>
        <w:trPr>
          <w:trHeight w:val="244"/>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September 30, 2026 deferred revenue balance will be earned as content is downloaded or upon the expiration of subscription-based products, and nearly all is expected to be earned within the next twelve months. $187.6 million of total revenue recognized for the nine months ended September 30, 2026 was reflected in deferred revenue as of December 31, 2025. In addition, as of September 30, 2026, the Company has approximately $33.2 million of contracted but unsatisfied performance obligations relating primarily to our data deal offerings, which are not included as a component of deferred revenue and that the Company expects to recognize over a five year period.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nine months ended September 30, 2026 and 2025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8"/>
              </w:rPr>
              <w:t>(1,733)</w:t>
            </w:r>
          </w:p>
        </w:tc>
      </w:tr>
      <w:tr>
        <w:trPr>
          <w:trHeight w:val="221"/>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long-term investment</w:t>
            </w:r>
          </w:p>
        </w:tc>
        <w:tc>
          <w:tcPr>
            <w:tcW w:w="9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(5,000)</w:t>
            </w:r>
          </w:p>
        </w:tc>
      </w:tr>
      <w:tr>
        <w:trPr>
          <w:trHeight w:val="22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(loss) / gain on investments, and other</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37,010</w:t>
            </w:r>
          </w:p>
        </w:tc>
      </w:tr>
      <w:tr>
        <w:trPr>
          <w:trHeight w:val="215"/>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 income, net</w:t>
            </w: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30,277</w:t>
            </w:r>
          </w:p>
        </w:tc>
      </w:tr>
      <w:tr>
        <w:trPr>
          <w:trHeight w:val="22"/>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11" w:lineRule="exact"/>
        <w:rPr>
          <w:sz w:val="20"/>
          <w:szCs w:val="20"/>
          <w:color w:val="auto"/>
        </w:rPr>
      </w:pPr>
    </w:p>
    <w:p>
      <w:pPr>
        <w:ind w:right="88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were a benefit of 1.4% and an expense of 57.4% for the three months ended September 30, 2026 and 2025, respectively, and a benefit of 2.3% and an expense of 35.2% for the nine months ended September 30, 2026 and 2025, respectively.</w:t>
      </w:r>
    </w:p>
    <w:p>
      <w:pPr>
        <w:spacing w:after="0" w:line="64" w:lineRule="exact"/>
        <w:rPr>
          <w:sz w:val="20"/>
          <w:szCs w:val="20"/>
          <w:color w:val="auto"/>
        </w:rPr>
      </w:pPr>
    </w:p>
    <w:p>
      <w:pPr>
        <w:ind w:right="480" w:firstLine="395"/>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net effect of discrete items decreased the effective tax rate by 35.2% and 38.9%, respectively. The discrete items for the three and nine months ended September 30, 2026, primarily relate to the book goodwill impairment which is non-deductible for tax purposes, partially offset by shortfalls on equity award vestings and prior-years tax return finalization. Excluding discrete items, the Company’s effective tax rate would have been 36.6% and 41.2% for the three and nine months ended September 30, 2026.</w:t>
      </w:r>
    </w:p>
    <w:p>
      <w:pPr>
        <w:spacing w:after="0" w:line="7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net effect of discrete items decreased the effective tax rate by 19.5% and 9.6%, respectively. The discrete items for the three months ended September 30, 2025, primarily relate to a decrease in the valuation allowance and a release of an uncertain tax position. The discrete items for the nine months ended September 30, 2025, primarily relate to a decrease in the valuation allowance and a release of an uncertain tax position, partially offset by shortfalls on equity award vestings. Excluding discrete items, the Company’s effective tax rate would have been 76.9% and 44.8% for the three and nine months ended September 30, 2025, respectively.</w:t>
      </w:r>
    </w:p>
    <w:p>
      <w:pPr>
        <w:spacing w:after="0" w:line="80"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uncertain tax positions recorded by the Company were not material. To the extent the remaining uncertain tax positions are ultimately recognized, the Company’s effective tax rate may be impacted in future periods.</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and nine months ended September 30, 2026 and 2025.</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had net cash taxes paid of $8.3 million and during the nine months ended September 30, 2025, the Company had net cash taxes paid of $16.4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2026 and 2025 (in thousands, except for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(loss) / income per share</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35,213</w:t>
            </w:r>
          </w:p>
        </w:tc>
      </w:tr>
      <w:tr>
        <w:trPr>
          <w:trHeight w:val="22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1"/>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44"/>
        </w:trPr>
        <w:tc>
          <w:tcPr>
            <w:tcW w:w="5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(loss) / income per share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net (loss) / income per share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net (loss) / income per share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and Geographic Information</w:t>
      </w:r>
    </w:p>
    <w:p>
      <w:pPr>
        <w:spacing w:after="0" w:line="11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212"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tbl>
      <w:tblPr>
        <w:tblLayout w:type="fixed"/>
        <w:tblInd w:w="0" w:type="dxa"/>
        <w:tblCellMar>
          <w:top w:w="0" w:type="dxa"/>
          <w:left w:w="0" w:type="dxa"/>
          <w:bottom w:w="0" w:type="dxa"/>
          <w:right w:w="0" w:type="dxa"/>
        </w:tblCellMar>
      </w:tblPr>
      <w:tr>
        <w:trPr>
          <w:trHeight w:val="150"/>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3"/>
                <w:szCs w:val="13"/>
                <w:color w:val="auto"/>
              </w:rPr>
            </w:pPr>
          </w:p>
        </w:tc>
        <w:tc>
          <w:tcPr>
            <w:tcW w:w="2260" w:type="dxa"/>
            <w:vAlign w:val="bottom"/>
            <w:gridSpan w:val="4"/>
          </w:tcPr>
          <w:p>
            <w:pPr>
              <w:jc w:val="right"/>
              <w:ind w:right="582"/>
              <w:spacing w:after="0" w:line="15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0" w:type="dxa"/>
            <w:vAlign w:val="bottom"/>
          </w:tcPr>
          <w:p>
            <w:pPr>
              <w:spacing w:after="0"/>
              <w:rPr>
                <w:sz w:val="1"/>
                <w:szCs w:val="1"/>
                <w:color w:val="auto"/>
              </w:rPr>
            </w:pPr>
          </w:p>
        </w:tc>
      </w:tr>
      <w:tr>
        <w:trPr>
          <w:trHeight w:val="221"/>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16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67,320</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275,474</w:t>
            </w:r>
          </w:p>
        </w:tc>
        <w:tc>
          <w:tcPr>
            <w:tcW w:w="0" w:type="dxa"/>
            <w:vAlign w:val="bottom"/>
          </w:tcPr>
          <w:p>
            <w:pPr>
              <w:spacing w:after="0"/>
              <w:rPr>
                <w:sz w:val="1"/>
                <w:szCs w:val="1"/>
                <w:color w:val="auto"/>
              </w:rPr>
            </w:pPr>
          </w:p>
        </w:tc>
      </w:tr>
      <w:tr>
        <w:trPr>
          <w:trHeight w:val="224"/>
        </w:trPr>
        <w:tc>
          <w:tcPr>
            <w:tcW w:w="602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98,470</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49,350</w:t>
            </w:r>
          </w:p>
        </w:tc>
        <w:tc>
          <w:tcPr>
            <w:tcW w:w="0" w:type="dxa"/>
            <w:vAlign w:val="bottom"/>
          </w:tcPr>
          <w:p>
            <w:pPr>
              <w:spacing w:after="0"/>
              <w:rPr>
                <w:sz w:val="1"/>
                <w:szCs w:val="1"/>
                <w:color w:val="auto"/>
              </w:rPr>
            </w:pPr>
          </w:p>
        </w:tc>
      </w:tr>
      <w:tr>
        <w:trPr>
          <w:trHeight w:val="224"/>
        </w:trPr>
        <w:tc>
          <w:tcPr>
            <w:tcW w:w="602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138,083</w:t>
            </w:r>
          </w:p>
        </w:tc>
        <w:tc>
          <w:tcPr>
            <w:tcW w:w="0" w:type="dxa"/>
            <w:vAlign w:val="bottom"/>
          </w:tcPr>
          <w:p>
            <w:pPr>
              <w:spacing w:after="0"/>
              <w:rPr>
                <w:sz w:val="1"/>
                <w:szCs w:val="1"/>
                <w:color w:val="auto"/>
              </w:rPr>
            </w:pPr>
          </w:p>
        </w:tc>
      </w:tr>
      <w:tr>
        <w:trPr>
          <w:trHeight w:val="221"/>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372,946</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980,107</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692,281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77,423</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30,277</w:t>
            </w:r>
          </w:p>
        </w:tc>
        <w:tc>
          <w:tcPr>
            <w:tcW w:w="0" w:type="dxa"/>
            <w:vAlign w:val="bottom"/>
          </w:tcPr>
          <w:p>
            <w:pPr>
              <w:spacing w:after="0"/>
              <w:rPr>
                <w:sz w:val="1"/>
                <w:szCs w:val="1"/>
                <w:color w:val="auto"/>
              </w:rPr>
            </w:pPr>
          </w:p>
        </w:tc>
      </w:tr>
      <w:tr>
        <w:trPr>
          <w:trHeight w:val="21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94,952</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33,437</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3"/>
                <w:szCs w:val="13"/>
                <w:color w:val="auto"/>
              </w:rPr>
            </w:pPr>
          </w:p>
        </w:tc>
        <w:tc>
          <w:tcPr>
            <w:tcW w:w="222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21,028</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61,730</w:t>
            </w:r>
          </w:p>
        </w:tc>
        <w:tc>
          <w:tcPr>
            <w:tcW w:w="10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62,574</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0" w:type="dxa"/>
            <w:vAlign w:val="bottom"/>
          </w:tcPr>
          <w:p>
            <w:pPr>
              <w:spacing w:after="0"/>
              <w:rPr>
                <w:sz w:val="1"/>
                <w:szCs w:val="1"/>
                <w:color w:val="auto"/>
              </w:rPr>
            </w:pPr>
          </w:p>
        </w:tc>
      </w:tr>
      <w:tr>
        <w:trPr>
          <w:trHeight w:val="215"/>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21,786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68,159</w:t>
            </w:r>
          </w:p>
        </w:tc>
        <w:tc>
          <w:tcPr>
            <w:tcW w:w="0" w:type="dxa"/>
            <w:vAlign w:val="bottom"/>
          </w:tcPr>
          <w:p>
            <w:pPr>
              <w:spacing w:after="0"/>
              <w:rPr>
                <w:sz w:val="1"/>
                <w:szCs w:val="1"/>
                <w:color w:val="auto"/>
              </w:rPr>
            </w:pPr>
          </w:p>
        </w:tc>
      </w:tr>
      <w:tr>
        <w:trPr>
          <w:trHeight w:val="22"/>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410,900</w:t>
            </w:r>
          </w:p>
        </w:tc>
        <w:tc>
          <w:tcPr>
            <w:tcW w:w="0" w:type="dxa"/>
            <w:vAlign w:val="bottom"/>
          </w:tcPr>
          <w:p>
            <w:pPr>
              <w:spacing w:after="0"/>
              <w:rPr>
                <w:sz w:val="1"/>
                <w:szCs w:val="1"/>
                <w:color w:val="auto"/>
              </w:rPr>
            </w:pPr>
          </w:p>
        </w:tc>
      </w:tr>
      <w:tr>
        <w:trPr>
          <w:trHeight w:val="22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194,174</w:t>
            </w:r>
          </w:p>
        </w:tc>
        <w:tc>
          <w:tcPr>
            <w:tcW w:w="0" w:type="dxa"/>
            <w:vAlign w:val="bottom"/>
          </w:tcPr>
          <w:p>
            <w:pPr>
              <w:spacing w:after="0"/>
              <w:rPr>
                <w:sz w:val="1"/>
                <w:szCs w:val="1"/>
                <w:color w:val="auto"/>
              </w:rPr>
            </w:pPr>
          </w:p>
        </w:tc>
      </w:tr>
      <w:tr>
        <w:trPr>
          <w:trHeight w:val="22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164,630</w:t>
            </w: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0" w:type="dxa"/>
            <w:vAlign w:val="bottom"/>
          </w:tcPr>
          <w:p>
            <w:pPr>
              <w:spacing w:after="0"/>
              <w:rPr>
                <w:sz w:val="1"/>
                <w:szCs w:val="1"/>
                <w:color w:val="auto"/>
              </w:rPr>
            </w:pPr>
          </w:p>
        </w:tc>
      </w:tr>
      <w:tr>
        <w:trPr>
          <w:trHeight w:val="22"/>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660" w:firstLine="395"/>
        <w:spacing w:after="0" w:line="332"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37% and 44% of consolidated revenue for the nine months ended September 30, 2026 and 2025, respectively. No other country accounts for more than 10% of the Company’s revenue in any period presented.</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1"/>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32,553</w:t>
            </w: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17,382</w:t>
            </w:r>
          </w:p>
        </w:tc>
      </w:tr>
      <w:tr>
        <w:trPr>
          <w:trHeight w:val="22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r>
      <w:tr>
        <w:trPr>
          <w:trHeight w:val="215"/>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62,553</w:t>
            </w:r>
          </w:p>
        </w:tc>
      </w:tr>
      <w:tr>
        <w:trPr>
          <w:trHeight w:val="22"/>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42% and 48% of total long-lived tangible assets as of September 30, 2026 and December 31, 2025, respectively. Ireland, included in Europe in the above table, accounted for 21% and 23% of total long-lived tangible assets as of September 30, 2026 and December 31, 2025, respectively. Australia, included in Rest of the world in the above table, accounted for 30% and 20% of the total long-lived tangible assets as of September 30, 2026 and December 31, 2025, respectively. No other country accounts for more than 10% of the Company’s long-lived tangible assets in any period presented.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2026, the Company had total other non-lease obligations in the amount of approximately $138.1 million, which consisted primarily of minimum royalty guarantees and unconditional purchase obligations related to contracts for infrastructure and other business services. As of September 30, 2026, the Company’s other obligations for the remainder of 2026 and for the years ending December 31, 2027, and 2028 were approximately $45.3 million, $54.6 million, and $38.2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3"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Although we are not currently a party to any material pending litigation (except as described below),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 The Company currently has no material active litigation matters, and accordingly, no material reserves related to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13" w:lineRule="exact"/>
        <w:rPr>
          <w:sz w:val="20"/>
          <w:szCs w:val="20"/>
          <w:color w:val="auto"/>
        </w:rPr>
      </w:pPr>
    </w:p>
    <w:p>
      <w:pPr>
        <w:ind w:right="8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three months ended September 30, 2026, the Company made no material payments for losses on customer indemnification claims and recorded no liabilities related to indemnification for loss contingencies, before considering any insurance recoveries.</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2025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2025 Form 10-K for additional discussion of the risks and uncertainties that could cause our actual results to differ materially from those expressed or implied in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Merger Agreement with Getty Images</w:t>
      </w:r>
    </w:p>
    <w:p>
      <w:pPr>
        <w:spacing w:after="0" w:line="113"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On January 6, 2025, we entered into an Agreement and Plan of Merger (the “Merger Agreement”) to combine in a merger-of-equals transaction with Getty Images Holdings, Inc. (NYSE:GETY) (“Getty Images”) (such transaction referred to herein as the “Merger”).</w:t>
      </w:r>
    </w:p>
    <w:p>
      <w:pPr>
        <w:spacing w:after="0" w:line="18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On June 30, 2026, Getty Images filed an 8-K announcing that its Board of Directors unanimously resolved to terminate the Merger Agreement. The Merger Agreement was terminated on July 7,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37"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1040" w:right="22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licensable content. Customers can generate images by entering a description of their desired content into model prompts.</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Envato. Shutterstock, our flagship brand, includes various content types such as image, footage, music and editorial.</w:t>
      </w:r>
    </w:p>
    <w:p>
      <w:pPr>
        <w:spacing w:after="0" w:line="90"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Envato enhances digital creative assets and templates.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2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licensable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The 2025 metrics include the counts and revenues from Envato for the three and nine months ended September 30, 2025, which was acquired in July 22,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and nine months ended September 30, 2026 and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r>
      <w:tr>
        <w:trPr>
          <w:trHeight w:val="190"/>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4"/>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34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1,060,000</w:t>
            </w:r>
          </w:p>
        </w:tc>
      </w:tr>
      <w:tr>
        <w:trPr>
          <w:trHeight w:val="224"/>
        </w:trPr>
        <w:tc>
          <w:tcPr>
            <w:tcW w:w="534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19"/>
                <w:szCs w:val="19"/>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Pr>
          <w:p>
            <w:pPr>
              <w:spacing w:after="0"/>
              <w:rPr>
                <w:sz w:val="19"/>
                <w:szCs w:val="19"/>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24"/>
        </w:trPr>
        <w:tc>
          <w:tcPr>
            <w:tcW w:w="53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147" w:lineRule="exact"/>
        <w:rPr>
          <w:sz w:val="20"/>
          <w:szCs w:val="20"/>
          <w:color w:val="auto"/>
        </w:rPr>
      </w:pPr>
    </w:p>
    <w:p>
      <w:pPr>
        <w:ind w:right="380" w:firstLine="5"/>
        <w:spacing w:after="0" w:line="209" w:lineRule="auto"/>
        <w:tabs>
          <w:tab w:leader="none" w:pos="10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2024.</w:t>
      </w:r>
    </w:p>
    <w:p>
      <w:pPr>
        <w:spacing w:after="0" w:line="200" w:lineRule="exact"/>
        <w:rPr>
          <w:sz w:val="20"/>
          <w:szCs w:val="20"/>
          <w:color w:val="auto"/>
        </w:rPr>
      </w:pPr>
    </w:p>
    <w:p>
      <w:pPr>
        <w:spacing w:after="0" w:line="21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12"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2025 Form 10-K, under “Management’s Discussion and Analysis of Financial Condition and Results of Operations—Critical Accounting Estimates.”</w:t>
      </w:r>
    </w:p>
    <w:p>
      <w:pPr>
        <w:spacing w:after="0" w:line="64"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See Note 3 to our Unaudited Consolidated Financial Statements included in Part I, Item 1 of this Quarterly Report on Form 10-Q for a full description of the impact of the adoption of any new accounting standards on our financial statements. There have been no material changes to our critical accounting estimates as compared to our critical accounting policies and estimates included in our 2025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licensable metadata at unique scales and quality. Our metadata customer base ranges from large technology and media companies to smaller start-up organizations.</w:t>
      </w:r>
    </w:p>
    <w:p>
      <w:pPr>
        <w:spacing w:after="0" w:line="11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nine months ended September 30, 2026 and 2025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3"/>
                <w:szCs w:val="13"/>
                <w:color w:val="auto"/>
              </w:rPr>
            </w:pPr>
          </w:p>
        </w:tc>
      </w:tr>
      <w:tr>
        <w:trPr>
          <w:trHeight w:val="190"/>
        </w:trPr>
        <w:tc>
          <w:tcPr>
            <w:tcW w:w="5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8"/>
        </w:trPr>
        <w:tc>
          <w:tcPr>
            <w:tcW w:w="5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158,075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501,864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597,110</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93,005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172,594</w:t>
            </w:r>
          </w:p>
        </w:tc>
      </w:tr>
      <w:tr>
        <w:trPr>
          <w:trHeight w:val="244"/>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 software and other IT equipment costs, allocated facility expenses and other supporting overhead costs.</w:t>
      </w:r>
    </w:p>
    <w:p>
      <w:pPr>
        <w:spacing w:after="0" w:line="111" w:lineRule="exact"/>
        <w:rPr>
          <w:sz w:val="20"/>
          <w:szCs w:val="20"/>
          <w:color w:val="auto"/>
        </w:rPr>
      </w:pPr>
    </w:p>
    <w:p>
      <w:pPr>
        <w:ind w:right="2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right="3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unrealized gains and losses on investments and interest income and expense.</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1"/>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769,704</w:t>
            </w:r>
          </w:p>
        </w:tc>
      </w:tr>
      <w:tr>
        <w:trPr>
          <w:trHeight w:val="226"/>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309,440</w:t>
            </w: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169,794</w:t>
            </w: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62,993</w:t>
            </w: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150,054</w:t>
            </w: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692,281</w:t>
            </w:r>
          </w:p>
        </w:tc>
      </w:tr>
      <w:tr>
        <w:trPr>
          <w:trHeight w:val="215"/>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77,423</w:t>
            </w:r>
          </w:p>
        </w:tc>
      </w:tr>
      <w:tr>
        <w:trPr>
          <w:trHeight w:val="22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(12,748)</w:t>
            </w:r>
          </w:p>
        </w:tc>
      </w:tr>
      <w:tr>
        <w:trPr>
          <w:trHeight w:val="221"/>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30,277</w:t>
            </w:r>
          </w:p>
        </w:tc>
      </w:tr>
      <w:tr>
        <w:trPr>
          <w:trHeight w:val="219"/>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94,952</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33,437</w:t>
            </w:r>
          </w:p>
        </w:tc>
      </w:tr>
      <w:tr>
        <w:trPr>
          <w:trHeight w:val="242"/>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 /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0"/>
        </w:trPr>
        <w:tc>
          <w:tcPr>
            <w:tcW w:w="6000" w:type="dxa"/>
            <w:vAlign w:val="bottom"/>
            <w:gridSpan w:val="2"/>
          </w:tcPr>
          <w:p>
            <w:pPr>
              <w:ind w:left="56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1"/>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26"/>
        </w:trPr>
        <w:tc>
          <w:tcPr>
            <w:tcW w:w="6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1"/>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26"/>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1"/>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6"/>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21"/>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5"/>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1"/>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9"/>
        </w:trPr>
        <w:tc>
          <w:tcPr>
            <w:tcW w:w="50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9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21"/>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42"/>
        </w:trPr>
        <w:tc>
          <w:tcPr>
            <w:tcW w:w="5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 income</w:t>
            </w: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2025</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5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Pr>
          <w:p>
            <w:pPr>
              <w:spacing w:after="0"/>
              <w:rPr>
                <w:sz w:val="16"/>
                <w:szCs w:val="16"/>
                <w:color w:val="auto"/>
              </w:rPr>
            </w:pPr>
          </w:p>
        </w:tc>
      </w:tr>
      <w:tr>
        <w:trPr>
          <w:trHeight w:val="24"/>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0"/>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1"/>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1"/>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6"/>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1"/>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6"/>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1"/>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12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372,946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227,603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145,343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5"/>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(231,539)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2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1"/>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21"/>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42"/>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 income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(211,139)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Revenue decreased by $86.2 million, or 33%, to $173.9 million for the three months ended September 30, 2026, compared to the same period in 2025. On a constant currency basis, revenue decreased by 33% in the three months ended September 30, 2026, compared to the same period in 2025.</w:t>
      </w:r>
    </w:p>
    <w:p>
      <w:pPr>
        <w:spacing w:after="0" w:line="104" w:lineRule="exact"/>
        <w:rPr>
          <w:sz w:val="20"/>
          <w:szCs w:val="20"/>
          <w:color w:val="auto"/>
        </w:rPr>
      </w:pPr>
    </w:p>
    <w:p>
      <w:pPr>
        <w:jc w:val="both"/>
        <w:ind w:right="220" w:firstLine="395"/>
        <w:spacing w:after="0" w:line="303" w:lineRule="auto"/>
        <w:rPr>
          <w:sz w:val="20"/>
          <w:szCs w:val="20"/>
          <w:color w:val="auto"/>
        </w:rPr>
      </w:pPr>
      <w:r>
        <w:rPr>
          <w:rFonts w:ascii="Times New Roman" w:cs="Times New Roman" w:eastAsia="Times New Roman" w:hAnsi="Times New Roman"/>
          <w:sz w:val="16"/>
          <w:szCs w:val="16"/>
          <w:color w:val="auto"/>
        </w:rPr>
        <w:t>Our Content revenues decreased by 19%, to $158.1 million in the three months ended September 30, 2026, compared to the same period in 2025. On a constant currency basis, content revenue decreased by 18% in the three months ended September 30, 2026, compared to the same period in 2025. During the three months ended September 30, 2026, the reduction in our Content revenue was driven primarily by weakness in new customer acquisition.</w:t>
      </w:r>
    </w:p>
    <w:p>
      <w:pPr>
        <w:spacing w:after="0" w:line="66"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Our Data, Distribution, and Services revenues decreased by 76%, to $15.8 million in the three months ended September 30, 2026, compared to the same period in 2025. On a constant currency basis, Data, Distribution, and Services revenues decreased by 76% in the three months ended September 30, 2026, compared to the same period in 2025. The decrease in Data, Distribution, and Services revenues was primarily driven by a decline in our data offering, which decreased by 91% in the three months ended September 30, 2026 compared to the same period in 2025. Revenue recognition in our data offering may vary from quarter-to-quarter based on the delivery timing of metadata licensed assets.</w:t>
      </w:r>
    </w:p>
    <w:p>
      <w:pPr>
        <w:spacing w:after="0" w:line="119"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decreased by $61.8 million, or 43%, to $81.0 million, revenue from Europe decreased by $12.9 million, or 20%, to $50.7 million and revenue from Rest of World decreased by $11.5 million, or 21%, to $42.2 million, in the three months ended September 30, 2026 compared to the same period in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decreased by $18.8 million to $83.7 million in the three months ended September 30, 2026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This decrease is primarily due to lower royalty expenses as a result of the decline in revenue for the quarter. As a percentage of revenue, cost of revenue increased to 48% for the three months ended September 30, 2026, from 39% for the same period in 2025. This increase was related to AI token usage fees and website hosting costs which do not fluctuate with revenue. We expect that our cost of revenue will continue to fluctuate in-line with changes in revenue.</w:t>
      </w:r>
    </w:p>
    <w:p>
      <w:pPr>
        <w:spacing w:after="0" w:line="80" w:lineRule="exact"/>
        <w:rPr>
          <w:sz w:val="20"/>
          <w:szCs w:val="20"/>
          <w:color w:val="auto"/>
        </w:rPr>
      </w:pPr>
    </w:p>
    <w:p>
      <w:pPr>
        <w:ind w:right="1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$15.4 million, or 26%, to $43.9 million in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This was driven by a decrease in brand and performance-based marketing expenses. As a percentage of revenue, sales and marketing expenses increased to 25% for the three</w:t>
      </w: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months ended September 30, 2026, from 23% for the same period in 2025.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decreased by $8.1 million to $14.2 million in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The decrease in product development was driven by a decrease in employee-related costs offset by increases in software licenses and third-party contractor related costs, net of capitalized labor.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jc w:val="both"/>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$15.6 million, to $27.7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same period in 2025. The decrease was driven by decreases in employee-related costs, offset by $0.5 million of expenses associated with the Merger.</w:t>
      </w:r>
    </w:p>
    <w:p>
      <w:pPr>
        <w:spacing w:after="0" w:line="19" w:lineRule="exact"/>
        <w:rPr>
          <w:sz w:val="20"/>
          <w:szCs w:val="20"/>
          <w:color w:val="auto"/>
        </w:rPr>
      </w:pPr>
    </w:p>
    <w:p>
      <w:pPr>
        <w:ind w:right="36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As of September 30, 2026, management determined that the suspension of dividends announced on July 22, 2026 resulted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triggering event for the third quarter of 2026 and required the performance of a quantitative goodwill impairment test. The analysis resulted in a goodwill impairment charge of $203.3 million.</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three months ended September 30, 2026 and September 30, 2025, we recognized interest expense of $3.6 million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respectively, related to our credit facility and the amortization of deferred financing fees. Interest expense for the three months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2026 decreased due to lower interest rates and a lower outstanding principal balance in the three months ended September 30, 2026 as compared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period in 2025.</w:t>
      </w:r>
    </w:p>
    <w:p>
      <w:pPr>
        <w:spacing w:after="0" w:line="89"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In the three months ended September 30, 2026, other (expense) / income, net was driven by $0.4 million of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related to our investment in Meitu, Inc. In addition, other income, net had $0.1 million of interest income and $1.6 million of unrealized foreign currency gains. In the three months ended September 30, 2025, other income, net was primarily driven by $2.8 million of unrealized gains related to our investment in Meitu, Inc. In addition, other income, net had $0.9 million of interest income and $0.6 million of unrealized foreign currency gains.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income tax expense decreased by $20.8 million for the three months ended September 30, 2026, compared to the same period in 2025.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were a net benefit of 1.4% and an expense 57.4% for the three months ended September 30, 2026 and 2025, respectively.</w:t>
      </w:r>
    </w:p>
    <w:p>
      <w:pPr>
        <w:spacing w:after="0" w:line="78"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For the three months ended September 30, 2026, the net effect of discrete items decreased the effective tax rate by 35.2%. The discrete items for the three months ended September 30, 2026 primarily relate to the book goodwill impairment which is non-deductible for tax purposes, partially offset by shortfalls on equity award vestings and prior-years tax return finalization. Excluding discrete items, our effective tax rate would have been 36.6% for the three months ended September 30, 2026.</w:t>
      </w:r>
    </w:p>
    <w:p>
      <w:pPr>
        <w:spacing w:after="0" w:line="207" w:lineRule="exact"/>
        <w:rPr>
          <w:sz w:val="20"/>
          <w:szCs w:val="20"/>
          <w:color w:val="auto"/>
        </w:rPr>
      </w:pPr>
    </w:p>
    <w:p>
      <w:pPr>
        <w:jc w:val="both"/>
        <w:ind w:right="40"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September 30, 2025, the net effect of discrete items decreased the effective tax rate by 19.5%. The discrete items for the three months ended September 30, 2025 primarily relate to a decrease in the valuation allowance and a release of an uncertain tax position. Excluding discrete items, our effective tax rate would have been 76.9% for the three months ended September 30, 2025.</w:t>
      </w:r>
    </w:p>
    <w:p>
      <w:pPr>
        <w:spacing w:after="0" w:line="187" w:lineRule="exact"/>
        <w:rPr>
          <w:sz w:val="20"/>
          <w:szCs w:val="20"/>
          <w:color w:val="auto"/>
        </w:rPr>
      </w:pPr>
    </w:p>
    <w:p>
      <w:pPr>
        <w:ind w:right="240" w:firstLine="395"/>
        <w:spacing w:after="0" w:line="239"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2025</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6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769,704</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6"/>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1"/>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309,440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6"/>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169,794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1"/>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6"/>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1"/>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tcPr>
          <w:p>
            <w:pPr>
              <w:spacing w:after="0"/>
              <w:rPr>
                <w:sz w:val="19"/>
                <w:szCs w:val="19"/>
                <w:color w:val="auto"/>
              </w:rPr>
            </w:pPr>
          </w:p>
        </w:tc>
        <w:tc>
          <w:tcPr>
            <w:tcW w:w="1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980,107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692,281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287,826</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5"/>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(462,661)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26"/>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1"/>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21"/>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42"/>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61,515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(462,774)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jc w:val="both"/>
        <w:ind w:right="20" w:firstLine="395"/>
        <w:spacing w:after="0" w:line="268" w:lineRule="auto"/>
        <w:rPr>
          <w:sz w:val="20"/>
          <w:szCs w:val="20"/>
          <w:color w:val="auto"/>
        </w:rPr>
      </w:pPr>
      <w:r>
        <w:rPr>
          <w:rFonts w:ascii="Times New Roman" w:cs="Times New Roman" w:eastAsia="Times New Roman" w:hAnsi="Times New Roman"/>
          <w:sz w:val="18"/>
          <w:szCs w:val="18"/>
          <w:color w:val="auto"/>
        </w:rPr>
        <w:t>Revenue decreased by $174.8 million, or 23%, to $594.9 million in the nine months ended September 30, 2026, compared to the same period in 2025. On a constant currency basis, revenue decreased by 23% in the nine months ended September 30, 2026, compared to the same period in 2025.</w:t>
      </w:r>
    </w:p>
    <w:p>
      <w:pPr>
        <w:spacing w:after="0" w:line="90" w:lineRule="exact"/>
        <w:rPr>
          <w:sz w:val="20"/>
          <w:szCs w:val="20"/>
          <w:color w:val="auto"/>
        </w:rPr>
      </w:pPr>
    </w:p>
    <w:p>
      <w:pPr>
        <w:jc w:val="both"/>
        <w:ind w:right="260" w:firstLine="395"/>
        <w:spacing w:after="0" w:line="303" w:lineRule="auto"/>
        <w:rPr>
          <w:sz w:val="20"/>
          <w:szCs w:val="20"/>
          <w:color w:val="auto"/>
        </w:rPr>
      </w:pPr>
      <w:r>
        <w:rPr>
          <w:rFonts w:ascii="Times New Roman" w:cs="Times New Roman" w:eastAsia="Times New Roman" w:hAnsi="Times New Roman"/>
          <w:sz w:val="16"/>
          <w:szCs w:val="16"/>
          <w:color w:val="auto"/>
        </w:rPr>
        <w:t>Our Content revenues decreased by 16%, to $501.9 million in the nine months ended September 30, 2026, compared to the same period in 2025. On a constant currency basis, content revenue decreased by 16% in the nine months ended September 30, 2026, compared to the same period in 2025. During the nine months ended September 30, 2026, the reduction in our Content revenue was driven primarily by weakness in new customer acquisition.</w:t>
      </w:r>
    </w:p>
    <w:p>
      <w:pPr>
        <w:spacing w:after="0" w:line="80" w:lineRule="exact"/>
        <w:rPr>
          <w:sz w:val="20"/>
          <w:szCs w:val="20"/>
          <w:color w:val="auto"/>
        </w:rPr>
      </w:pPr>
    </w:p>
    <w:p>
      <w:pPr>
        <w:ind w:right="180" w:firstLine="395"/>
        <w:spacing w:after="0" w:line="254" w:lineRule="auto"/>
        <w:rPr>
          <w:sz w:val="20"/>
          <w:szCs w:val="20"/>
          <w:color w:val="auto"/>
        </w:rPr>
      </w:pPr>
      <w:r>
        <w:rPr>
          <w:rFonts w:ascii="Times New Roman" w:cs="Times New Roman" w:eastAsia="Times New Roman" w:hAnsi="Times New Roman"/>
          <w:sz w:val="18"/>
          <w:szCs w:val="18"/>
          <w:color w:val="auto"/>
        </w:rPr>
        <w:t>Our Data, Distribution, and Services revenues decreased by 46%, to $93.0 million in the nine months ended September 30, 2026, compared to the same period in 2025. Foreign currency fluctuations did not have a significant impact on our Data, Distribution, and Services revenues in the nine months</w:t>
      </w:r>
    </w:p>
    <w:p>
      <w:pPr>
        <w:spacing w:after="0" w:line="1"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18"/>
          <w:szCs w:val="18"/>
          <w:color w:val="auto"/>
        </w:rPr>
        <w:t>ended September 30, 2026. The decrease in Data, Distribution, and Services revenues was primarily driven by a decline in our data offering, which decreased by 60% in the nine months ended September 30, 2026 compared to the same period in 2025. Revenue recognition in our data offering may vary from quarter-to-quarter based on the delivery timing of metadata licensed assets.</w:t>
      </w:r>
    </w:p>
    <w:p>
      <w:pPr>
        <w:spacing w:after="0" w:line="83"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decreased by $122.7 million, or 30%, to $288.2 million, revenue from Europe decreased by $21.6 million, or 11%, to $172.6 million and revenue from Rest of World decreased by $30.5 million, or 19%, to $134.1 million, in the nine months ended September 30, 2026, compared to the same period in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by $37.2 million, or 12%, to $272.3 million in the nine months ended September 30,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This decrease was driven by decreased royalty and content costs, costs associated with website hosting, hardware and software licenses, employee related costs, and Giphy Retention Compensation expenses. As a percent of revenue, cost of revenue increased to 46% for the nine months ended September 30, 2026, from 40% for the same period in 2025. This increase was related to AI token usage fees and website hosting costs which do not fluctuate with revenue. We expect that our cost of revenue will continue to fluctuate in line with changes in revenue.</w:t>
      </w:r>
    </w:p>
    <w:p>
      <w:pPr>
        <w:spacing w:after="0" w:line="80"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$29.5 million, or 17%, to $140.3 million in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This decrease was driven by a decrease in brand and performance-based marketing expenses. As a percentage of revenue, sales and marketing expenses increased to 24% for the</w:t>
      </w: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nine months ended September 30, 2026, from 22% for the same period in 2025.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$11.8 million, or 19%, to $51.2 million in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same period in 2025. The decrease in product development was driven by a decrease in employee-related costs offset by increases in software licenses and third-party contractor related costs, net of capitalized labor.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5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$10.8 million, or 7%, to $139.3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same period in 2025. The decrease was driven by decreases in employee-related costs offset by an increase in legal contingencies of $33.6 million.</w:t>
      </w:r>
    </w:p>
    <w:p>
      <w:pPr>
        <w:spacing w:after="0" w:line="72" w:lineRule="exact"/>
        <w:rPr>
          <w:sz w:val="20"/>
          <w:szCs w:val="20"/>
          <w:color w:val="auto"/>
        </w:rPr>
      </w:pPr>
    </w:p>
    <w:p>
      <w:pPr>
        <w:jc w:val="both"/>
        <w:ind w:right="1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Management determined that Getty Image's June 30, 2026 announcement to terminate the Merger Agreement and the suspension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dividends announced on July 22, 2026 resulted in triggering events requiring the performance of quantitative goodwill impairment tests in the second and third quarters of 2026, respectively. The impairment tests resulted in goodwill impairment charges of $377.1 million.</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nine months ended September 30, 2026 and September 30, 2025, we recognized interest expense of $11.2 million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million, respectively related to our credit facility and the amortization of deferred financing fees. Interest expense for the nine months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2026 decreased due to lower interest rates and a lower outstanding principal balance in the nine months ended September 30, 2026 as compared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same period in 2025.</w:t>
      </w:r>
    </w:p>
    <w:p>
      <w:pPr>
        <w:spacing w:after="0" w:line="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In the nine months ended September 30, 2026, other (expense) / income decreased by $44.7 million, or 148%, to</w:t>
      </w:r>
    </w:p>
    <w:p>
      <w:pPr>
        <w:spacing w:after="0" w:line="2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($14.4 million). In the nine months ended September 30, 2026, other (expense) / income, net was driven by $17.9 million of unrealized losses related to our investment in Meitu, Inc. In addition, other income, net had $1.4 million of interest income and $2.1 million of unrealized foreign currency gains. In the nine months ended September 30, 2025, other income, net was primarily driven by $34.1 million of unrealized gains related to our investment in Meitu, Inc. In addition, other income, net had $2.9 million of interest income and $1.7 million of unrealized foreign currency gains. As we increase the volume of business transacted in foreign currencies resulting from international expansion and as currency rates fluctuate, we expect foreign currency gains and losses to continue to fluctuate.</w:t>
      </w:r>
    </w:p>
    <w:p>
      <w:pPr>
        <w:spacing w:after="0" w:line="86" w:lineRule="exact"/>
        <w:rPr>
          <w:sz w:val="20"/>
          <w:szCs w:val="20"/>
          <w:color w:val="auto"/>
        </w:rPr>
      </w:pPr>
    </w:p>
    <w:p>
      <w:pPr>
        <w:jc w:val="both"/>
        <w:ind w:right="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decreased by $43.0 million for the nine months ended September 30, 2026, compared to the same period in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a benefit of 2.3% and an expense of 35.2% for the nine months ended September 30, 2026 and 2025, respectively.</w:t>
      </w:r>
    </w:p>
    <w:p>
      <w:pPr>
        <w:spacing w:after="0" w:line="61" w:lineRule="exact"/>
        <w:rPr>
          <w:sz w:val="20"/>
          <w:szCs w:val="20"/>
          <w:color w:val="auto"/>
        </w:rPr>
      </w:pPr>
    </w:p>
    <w:p>
      <w:pPr>
        <w:jc w:val="both"/>
        <w:ind w:right="20" w:firstLine="39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2026, the net effect of discrete items decreased the effective tax rate by 38.9%. The discrete items for the nine months ended September 30, 2026, primarily relate to the book goodwill impairment, which is non-deductible for tax purposes, partially offset by shortfalls on equity award vestings and prior-years tax return finalization. Excluding discrete items, our effective tax rate would have been 41.2% for the nine months ended September 30, 2026.</w:t>
      </w:r>
    </w:p>
    <w:p>
      <w:pPr>
        <w:spacing w:after="0" w:line="78"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For the nine months ended September 30, 2025, the net effect of discrete items decreased the effective tax rate by 9.6%. The discrete items for the nine months ended September 30, 2025 primarily relate to a decrease in the valuation allowance and a release of an uncertain tax position, partially offset by shortfalls on equity award vestings. Excluding discrete items, our effective tax rate would have been 44.8% for the nine months ended September 30, 2025.</w:t>
      </w:r>
    </w:p>
    <w:p>
      <w:pPr>
        <w:spacing w:after="0" w:line="40"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w:t>
      </w:r>
    </w:p>
    <w:p>
      <w:pPr>
        <w:spacing w:after="0" w:line="90" w:lineRule="exact"/>
        <w:rPr>
          <w:sz w:val="20"/>
          <w:szCs w:val="20"/>
          <w:color w:val="auto"/>
        </w:rPr>
      </w:pPr>
    </w:p>
    <w:p>
      <w:pPr>
        <w:jc w:val="both"/>
        <w:ind w:right="20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2026, we had cash and cash equivalents totaling $110.5 million which consisted primarily of bank deposits. Since inception, we have financed our operations primarily through cash flows generated from operations. In addition, if necessary, we have the ability to draw on our A&amp;R Credit Agreement.</w:t>
      </w:r>
    </w:p>
    <w:p>
      <w:pPr>
        <w:spacing w:after="0" w:line="75"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w:t>
      </w:r>
      <w:r>
        <w:rPr>
          <w:rFonts w:ascii="Times New Roman" w:cs="Times New Roman" w:eastAsia="Times New Roman" w:hAnsi="Times New Roman"/>
          <w:sz w:val="18"/>
          <w:szCs w:val="18"/>
          <w:color w:val="242424"/>
        </w:rPr>
        <w:t>n, cash dividend payments,</w:t>
      </w:r>
      <w:r>
        <w:rPr>
          <w:rFonts w:ascii="Times New Roman" w:cs="Times New Roman" w:eastAsia="Times New Roman" w:hAnsi="Times New Roman"/>
          <w:sz w:val="18"/>
          <w:szCs w:val="18"/>
          <w:color w:val="auto"/>
        </w:rPr>
        <w:t xml:space="preserve">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declared and paid cash dividends of $0.72 per share of common stock, or $26.0 million during the nine months ended September 30, 2026. On July 22, 2026, the Board of Directors suspended the payment of the quarterly dividend.</w:t>
      </w:r>
    </w:p>
    <w:p>
      <w:pPr>
        <w:spacing w:after="0" w:line="64"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“Share Repurchase Program”), providing authorization to repurchase up to $100 million of our common stock.</w:t>
      </w:r>
    </w:p>
    <w:p>
      <w:pPr>
        <w:spacing w:after="0" w:line="64" w:lineRule="exact"/>
        <w:rPr>
          <w:sz w:val="20"/>
          <w:szCs w:val="20"/>
          <w:color w:val="auto"/>
        </w:rPr>
      </w:pPr>
    </w:p>
    <w:p>
      <w:pPr>
        <w:ind w:right="24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2026, we have repurchased approximately 5.5 million shares of our common stock in total since 2015 under the Share repurchase programs (including the 2015 and 2017 Share Repurchase Programs and the 2023 Share Repurchase Program) at an average per-share cost of $48.86. During the three and nine months ended September 30, 2026 and 2025, we did not repurchase shares of our common stock. As of September 30, 2026, we had $30.2 million of remaining authorization for repurchases under the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44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of our direct and indirect subsidiaries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91"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During the third quarter of 2026, the Company repaid $30.0 million of outstanding principal on the Revolver. The repayment was funded using cash generated from operations. As of September 30, 2026, we had a remaining borrowing capacity of $123.7 million, net of standby letters of credit.</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September 30, 2026,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155,000</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116,639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recognized interest expense of $3.6 million and $11.2 million, respectively. As of September 30, 2026, unamortized debt issuance cost related to the Term Loan - A&amp;R Credit Agreement is $0.4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2026, we had approximately $138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September 30, 2026, we had approximately $24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15 to our Unaudited Consolidated Financial Statements included in Part I, Item 1 of this Quarterly Report on Form 10-Q for information regarding our existing capital commitments as of September 30,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2026 and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060" w:type="dxa"/>
            <w:vAlign w:val="bottom"/>
            <w:gridSpan w:val="5"/>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8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36,242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130,473</w:t>
            </w: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(31,075)</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(37,438)</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(68,245)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98"/>
              </w:rPr>
              <w:t>(46,271)</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$36.2 million for the nine months ended September 30, 2026, compared to $130.5 million for the nine months ended September 30, 2025. The decline in cash flows for the nine months ended September 30, 2026, compared to the prior year, is primarily attributed to the year-over-year decline in revenue.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2026 was $31.1 million, consisting primarily of (i) capital expenditures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$31.5 million for internal-use software and website development costs and purchases of software and equipment; and (ii) $0.6 million paid to acquire the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distribute certain digital content into perpetuity. These cash outflows were partially offset by $0.6 million of Giphy Retention Compensation, as reimbursed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Giphy seller.</w:t>
      </w:r>
    </w:p>
    <w:p>
      <w:pPr>
        <w:spacing w:after="0" w:line="91"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2025 was $37.4 million, consisting primarily of (i) capital expenditures of $32.5 million for internal-use software and website development costs and purchases of software and equipment; and (ii) $6.1 million paid to acquire the rights to distribute certain digital content in perpetuity. These cash outflows were partially offset by $1.2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2026 was $68.2 million, consisting of (i) $26.0 million related to the payment of quarterly cash dividends; (ii) $10.7 million paid in the settlement of tax withholding obligations related to employee stock-based compensation awards; and (ii) $31.6 million used for the repayment of our A&amp;R Credit Agreement.</w:t>
      </w:r>
    </w:p>
    <w:p>
      <w:pPr>
        <w:spacing w:after="0" w:line="75"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2025 was $46.3 million, consisting of (i) $34.8 million related to the payment of quarterly cash dividends; (ii) $9.1 million paid in the settlement of tax withholding obligations related to employee stock-based compensation awards; and (iii) $2.3 million used for the repayment of our A&amp;R Credit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 (decline)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16,738</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36,429</w:t>
            </w:r>
          </w:p>
        </w:tc>
        <w:tc>
          <w:tcPr>
            <w:tcW w:w="8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67,490</w:t>
            </w:r>
          </w:p>
        </w:tc>
        <w:tc>
          <w:tcPr>
            <w:tcW w:w="8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115,592</w:t>
            </w:r>
          </w:p>
        </w:tc>
      </w:tr>
      <w:tr>
        <w:trPr>
          <w:trHeight w:val="22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41,811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79,429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149,615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225,028</w:t>
            </w: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12,503</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75,224</w:t>
            </w:r>
          </w:p>
        </w:tc>
        <w:tc>
          <w:tcPr>
            <w:tcW w:w="8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54,111</w:t>
            </w:r>
          </w:p>
        </w:tc>
        <w:tc>
          <w:tcPr>
            <w:tcW w:w="8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116,106</w:t>
            </w:r>
          </w:p>
        </w:tc>
      </w:tr>
      <w:tr>
        <w:trPr>
          <w:trHeight w:val="22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(decline) / growth on a constant currency basis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78"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 (decline)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 (decline)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25"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6"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 (decline) (including by product offering) on a constant currency basis (expressed as a percentage) and adjusted free cash flow, as well as a reconciliation of the differences between each of our non-GAAP financial measures (adjusted EBITDA, adjusted net income, revenue growth / (decline)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8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legal contingencies, goodwill impairment and related tax effects, Giphy Retention Compensation Expense - non-recurring, unrealized gains and losses on investments, strategic advisory fees, severance costs associated with strategic workforce optimizations, costs incurred associated with the Merger, and the estimated tax impact of such adjustments. We define adjusted net income per diluted common share as adjusted net income divided by weighted average diluted shares.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87"/>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61,515</w:t>
            </w:r>
          </w:p>
        </w:tc>
      </w:tr>
      <w:tr>
        <w:trPr>
          <w:trHeight w:val="22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46,471</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(10,921)</w:t>
            </w:r>
          </w:p>
        </w:tc>
      </w:tr>
      <w:tr>
        <w:trPr>
          <w:trHeight w:val="224"/>
        </w:trPr>
        <w:tc>
          <w:tcPr>
            <w:tcW w:w="53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28,908</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 (gain) on investment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w:t>
            </w:r>
          </w:p>
        </w:tc>
      </w:tr>
      <w:tr>
        <w:trPr>
          <w:trHeight w:val="221"/>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long-term investment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Strategic advisory fees and 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Strategic advisory fees and other</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goodwill impairment</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workforce optimization - severance</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27,654</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Tax effect of Merger related costs</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contingency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40" w:type="dxa"/>
            <w:vAlign w:val="bottom"/>
          </w:tcPr>
          <w:p>
            <w:pPr>
              <w:ind w:left="140"/>
              <w:spacing w:after="0" w:line="224" w:lineRule="exact"/>
              <w:rPr>
                <w:sz w:val="20"/>
                <w:szCs w:val="20"/>
                <w:color w:val="auto"/>
              </w:rPr>
            </w:pPr>
            <w:r>
              <w:rPr>
                <w:rFonts w:ascii="Times New Roman" w:cs="Times New Roman" w:eastAsia="Times New Roman" w:hAnsi="Times New Roman"/>
                <w:sz w:val="16"/>
                <w:szCs w:val="16"/>
                <w:color w:val="auto"/>
              </w:rPr>
              <w:t xml:space="preserve">Tax effect of legal contingency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5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 per diluted common share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2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65"/>
        </w:trPr>
        <w:tc>
          <w:tcPr>
            <w:tcW w:w="5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35,979</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2" w:lineRule="exact"/>
        <w:rPr>
          <w:rFonts w:ascii="Times New Roman" w:cs="Times New Roman" w:eastAsia="Times New Roman" w:hAnsi="Times New Roman"/>
          <w:sz w:val="14"/>
          <w:szCs w:val="14"/>
          <w:color w:val="auto"/>
        </w:rPr>
      </w:pPr>
    </w:p>
    <w:p>
      <w:pPr>
        <w:ind w:left="320" w:right="360" w:hanging="315"/>
        <w:spacing w:after="0" w:line="263" w:lineRule="auto"/>
        <w:tabs>
          <w:tab w:leader="none" w:pos="3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$8.6 million and $8.9 million are included in cost of revenue for the three months ended September 30, 2026 and 2025, respectively. The remainder of acquisition-related amortization expense is included in general and administrative expense in the Statement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Giphy Retention Compensation Expense - non-recurring, costs incurred associated with the Merger, foreign currency transaction gains and losses, severance costs associated with strategic workforce optimizations, legal contingencies, goodwill impairment, unrealized gains and losses on investments, strategic advisory fees and other, interest income and expense and income taxes. We define adjusted EBITDA margin as the ratio of adjusted EBITDA to revenue.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6"/>
        </w:trPr>
        <w:tc>
          <w:tcPr>
            <w:tcW w:w="5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(197,752)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(401,259)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61,515</w:t>
            </w:r>
          </w:p>
        </w:tc>
      </w:tr>
      <w:tr>
        <w:trPr>
          <w:trHeight w:val="221"/>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12,748</w:t>
            </w: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9"/>
                <w:szCs w:val="19"/>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(2,881)</w:t>
            </w: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33,437</w:t>
            </w:r>
          </w:p>
        </w:tc>
      </w:tr>
      <w:tr>
        <w:trPr>
          <w:trHeight w:val="221"/>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21,786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22,877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66,906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68,159</w:t>
            </w: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(175,288)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57,637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(334,162)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172,978</w:t>
            </w: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12,962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46,471</w:t>
            </w: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1,219</w:t>
            </w: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27,654</w:t>
            </w: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260" w:type="dxa"/>
            <w:vAlign w:val="bottom"/>
          </w:tcPr>
          <w:p>
            <w:pPr>
              <w:spacing w:after="0"/>
              <w:rPr>
                <w:sz w:val="19"/>
                <w:szCs w:val="19"/>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1,733</w:t>
            </w: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242424"/>
              </w:rPr>
              <w:t>Unrealized loss / (gain) on investment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(2,840)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(34,129)</w:t>
            </w: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242424"/>
              </w:rPr>
              <w:t>Legal contingency</w:t>
            </w:r>
          </w:p>
        </w:tc>
        <w:tc>
          <w:tcPr>
            <w:tcW w:w="260" w:type="dxa"/>
            <w:vAlign w:val="bottom"/>
          </w:tcPr>
          <w:p>
            <w:pPr>
              <w:spacing w:after="0"/>
              <w:rPr>
                <w:sz w:val="19"/>
                <w:szCs w:val="19"/>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33,600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4,102</w:t>
            </w: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9"/>
                <w:szCs w:val="19"/>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203,323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377,061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Strategic advisory fees and other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41,811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79,429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149,615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225,028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1"/>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173,898</w:t>
            </w:r>
          </w:p>
        </w:tc>
        <w:tc>
          <w:tcPr>
            <w:tcW w:w="120" w:type="dxa"/>
            <w:vAlign w:val="bottom"/>
          </w:tcPr>
          <w:p>
            <w:pPr>
              <w:spacing w:after="0"/>
              <w:rPr>
                <w:sz w:val="19"/>
                <w:szCs w:val="19"/>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769,704</w:t>
            </w: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 income margin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 (Decline) (including by product offering) on a Constant Currency Basis</w:t>
      </w:r>
    </w:p>
    <w:p>
      <w:pPr>
        <w:spacing w:after="0" w:line="163"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173,898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260,094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769,704</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(decline) / growth</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(decline) / growth on a constant currency basis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158,075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194,426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501,864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597,110</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(decline) / growth</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(decline) / growth on a constant currency basis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15,823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93,005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172,594</w:t>
            </w:r>
          </w:p>
        </w:tc>
        <w:tc>
          <w:tcPr>
            <w:tcW w:w="0" w:type="dxa"/>
            <w:vAlign w:val="bottom"/>
          </w:tcPr>
          <w:p>
            <w:pPr>
              <w:spacing w:after="0"/>
              <w:rPr>
                <w:sz w:val="1"/>
                <w:szCs w:val="1"/>
                <w:color w:val="auto"/>
              </w:rPr>
            </w:pPr>
          </w:p>
        </w:tc>
      </w:tr>
      <w:tr>
        <w:trPr>
          <w:trHeight w:val="221"/>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(decline) / growth</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0" w:type="dxa"/>
            <w:vAlign w:val="bottom"/>
          </w:tcPr>
          <w:p>
            <w:pPr>
              <w:spacing w:after="0"/>
              <w:rPr>
                <w:sz w:val="1"/>
                <w:szCs w:val="1"/>
                <w:color w:val="auto"/>
              </w:rPr>
            </w:pPr>
          </w:p>
        </w:tc>
      </w:tr>
      <w:tr>
        <w:trPr>
          <w:trHeight w:val="173"/>
        </w:trPr>
        <w:tc>
          <w:tcPr>
            <w:tcW w:w="504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6"/>
                <w:szCs w:val="16"/>
                <w:i w:val="1"/>
                <w:iCs w:val="1"/>
                <w:color w:val="auto"/>
              </w:rPr>
              <w:t>Data, Distribution, and Services revenue (decline) / growth on a constant</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currency basis</w:t>
            </w: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332" w:lineRule="auto"/>
        <w:rPr>
          <w:sz w:val="20"/>
          <w:szCs w:val="20"/>
          <w:color w:val="auto"/>
        </w:rPr>
      </w:pPr>
      <w:r>
        <w:rPr>
          <w:rFonts w:ascii="Times New Roman" w:cs="Times New Roman" w:eastAsia="Times New Roman" w:hAnsi="Times New Roman"/>
          <w:sz w:val="16"/>
          <w:szCs w:val="16"/>
          <w:color w:val="auto"/>
        </w:rPr>
        <w:t>We define adjusted free cash flow as our net cash provided by operating activities, adjusted for capital expenditures, content acquisition, cash received related to Giphy Retention Compensation in connection with the acquisition of Giphy, cash paid for legal settlements and Merger related costs.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0"/>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78,390</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130,473</w:t>
            </w: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(37,438)</w:t>
            </w: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(29,803)</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(16,572)</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(46,271)</w:t>
            </w:r>
          </w:p>
        </w:tc>
      </w:tr>
      <w:tr>
        <w:trPr>
          <w:trHeight w:val="265"/>
        </w:trPr>
        <w:tc>
          <w:tcPr>
            <w:tcW w:w="5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130,473</w:t>
            </w: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r>
      <w:tr>
        <w:trPr>
          <w:trHeight w:val="221"/>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2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Legal contingency settlement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Merger related costs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23,068</w:t>
            </w: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29% and 24% for the nine months ended September 30, 2026 and 2025,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2026,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gridSpan w:val="10"/>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gridSpan w:val="9"/>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0" w:type="dxa"/>
            <w:vAlign w:val="bottom"/>
          </w:tcPr>
          <w:p>
            <w:pPr>
              <w:spacing w:after="0"/>
              <w:rPr>
                <w:sz w:val="16"/>
                <w:szCs w:val="16"/>
                <w:color w:val="auto"/>
              </w:rPr>
            </w:pPr>
          </w:p>
        </w:tc>
      </w:tr>
      <w:tr>
        <w:trPr>
          <w:trHeight w:val="24"/>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2026</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2026</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r>
      <w:tr>
        <w:trPr>
          <w:trHeight w:val="132"/>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90"/>
              <w:spacing w:after="0" w:line="132"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21"/>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25,267</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101,325</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107,885</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98,166</w:t>
            </w:r>
          </w:p>
        </w:tc>
      </w:tr>
      <w:tr>
        <w:trPr>
          <w:trHeight w:val="22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8,999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32,227</w:t>
            </w:r>
          </w:p>
        </w:tc>
      </w:tr>
      <w:tr>
        <w:trPr>
          <w:trHeight w:val="224"/>
        </w:trPr>
        <w:tc>
          <w:tcPr>
            <w:tcW w:w="324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202,647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581,881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44"/>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260,094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769,704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September 30,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evaluated the effectiveness of our disclosure controls and procedures as of September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Item 1 of Part I, “Financial Statements — Note 15 — Commitments and Contingencies — Legal Matters.”</w:t>
      </w:r>
    </w:p>
    <w:p>
      <w:pPr>
        <w:spacing w:after="0" w:line="3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28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2025 Form 10-K, which could materially affect our business, financial condition or future results. During the three months ended September 30, 2026, there were no material changes to these risk factors as described in our 2025 Form 10-K.</w:t>
      </w:r>
    </w:p>
    <w:p>
      <w:pPr>
        <w:spacing w:after="0" w:line="2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right="60" w:firstLine="400"/>
        <w:spacing w:after="0" w:line="256" w:lineRule="auto"/>
        <w:tabs>
          <w:tab w:leader="none" w:pos="6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16, 2026, Steven Ciardiello notified the Company of his decision to resign as Chief Accounting Officer of the Company, effective August 28, 2026 following a transition period. On November 2, 2026, the Company appointed Rik Powell, the Company’s former Interim Chief Executive Officer and Chief Financial Officer, to serve as the Company’s Principal Accounting Officer.</w:t>
      </w:r>
    </w:p>
    <w:p>
      <w:pPr>
        <w:spacing w:after="0" w:line="206" w:lineRule="exact"/>
        <w:rPr>
          <w:sz w:val="20"/>
          <w:szCs w:val="20"/>
          <w:color w:val="auto"/>
        </w:rPr>
      </w:pPr>
    </w:p>
    <w:p>
      <w:pPr>
        <w:ind w:firstLine="632"/>
        <w:spacing w:after="0" w:line="238" w:lineRule="auto"/>
        <w:rPr>
          <w:sz w:val="20"/>
          <w:szCs w:val="20"/>
          <w:color w:val="auto"/>
        </w:rPr>
      </w:pPr>
      <w:r>
        <w:rPr>
          <w:rFonts w:ascii="Times New Roman" w:cs="Times New Roman" w:eastAsia="Times New Roman" w:hAnsi="Times New Roman"/>
          <w:sz w:val="18"/>
          <w:szCs w:val="18"/>
          <w:color w:val="auto"/>
        </w:rPr>
        <w:t>Mr. Powell, age 54, served as the Company’s Chief Financial Officer from November 2024 to November 2026 and served as the Company’s Interim Chief Executive Officer from July 2026 to October 2026. From June 2024 to October 2024, Mr. Powell served as the Company’s Senior Vice President, Finance and Investor Relations. Prior to joining the Company, Mr. Powell was Senior Vice President, Finance 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Powell held various finance roles at Dell Computer Corporation and HP Inc. and started his career at Grant Thornton LLP. Mr. Powell is from Oxford in the United Kingdom and has been a Fellow of the UK Chartered Association of Certified Accountants for a number of years.</w:t>
      </w:r>
    </w:p>
    <w:p>
      <w:pPr>
        <w:spacing w:after="0" w:line="22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There are no arrangements or understandings between Mr. Powell and any other person pursuant to which he was appointed to serve as the Principal Accounting Officer. Mr. Powell has no direct or indirect material interest in any transaction required to be disclosed pursuant to Item 404(a) of Regulation S-K, and Mr. Powell has no family relationships with any director or executive officer of the Company.</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7" w:lineRule="exact"/>
        <w:rPr>
          <w:sz w:val="20"/>
          <w:szCs w:val="20"/>
          <w:color w:val="auto"/>
        </w:rPr>
      </w:pPr>
    </w:p>
    <w:p>
      <w:pPr>
        <w:ind w:right="260" w:firstLine="395"/>
        <w:spacing w:after="0" w:line="235" w:lineRule="auto"/>
        <w:rPr>
          <w:sz w:val="20"/>
          <w:szCs w:val="20"/>
          <w:color w:val="auto"/>
        </w:rPr>
      </w:pPr>
      <w:r>
        <w:rPr>
          <w:rFonts w:ascii="Times New Roman" w:cs="Times New Roman" w:eastAsia="Times New Roman" w:hAnsi="Times New Roman"/>
          <w:sz w:val="18"/>
          <w:szCs w:val="18"/>
          <w:color w:val="auto"/>
        </w:rPr>
        <w:t>During the quarter ended September 30, 2026,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ind w:left="1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360" w:type="dxa"/>
            <w:vAlign w:val="bottom"/>
            <w:gridSpan w:val="8"/>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4"/>
        </w:trPr>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8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8"/>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w:t>
            </w:r>
          </w:p>
        </w:tc>
        <w:tc>
          <w:tcPr>
            <w:tcW w:w="10100" w:type="dxa"/>
            <w:vAlign w:val="bottom"/>
            <w:gridSpan w:val="12"/>
          </w:tcPr>
          <w:p>
            <w:pPr>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Employment Letter for Rik Powell as Interim Chief Executive Officer (incorporated by reference to Exhibit 10.1 to Form 8-K filed on July 13, 2026 (File No.</w:t>
              </w:r>
            </w:hyperlink>
          </w:p>
        </w:tc>
      </w:tr>
      <w:tr>
        <w:trPr>
          <w:trHeight w:val="138"/>
        </w:trPr>
        <w:tc>
          <w:tcPr>
            <w:tcW w:w="800" w:type="dxa"/>
            <w:vAlign w:val="bottom"/>
          </w:tcPr>
          <w:p>
            <w:pPr>
              <w:spacing w:after="0"/>
              <w:rPr>
                <w:sz w:val="11"/>
                <w:szCs w:val="11"/>
                <w:color w:val="auto"/>
              </w:rPr>
            </w:pPr>
          </w:p>
        </w:tc>
        <w:tc>
          <w:tcPr>
            <w:tcW w:w="800" w:type="dxa"/>
            <w:vAlign w:val="bottom"/>
            <w:tcBorders>
              <w:top w:val="single" w:sz="8" w:color="0000FF"/>
              <w:bottom w:val="single" w:sz="8" w:color="0000FF"/>
            </w:tcBorders>
            <w:gridSpan w:val="2"/>
          </w:tcPr>
          <w:p>
            <w:pPr>
              <w:spacing w:after="0" w:line="138"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001-35669))</w:t>
              </w:r>
            </w:hyperlink>
          </w:p>
        </w:tc>
        <w:tc>
          <w:tcPr>
            <w:tcW w:w="10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52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77"/>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10.2§</w:t>
            </w:r>
          </w:p>
        </w:tc>
        <w:tc>
          <w:tcPr>
            <w:tcW w:w="10100" w:type="dxa"/>
            <w:vAlign w:val="bottom"/>
            <w:gridSpan w:val="12"/>
          </w:tcPr>
          <w:p>
            <w:pPr>
              <w:spacing w:after="0"/>
              <w:rPr>
                <w:rFonts w:ascii="Times New Roman" w:cs="Times New Roman" w:eastAsia="Times New Roman" w:hAnsi="Times New Roman"/>
                <w:sz w:val="16"/>
                <w:szCs w:val="16"/>
                <w:color w:val="0000FF"/>
                <w:w w:val="98"/>
              </w:rPr>
            </w:pPr>
            <w:hyperlink r:id="rId60">
              <w:r>
                <w:rPr>
                  <w:rFonts w:ascii="Times New Roman" w:cs="Times New Roman" w:eastAsia="Times New Roman" w:hAnsi="Times New Roman"/>
                  <w:sz w:val="16"/>
                  <w:szCs w:val="16"/>
                  <w:color w:val="0000FF"/>
                  <w:w w:val="98"/>
                </w:rPr>
                <w:t>Employment Acknowledgement Agreement, by and between the Company and Jonathan Oringer, dated October 28, 2026 (incorporated by reference to Exhibit</w:t>
              </w:r>
            </w:hyperlink>
          </w:p>
        </w:tc>
      </w:tr>
      <w:tr>
        <w:trPr>
          <w:trHeight w:val="138"/>
        </w:trPr>
        <w:tc>
          <w:tcPr>
            <w:tcW w:w="80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w:t>
              </w:r>
              <w:r>
                <w:rPr>
                  <w:rFonts w:ascii="Times New Roman" w:cs="Times New Roman" w:eastAsia="Times New Roman" w:hAnsi="Times New Roman"/>
                  <w:sz w:val="15"/>
                  <w:szCs w:val="15"/>
                  <w:color w:val="0000FF"/>
                </w:rPr>
                <w:t xml:space="preserve"> to Form 8-K filed on October 29, 2026 (File No. 001-35669))</w:t>
              </w:r>
            </w:hyperlink>
          </w:p>
        </w:tc>
        <w:tc>
          <w:tcPr>
            <w:tcW w:w="586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r>
      <w:tr>
        <w:trPr>
          <w:trHeight w:val="20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10.3§</w:t>
            </w:r>
          </w:p>
        </w:tc>
        <w:tc>
          <w:tcPr>
            <w:tcW w:w="10100" w:type="dxa"/>
            <w:vAlign w:val="bottom"/>
            <w:gridSpan w:val="12"/>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Executive Contract, by and between Envato Pty Ltd. and Hichame Assi, dated October 29, 2026 (incorporated by reference to Exhibit 10.2 to Form 8-K filed</w:t>
              </w:r>
            </w:hyperlink>
          </w:p>
        </w:tc>
      </w:tr>
      <w:tr>
        <w:trPr>
          <w:trHeight w:val="138"/>
        </w:trPr>
        <w:tc>
          <w:tcPr>
            <w:tcW w:w="800" w:type="dxa"/>
            <w:vAlign w:val="bottom"/>
          </w:tcPr>
          <w:p>
            <w:pPr>
              <w:spacing w:after="0"/>
              <w:rPr>
                <w:sz w:val="11"/>
                <w:szCs w:val="11"/>
                <w:color w:val="auto"/>
              </w:rPr>
            </w:pPr>
          </w:p>
        </w:tc>
        <w:tc>
          <w:tcPr>
            <w:tcW w:w="2740" w:type="dxa"/>
            <w:vAlign w:val="bottom"/>
            <w:tcBorders>
              <w:top w:val="single" w:sz="8" w:color="0000FF"/>
              <w:bottom w:val="single" w:sz="8" w:color="0000FF"/>
            </w:tcBorders>
            <w:gridSpan w:val="4"/>
          </w:tcPr>
          <w:p>
            <w:pPr>
              <w:spacing w:after="0" w:line="138"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on October 29, 2026 (File No. 001-35669))</w:t>
              </w:r>
            </w:hyperlink>
          </w:p>
        </w:tc>
        <w:tc>
          <w:tcPr>
            <w:tcW w:w="7200" w:type="dxa"/>
            <w:vAlign w:val="bottom"/>
            <w:tcBorders>
              <w:top w:val="single" w:sz="8" w:color="0000FF"/>
            </w:tcBorders>
            <w:gridSpan w:val="5"/>
          </w:tcPr>
          <w:p>
            <w:pPr>
              <w:spacing w:after="0"/>
              <w:rPr>
                <w:sz w:val="11"/>
                <w:szCs w:val="11"/>
                <w:color w:val="auto"/>
              </w:rPr>
            </w:pPr>
          </w:p>
        </w:tc>
        <w:tc>
          <w:tcPr>
            <w:tcW w:w="160" w:type="dxa"/>
            <w:vAlign w:val="bottom"/>
            <w:gridSpan w:val="3"/>
          </w:tcPr>
          <w:p>
            <w:pPr>
              <w:spacing w:after="0"/>
              <w:rPr>
                <w:sz w:val="11"/>
                <w:szCs w:val="11"/>
                <w:color w:val="auto"/>
              </w:rPr>
            </w:pPr>
          </w:p>
        </w:tc>
      </w:tr>
      <w:tr>
        <w:trPr>
          <w:trHeight w:val="20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31.1#</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7"/>
          </w:tcPr>
          <w:p>
            <w:pPr>
              <w:spacing w:after="0"/>
              <w:rPr>
                <w:sz w:val="11"/>
                <w:szCs w:val="11"/>
                <w:color w:val="auto"/>
              </w:rPr>
            </w:pPr>
          </w:p>
        </w:tc>
        <w:tc>
          <w:tcPr>
            <w:tcW w:w="180" w:type="dxa"/>
            <w:vAlign w:val="bottom"/>
            <w:gridSpan w:val="4"/>
          </w:tcPr>
          <w:p>
            <w:pPr>
              <w:spacing w:after="0"/>
              <w:rPr>
                <w:sz w:val="11"/>
                <w:szCs w:val="11"/>
                <w:color w:val="auto"/>
              </w:rPr>
            </w:pPr>
          </w:p>
        </w:tc>
      </w:tr>
      <w:tr>
        <w:trPr>
          <w:trHeight w:val="20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31.2#</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6"/>
          </w:tcPr>
          <w:p>
            <w:pPr>
              <w:spacing w:after="0"/>
              <w:rPr>
                <w:sz w:val="11"/>
                <w:szCs w:val="11"/>
                <w:color w:val="auto"/>
              </w:rPr>
            </w:pPr>
          </w:p>
        </w:tc>
        <w:tc>
          <w:tcPr>
            <w:tcW w:w="220" w:type="dxa"/>
            <w:vAlign w:val="bottom"/>
            <w:gridSpan w:val="5"/>
          </w:tcPr>
          <w:p>
            <w:pPr>
              <w:spacing w:after="0"/>
              <w:rPr>
                <w:sz w:val="11"/>
                <w:szCs w:val="11"/>
                <w:color w:val="auto"/>
              </w:rPr>
            </w:pPr>
          </w:p>
        </w:tc>
      </w:tr>
      <w:tr>
        <w:trPr>
          <w:trHeight w:val="20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32.1#</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Chief Financial Officer pursuant to 18 U.S.C. Section 1350, as adopted pursuant to Section 906 of the</w:t>
            </w:r>
          </w:p>
        </w:tc>
      </w:tr>
      <w:tr>
        <w:trPr>
          <w:trHeight w:val="138"/>
        </w:trPr>
        <w:tc>
          <w:tcPr>
            <w:tcW w:w="800" w:type="dxa"/>
            <w:vAlign w:val="bottom"/>
          </w:tcPr>
          <w:p>
            <w:pPr>
              <w:spacing w:after="0"/>
              <w:rPr>
                <w:sz w:val="11"/>
                <w:szCs w:val="11"/>
                <w:color w:val="auto"/>
              </w:rPr>
            </w:pPr>
          </w:p>
        </w:tc>
        <w:tc>
          <w:tcPr>
            <w:tcW w:w="950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Sarbanes-Oxley Act of 2002</w:t>
            </w:r>
          </w:p>
        </w:tc>
        <w:tc>
          <w:tcPr>
            <w:tcW w:w="600" w:type="dxa"/>
            <w:vAlign w:val="bottom"/>
            <w:gridSpan w:val="6"/>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r>
      <w:tr>
        <w:trPr>
          <w:trHeight w:val="770"/>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 XBRL</w:t>
            </w:r>
          </w:p>
        </w:tc>
      </w:tr>
      <w:tr>
        <w:trPr>
          <w:trHeight w:val="207"/>
        </w:trPr>
        <w:tc>
          <w:tcPr>
            <w:tcW w:w="800" w:type="dxa"/>
            <w:vAlign w:val="bottom"/>
          </w:tcPr>
          <w:p>
            <w:pPr>
              <w:spacing w:after="0"/>
              <w:rPr>
                <w:sz w:val="17"/>
                <w:szCs w:val="17"/>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23"/>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2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2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2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24"/>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17" w:lineRule="exact"/>
        <w:rPr>
          <w:sz w:val="20"/>
          <w:szCs w:val="20"/>
          <w:color w:val="auto"/>
        </w:rPr>
      </w:pPr>
    </w:p>
    <w:p>
      <w:pPr>
        <w:ind w:left="800" w:hanging="375"/>
        <w:spacing w:after="0"/>
        <w:tabs>
          <w:tab w:leader="none" w:pos="8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560" w:top="121" w:right="45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292"/>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5, 2026</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Scott Grossman</w:t>
            </w:r>
          </w:p>
        </w:tc>
      </w:tr>
      <w:tr>
        <w:trPr>
          <w:trHeight w:val="215"/>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Scott Grossman</w:t>
            </w:r>
          </w:p>
        </w:tc>
      </w:tr>
      <w:tr>
        <w:trPr>
          <w:trHeight w:val="224"/>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24"/>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22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5, 2026</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Rik Powell</w:t>
            </w:r>
          </w:p>
        </w:tc>
      </w:tr>
      <w:tr>
        <w:trPr>
          <w:trHeight w:val="215"/>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24"/>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r>
        <w:trPr>
          <w:trHeight w:val="224"/>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21"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7"/>
          <w:szCs w:val="17"/>
          <w:color w:val="auto"/>
        </w:rPr>
        <w:t>Jonathan Oringer</w:t>
      </w:r>
      <w:r>
        <w:rPr>
          <w:rFonts w:ascii="Times New Roman" w:cs="Times New Roman" w:eastAsia="Times New Roman" w:hAnsi="Times New Roman"/>
          <w:sz w:val="16"/>
          <w:szCs w:val="16"/>
          <w:color w:val="auto"/>
        </w:rPr>
        <w:t>, certify that:</w:t>
      </w:r>
    </w:p>
    <w:p>
      <w:pPr>
        <w:spacing w:after="0" w:line="217" w:lineRule="exact"/>
        <w:rPr>
          <w:sz w:val="20"/>
          <w:szCs w:val="20"/>
          <w:color w:val="auto"/>
        </w:rPr>
      </w:pPr>
    </w:p>
    <w:p>
      <w:pPr>
        <w:ind w:left="840" w:hanging="519"/>
        <w:spacing w:after="0"/>
        <w:tabs>
          <w:tab w:leader="none" w:pos="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03" w:lineRule="auto"/>
        <w:tabs>
          <w:tab w:leader="none" w:pos="83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55" w:lineRule="auto"/>
        <w:tabs>
          <w:tab w:leader="none" w:pos="1153"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6"/>
          <w:szCs w:val="16"/>
          <w:color w:val="auto"/>
        </w:rPr>
      </w:pPr>
    </w:p>
    <w:p>
      <w:pPr>
        <w:ind w:left="640" w:right="320" w:hanging="3"/>
        <w:spacing w:after="0" w:line="287" w:lineRule="auto"/>
        <w:tabs>
          <w:tab w:leader="none" w:pos="114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320" w:right="380" w:firstLine="1"/>
        <w:spacing w:after="0" w:line="269" w:lineRule="auto"/>
        <w:tabs>
          <w:tab w:leader="none" w:pos="8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16"/>
          <w:szCs w:val="16"/>
          <w:color w:val="auto"/>
        </w:rPr>
      </w:pPr>
    </w:p>
    <w:p>
      <w:pPr>
        <w:ind w:left="640" w:right="500" w:hanging="3"/>
        <w:spacing w:after="0" w:line="269" w:lineRule="auto"/>
        <w:tabs>
          <w:tab w:leader="none" w:pos="113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640" w:right="100" w:hanging="3"/>
        <w:spacing w:after="0" w:line="287" w:lineRule="auto"/>
        <w:tabs>
          <w:tab w:leader="none" w:pos="1145"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3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Jonathan Oringer</w:t>
      </w:r>
    </w:p>
    <w:p>
      <w:pPr>
        <w:spacing w:after="0" w:line="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Scott Grossman, certify that:</w:t>
      </w:r>
    </w:p>
    <w:p>
      <w:pPr>
        <w:spacing w:after="0" w:line="198" w:lineRule="exact"/>
        <w:rPr>
          <w:sz w:val="20"/>
          <w:szCs w:val="20"/>
          <w:color w:val="auto"/>
        </w:rPr>
      </w:pPr>
    </w:p>
    <w:p>
      <w:pPr>
        <w:ind w:left="840" w:hanging="519"/>
        <w:spacing w:after="0"/>
        <w:tabs>
          <w:tab w:leader="none" w:pos="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November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Scott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3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Scott Grossman</w:t>
      </w:r>
    </w:p>
    <w:p>
      <w:pPr>
        <w:spacing w:after="0" w:line="4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6"/>
          <w:szCs w:val="16"/>
          <w:color w:val="auto"/>
        </w:rPr>
        <w:t>In connection with the Quarterly Report on Form 10-Q of Shutterstock, Inc., for the quarterly period ended September 30, 2026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0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3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Jonathan Oringer</w:t>
      </w:r>
    </w:p>
    <w:p>
      <w:pPr>
        <w:spacing w:after="0" w:line="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3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2026 as filed with the Securities and Exchange Commission on the date hereof (the “Report”), I, Scott Grossman,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05"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November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Scott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3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Scott Grossman</w:t>
      </w:r>
    </w:p>
    <w:p>
      <w:pPr>
        <w:spacing w:after="0" w:line="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lvl w:ilvl="1">
      <w:lvlJc w:val="left"/>
      <w:lvlText w:val="%2"/>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9" Type="http://schemas.openxmlformats.org/officeDocument/2006/relationships/hyperlink" Target="https://www.sec.gov/Archives/edgar/data/1549346/000114036126028338/ef20077918_ex10-1.htm" TargetMode="External"/><Relationship Id="rId60" Type="http://schemas.openxmlformats.org/officeDocument/2006/relationships/hyperlink" Target="https://www.sec.gov/Archives/edgar/data/1549346/000114036126041191/ef20084541_ex10-1.htm" TargetMode="External"/><Relationship Id="rId61" Type="http://schemas.openxmlformats.org/officeDocument/2006/relationships/hyperlink" Target="https://www.sec.gov/Archives/edgar/data/1549346/000114036126041191/ef2008454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2026-11-05T06:19:27Z</dcterms:created>
  <dcterms:modified xsi:type="dcterms:W3CDTF">2026-11-05T06:19:27Z</dcterms:modified>
</cp:coreProperties>
</file>