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left="38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9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w:t>
      </w:r>
    </w:p>
    <w:p>
      <w:pPr>
        <w:spacing w:after="0" w:line="9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6" w:lineRule="exact"/>
        <w:rPr>
          <w:sz w:val="24"/>
          <w:szCs w:val="24"/>
          <w:color w:val="auto"/>
        </w:rPr>
      </w:pPr>
    </w:p>
    <w:p>
      <w:pPr>
        <w:ind w:left="2460" w:hanging="280"/>
        <w:spacing w:after="0"/>
        <w:tabs>
          <w:tab w:leader="none" w:pos="2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6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2020</w:t>
      </w:r>
    </w:p>
    <w:p>
      <w:pPr>
        <w:spacing w:after="0" w:line="1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or</w:t>
      </w:r>
    </w:p>
    <w:p>
      <w:pPr>
        <w:spacing w:after="0" w:line="9" w:lineRule="exact"/>
        <w:rPr>
          <w:sz w:val="24"/>
          <w:szCs w:val="24"/>
          <w:color w:val="auto"/>
        </w:rPr>
      </w:pPr>
    </w:p>
    <w:p>
      <w:pPr>
        <w:ind w:left="2280" w:hanging="232"/>
        <w:spacing w:after="0"/>
        <w:tabs>
          <w:tab w:leader="none" w:pos="22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6" w:lineRule="exact"/>
        <w:rPr>
          <w:rFonts w:ascii="MS PGothic" w:cs="MS PGothic" w:eastAsia="MS PGothic" w:hAnsi="MS PGothic"/>
          <w:sz w:val="14"/>
          <w:szCs w:val="14"/>
          <w:color w:val="auto"/>
        </w:rPr>
      </w:pPr>
    </w:p>
    <w:p>
      <w:pPr>
        <w:ind w:left="4700"/>
        <w:spacing w:after="0"/>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For the transition period from ___ to ___</w:t>
      </w:r>
    </w:p>
    <w:p>
      <w:pPr>
        <w:spacing w:after="0" w:line="5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3"/>
          <w:szCs w:val="13"/>
          <w:b w:val="1"/>
          <w:bCs w:val="1"/>
          <w:color w:val="auto"/>
        </w:rPr>
        <w:t>Commission File Number: 001-35669</w:t>
      </w:r>
    </w:p>
    <w:p>
      <w:pPr>
        <w:spacing w:after="0" w:line="17"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w:t>
      </w:r>
    </w:p>
    <w:p>
      <w:pPr>
        <w:spacing w:after="0" w:line="7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5"/>
          <w:szCs w:val="25"/>
          <w:b w:val="1"/>
          <w:bCs w:val="1"/>
          <w:color w:val="auto"/>
        </w:rPr>
        <w:t>Shutterstock, Inc.</w:t>
      </w:r>
    </w:p>
    <w:p>
      <w:pPr>
        <w:spacing w:after="0" w:line="12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00"/>
          </w:cols>
          <w:pgMar w:left="320" w:top="229" w:right="379" w:bottom="1440" w:gutter="0" w:footer="0" w:header="0"/>
        </w:sectPr>
      </w:pPr>
    </w:p>
    <w:p>
      <w:pPr>
        <w:spacing w:after="0" w:line="17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80-0812659</w:t>
      </w:r>
    </w:p>
    <w:p>
      <w:pPr>
        <w:spacing w:after="0" w:line="66" w:lineRule="exact"/>
        <w:rPr>
          <w:sz w:val="24"/>
          <w:szCs w:val="24"/>
          <w:color w:val="auto"/>
        </w:rPr>
      </w:pPr>
    </w:p>
    <w:p>
      <w:pPr>
        <w:sectPr>
          <w:pgSz w:w="11900" w:h="16838" w:orient="portrait"/>
          <w:cols w:equalWidth="0" w:num="2">
            <w:col w:w="6280" w:space="720"/>
            <w:col w:w="4200"/>
          </w:cols>
          <w:pgMar w:left="320" w:top="229" w:right="379" w:bottom="1440" w:gutter="0" w:footer="0" w:header="0"/>
          <w:type w:val="continuous"/>
        </w:sectPr>
      </w:pPr>
    </w:p>
    <w:p>
      <w:pPr>
        <w:ind w:left="378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240"/>
        <w:spacing w:after="0"/>
        <w:rPr>
          <w:sz w:val="20"/>
          <w:szCs w:val="20"/>
          <w:color w:val="auto"/>
        </w:rPr>
      </w:pPr>
      <w:r>
        <w:rPr>
          <w:rFonts w:ascii="Times New Roman" w:cs="Times New Roman" w:eastAsia="Times New Roman" w:hAnsi="Times New Roman"/>
          <w:sz w:val="12"/>
          <w:szCs w:val="12"/>
          <w:color w:val="auto"/>
        </w:rPr>
        <w:t>(I.R.S. Employer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114" w:lineRule="exact"/>
        <w:rPr>
          <w:sz w:val="24"/>
          <w:szCs w:val="24"/>
          <w:color w:val="auto"/>
        </w:rPr>
      </w:pPr>
    </w:p>
    <w:p>
      <w:pPr>
        <w:sectPr>
          <w:pgSz w:w="11900" w:h="16838" w:orient="portrait"/>
          <w:cols w:equalWidth="0" w:num="2">
            <w:col w:w="5900" w:space="720"/>
            <w:col w:w="4580"/>
          </w:cols>
          <w:pgMar w:left="320" w:top="229" w:right="379" w:bottom="1440" w:gutter="0" w:footer="0" w:header="0"/>
          <w:type w:val="continuous"/>
        </w:sect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350 Fifth Avenue, 21st Floor</w:t>
      </w:r>
    </w:p>
    <w:p>
      <w:pPr>
        <w:spacing w:after="0" w:line="19"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New York, NY 10118</w:t>
      </w:r>
    </w:p>
    <w:p>
      <w:pPr>
        <w:spacing w:after="0" w:line="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color w:val="auto"/>
        </w:rPr>
        <w:t>646 710-3417</w:t>
      </w:r>
    </w:p>
    <w:p>
      <w:pPr>
        <w:spacing w:after="0" w:line="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2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6" w:lineRule="exact"/>
        <w:rPr>
          <w:sz w:val="24"/>
          <w:szCs w:val="24"/>
          <w:color w:val="auto"/>
        </w:rPr>
      </w:pPr>
    </w:p>
    <w:tbl>
      <w:tblPr>
        <w:tblLayout w:type="fixed"/>
        <w:tblInd w:w="1240" w:type="dxa"/>
        <w:tblCellMar>
          <w:top w:w="0" w:type="dxa"/>
          <w:left w:w="0" w:type="dxa"/>
          <w:bottom w:w="0" w:type="dxa"/>
          <w:right w:w="0" w:type="dxa"/>
        </w:tblCellMar>
      </w:tblPr>
      <w:tr>
        <w:trPr>
          <w:trHeight w:val="166"/>
        </w:trPr>
        <w:tc>
          <w:tcPr>
            <w:tcW w:w="3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30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30"/>
        </w:trPr>
        <w:tc>
          <w:tcPr>
            <w:tcW w:w="34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66"/>
        </w:trPr>
        <w:tc>
          <w:tcPr>
            <w:tcW w:w="342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6"/>
              </w:rPr>
              <w:t>Common Stock, $0.01 par value per share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SSTK</w:t>
            </w:r>
          </w:p>
        </w:tc>
        <w:tc>
          <w:tcPr>
            <w:tcW w:w="330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New York Stock Exchange</w:t>
            </w:r>
          </w:p>
        </w:tc>
      </w:tr>
    </w:tbl>
    <w:p>
      <w:pPr>
        <w:spacing w:after="0" w:line="11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20"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ind w:left="420" w:right="3980"/>
        <w:spacing w:after="0" w:line="186"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5" w:lineRule="exact"/>
        <w:rPr>
          <w:sz w:val="24"/>
          <w:szCs w:val="24"/>
          <w:color w:val="auto"/>
        </w:rPr>
      </w:pPr>
    </w:p>
    <w:p>
      <w:pPr>
        <w:ind w:right="120" w:firstLine="405"/>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right="100" w:firstLine="405"/>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right="300" w:firstLine="405"/>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580" w:type="dxa"/>
        <w:tblCellMar>
          <w:top w:w="0" w:type="dxa"/>
          <w:left w:w="0" w:type="dxa"/>
          <w:bottom w:w="0" w:type="dxa"/>
          <w:right w:w="0" w:type="dxa"/>
        </w:tblCellMar>
      </w:tblPr>
      <w:tr>
        <w:trPr>
          <w:trHeight w:val="199"/>
        </w:trPr>
        <w:tc>
          <w:tcPr>
            <w:tcW w:w="1460" w:type="dxa"/>
            <w:vAlign w:val="bottom"/>
          </w:tcPr>
          <w:p>
            <w:pPr>
              <w:jc w:val="center"/>
              <w:ind w:right="277"/>
              <w:spacing w:after="0"/>
              <w:rPr>
                <w:sz w:val="20"/>
                <w:szCs w:val="20"/>
                <w:color w:val="auto"/>
              </w:rPr>
            </w:pPr>
            <w:r>
              <w:rPr>
                <w:rFonts w:ascii="Times New Roman" w:cs="Times New Roman" w:eastAsia="Times New Roman" w:hAnsi="Times New Roman"/>
                <w:sz w:val="13"/>
                <w:szCs w:val="13"/>
                <w:color w:val="auto"/>
                <w:w w:val="95"/>
              </w:rPr>
              <w:t>Large accelerated filer</w:t>
            </w:r>
          </w:p>
        </w:tc>
        <w:tc>
          <w:tcPr>
            <w:tcW w:w="272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jc w:val="center"/>
              <w:ind w:left="1857"/>
              <w:spacing w:after="0"/>
              <w:rPr>
                <w:sz w:val="20"/>
                <w:szCs w:val="20"/>
                <w:color w:val="auto"/>
              </w:rPr>
            </w:pPr>
            <w:r>
              <w:rPr>
                <w:rFonts w:ascii="Times New Roman" w:cs="Times New Roman" w:eastAsia="Times New Roman" w:hAnsi="Times New Roman"/>
                <w:sz w:val="13"/>
                <w:szCs w:val="13"/>
                <w:color w:val="auto"/>
                <w:w w:val="96"/>
              </w:rPr>
              <w:t>Accelerated filer</w:t>
            </w:r>
          </w:p>
        </w:tc>
        <w:tc>
          <w:tcPr>
            <w:tcW w:w="480" w:type="dxa"/>
            <w:vAlign w:val="bottom"/>
          </w:tcPr>
          <w:p>
            <w:pPr>
              <w:ind w:left="3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460" w:type="dxa"/>
            <w:vAlign w:val="bottom"/>
          </w:tcPr>
          <w:p>
            <w:pPr>
              <w:jc w:val="center"/>
              <w:ind w:right="277"/>
              <w:spacing w:after="0"/>
              <w:rPr>
                <w:sz w:val="20"/>
                <w:szCs w:val="20"/>
                <w:color w:val="auto"/>
              </w:rPr>
            </w:pPr>
            <w:r>
              <w:rPr>
                <w:rFonts w:ascii="Times New Roman" w:cs="Times New Roman" w:eastAsia="Times New Roman" w:hAnsi="Times New Roman"/>
                <w:sz w:val="13"/>
                <w:szCs w:val="13"/>
                <w:color w:val="auto"/>
                <w:w w:val="98"/>
              </w:rPr>
              <w:t>Non-accelerated filer</w:t>
            </w:r>
          </w:p>
        </w:tc>
        <w:tc>
          <w:tcPr>
            <w:tcW w:w="272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jc w:val="center"/>
              <w:ind w:left="1877"/>
              <w:spacing w:after="0"/>
              <w:rPr>
                <w:sz w:val="20"/>
                <w:szCs w:val="20"/>
                <w:color w:val="auto"/>
              </w:rPr>
            </w:pPr>
            <w:r>
              <w:rPr>
                <w:rFonts w:ascii="Times New Roman" w:cs="Times New Roman" w:eastAsia="Times New Roman" w:hAnsi="Times New Roman"/>
                <w:sz w:val="13"/>
                <w:szCs w:val="13"/>
                <w:color w:val="auto"/>
                <w:w w:val="96"/>
              </w:rPr>
              <w:t>Smaller reporting company</w:t>
            </w:r>
          </w:p>
        </w:tc>
        <w:tc>
          <w:tcPr>
            <w:tcW w:w="480" w:type="dxa"/>
            <w:vAlign w:val="bottom"/>
          </w:tcPr>
          <w:p>
            <w:pPr>
              <w:ind w:left="3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4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40" w:type="dxa"/>
            <w:vAlign w:val="bottom"/>
          </w:tcPr>
          <w:p>
            <w:pPr>
              <w:jc w:val="center"/>
              <w:ind w:left="1877"/>
              <w:spacing w:after="0"/>
              <w:rPr>
                <w:sz w:val="20"/>
                <w:szCs w:val="20"/>
                <w:color w:val="auto"/>
              </w:rPr>
            </w:pPr>
            <w:r>
              <w:rPr>
                <w:rFonts w:ascii="Times New Roman" w:cs="Times New Roman" w:eastAsia="Times New Roman" w:hAnsi="Times New Roman"/>
                <w:sz w:val="13"/>
                <w:szCs w:val="13"/>
                <w:color w:val="auto"/>
                <w:w w:val="96"/>
              </w:rPr>
              <w:t>Emerging growth company</w:t>
            </w:r>
          </w:p>
        </w:tc>
        <w:tc>
          <w:tcPr>
            <w:tcW w:w="480" w:type="dxa"/>
            <w:vAlign w:val="bottom"/>
          </w:tcPr>
          <w:p>
            <w:pPr>
              <w:ind w:left="38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05" w:lineRule="exact"/>
        <w:rPr>
          <w:sz w:val="24"/>
          <w:szCs w:val="24"/>
          <w:color w:val="auto"/>
        </w:rPr>
      </w:pPr>
    </w:p>
    <w:p>
      <w:pPr>
        <w:ind w:firstLine="405"/>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5" w:lineRule="exact"/>
        <w:rPr>
          <w:sz w:val="24"/>
          <w:szCs w:val="24"/>
          <w:color w:val="auto"/>
        </w:rPr>
      </w:pPr>
    </w:p>
    <w:p>
      <w:pPr>
        <w:ind w:right="320" w:firstLine="405"/>
        <w:spacing w:after="0" w:line="18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2" w:lineRule="exact"/>
        <w:rPr>
          <w:sz w:val="24"/>
          <w:szCs w:val="24"/>
          <w:color w:val="auto"/>
        </w:rPr>
      </w:pPr>
    </w:p>
    <w:p>
      <w:pPr>
        <w:ind w:left="420"/>
        <w:spacing w:after="0" w:line="150" w:lineRule="exact"/>
        <w:tabs>
          <w:tab w:leader="none" w:pos="60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74" w:lineRule="exact"/>
        <w:rPr>
          <w:sz w:val="24"/>
          <w:szCs w:val="24"/>
          <w:color w:val="auto"/>
        </w:rPr>
      </w:pPr>
    </w:p>
    <w:p>
      <w:pPr>
        <w:jc w:val="both"/>
        <w:ind w:right="460" w:firstLine="405"/>
        <w:spacing w:after="0" w:line="281" w:lineRule="auto"/>
        <w:rPr>
          <w:sz w:val="20"/>
          <w:szCs w:val="20"/>
          <w:color w:val="auto"/>
        </w:rPr>
      </w:pPr>
      <w:r>
        <w:rPr>
          <w:rFonts w:ascii="Times New Roman" w:cs="Times New Roman" w:eastAsia="Times New Roman" w:hAnsi="Times New Roman"/>
          <w:sz w:val="12"/>
          <w:szCs w:val="12"/>
          <w:color w:val="auto"/>
        </w:rPr>
        <w:t>As of June 30, 2020, the last business day of the registrant’s most recently completed second fiscal quarter, the aggregate market value of its voting and non-voting common stock held by non-affiliates was $683,773,306, based on the last reported sale price of the registrant’s common stock on that date. This calculation excludes the shares of common stock held by executive officers, directors and stockholders whose ownership exceeded 10% of the outstanding common stock of the registrant at June 30, 2020. This calculation does not reflect a determination that such persons are affiliates for any other purposes.</w:t>
      </w:r>
    </w:p>
    <w:p>
      <w:pPr>
        <w:spacing w:after="0" w:line="1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On February 5, 2021, 36,256,136 shares of the registrant’s common stock were outstanding.</w:t>
      </w:r>
    </w:p>
    <w:p>
      <w:pPr>
        <w:spacing w:after="0" w:line="53"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w:t>
      </w:r>
    </w:p>
    <w:p>
      <w:pPr>
        <w:spacing w:after="0" w:line="5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right="60" w:firstLine="405"/>
        <w:spacing w:after="0" w:line="250" w:lineRule="auto"/>
        <w:rPr>
          <w:sz w:val="20"/>
          <w:szCs w:val="20"/>
          <w:color w:val="auto"/>
        </w:rPr>
      </w:pPr>
      <w:r>
        <w:rPr>
          <w:rFonts w:ascii="Times New Roman" w:cs="Times New Roman" w:eastAsia="Times New Roman" w:hAnsi="Times New Roman"/>
          <w:sz w:val="13"/>
          <w:szCs w:val="13"/>
          <w:color w:val="auto"/>
        </w:rPr>
        <w:t>The information required by Part III of this Annual Report on Form 10-K, to the extent not set forth herein, is incorporated herein by reference from the registrant’s definitive proxy statement relating to the Annual Meeting of Stockholders to be held in 2021, which definitive proxy statement shall be filed with the Securities and Exchange Commission within 120 days after the end of the fiscal year to which this Annual Report on Form 10-K relates.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ind w:left="40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4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94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2020</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980" w:type="dxa"/>
            <w:vAlign w:val="bottom"/>
          </w:tcPr>
          <w:p>
            <w:pPr>
              <w:spacing w:after="0"/>
              <w:rPr>
                <w:sz w:val="24"/>
                <w:szCs w:val="24"/>
                <w:color w:val="auto"/>
              </w:rPr>
            </w:pPr>
          </w:p>
        </w:tc>
        <w:tc>
          <w:tcPr>
            <w:tcW w:w="944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8"/>
        </w:trPr>
        <w:tc>
          <w:tcPr>
            <w:tcW w:w="98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7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7"/>
        </w:trPr>
        <w:tc>
          <w:tcPr>
            <w:tcW w:w="980" w:type="dxa"/>
            <w:vAlign w:val="bottom"/>
          </w:tcPr>
          <w:p>
            <w:pPr>
              <w:spacing w:after="0"/>
              <w:rPr>
                <w:sz w:val="17"/>
                <w:szCs w:val="17"/>
                <w:color w:val="auto"/>
              </w:rPr>
            </w:pPr>
          </w:p>
        </w:tc>
        <w:tc>
          <w:tcPr>
            <w:tcW w:w="9440" w:type="dxa"/>
            <w:vAlign w:val="bottom"/>
          </w:tcPr>
          <w:p>
            <w:pPr>
              <w:jc w:val="center"/>
              <w:ind w:right="138"/>
              <w:spacing w:after="0"/>
              <w:rPr>
                <w:rFonts w:ascii="Times New Roman" w:cs="Times New Roman" w:eastAsia="Times New Roman" w:hAnsi="Times New Roman"/>
                <w:sz w:val="16"/>
                <w:szCs w:val="16"/>
                <w:b w:val="1"/>
                <w:bCs w:val="1"/>
                <w:u w:val="single" w:color="auto"/>
                <w:color w:val="0000FF"/>
              </w:rPr>
            </w:pPr>
            <w:hyperlink w:anchor="page2">
              <w:r>
                <w:rPr>
                  <w:rFonts w:ascii="Times New Roman" w:cs="Times New Roman" w:eastAsia="Times New Roman" w:hAnsi="Times New Roman"/>
                  <w:sz w:val="16"/>
                  <w:szCs w:val="16"/>
                  <w:b w:val="1"/>
                  <w:bCs w:val="1"/>
                  <w:u w:val="single" w:color="auto"/>
                  <w:color w:val="0000FF"/>
                </w:rPr>
                <w:t>Part I</w:t>
              </w:r>
            </w:hyperlink>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Business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4</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u w:val="single" w:color="auto"/>
                <w:color w:val="0000FF"/>
              </w:rPr>
            </w:pPr>
            <w:hyperlink w:anchor="page13">
              <w:r>
                <w:rPr>
                  <w:rFonts w:ascii="Times New Roman" w:cs="Times New Roman" w:eastAsia="Times New Roman" w:hAnsi="Times New Roman"/>
                  <w:sz w:val="16"/>
                  <w:szCs w:val="16"/>
                  <w:u w:val="single" w:color="auto"/>
                  <w:color w:val="0000FF"/>
                </w:rPr>
                <w:t>Item 1A.</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13">
              <w:r>
                <w:rPr>
                  <w:rFonts w:ascii="Times New Roman" w:cs="Times New Roman" w:eastAsia="Times New Roman" w:hAnsi="Times New Roman"/>
                  <w:sz w:val="16"/>
                  <w:szCs w:val="16"/>
                  <w:u w:val="single" w:color="auto"/>
                  <w:color w:val="0000FF"/>
                </w:rPr>
                <w:t>Risk Factors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13">
              <w:r>
                <w:rPr>
                  <w:rFonts w:ascii="Times New Roman" w:cs="Times New Roman" w:eastAsia="Times New Roman" w:hAnsi="Times New Roman"/>
                  <w:sz w:val="16"/>
                  <w:szCs w:val="16"/>
                  <w:u w:val="single" w:color="auto"/>
                  <w:color w:val="0000FF"/>
                </w:rPr>
                <w:t>14</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u w:val="single" w:color="auto"/>
                  <w:color w:val="0000FF"/>
                </w:rPr>
                <w:t>Item 1B</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Unresolved Staff Comments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38</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u w:val="single" w:color="auto"/>
                  <w:color w:val="0000FF"/>
                </w:rPr>
                <w:t>Item 2</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Properties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38</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u w:val="single" w:color="auto"/>
                  <w:color w:val="0000FF"/>
                </w:rPr>
                <w:t>Item 3</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Legal Proceedings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38</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u w:val="single" w:color="auto"/>
                  <w:color w:val="0000FF"/>
                </w:rPr>
                <w:t>Item 4</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Mine Safety Disclosures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38</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440" w:type="dxa"/>
            <w:vAlign w:val="bottom"/>
          </w:tcPr>
          <w:p>
            <w:pPr>
              <w:jc w:val="center"/>
              <w:ind w:right="138"/>
              <w:spacing w:after="0"/>
              <w:rPr>
                <w:rFonts w:ascii="Times New Roman" w:cs="Times New Roman" w:eastAsia="Times New Roman" w:hAnsi="Times New Roman"/>
                <w:sz w:val="16"/>
                <w:szCs w:val="16"/>
                <w:b w:val="1"/>
                <w:bCs w:val="1"/>
                <w:u w:val="single" w:color="auto"/>
                <w:color w:val="0000FF"/>
                <w:w w:val="98"/>
              </w:rPr>
            </w:pPr>
            <w:hyperlink w:anchor="page38">
              <w:r>
                <w:rPr>
                  <w:rFonts w:ascii="Times New Roman" w:cs="Times New Roman" w:eastAsia="Times New Roman" w:hAnsi="Times New Roman"/>
                  <w:sz w:val="16"/>
                  <w:szCs w:val="16"/>
                  <w:b w:val="1"/>
                  <w:bCs w:val="1"/>
                  <w:u w:val="single" w:color="auto"/>
                  <w:color w:val="0000FF"/>
                  <w:w w:val="98"/>
                </w:rPr>
                <w:t>Part II</w:t>
              </w:r>
            </w:hyperlink>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u w:val="single" w:color="auto"/>
                  <w:color w:val="0000FF"/>
                </w:rPr>
                <w:t>Item 5</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Market for Registrant’s Common Equity, Related Stockholder Matters and Issuer Purchases of Equity Securities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39</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u w:val="single" w:color="auto"/>
                  <w:color w:val="0000FF"/>
                </w:rPr>
                <w:t>Item 6</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Selected Financial Data</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40</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u w:val="single" w:color="auto"/>
                  <w:color w:val="0000FF"/>
                </w:rPr>
                <w:t>Item 7</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45">
              <w:r>
                <w:rPr>
                  <w:rFonts w:ascii="Times New Roman" w:cs="Times New Roman" w:eastAsia="Times New Roman" w:hAnsi="Times New Roman"/>
                  <w:sz w:val="16"/>
                  <w:szCs w:val="16"/>
                  <w:u w:val="single" w:color="auto"/>
                  <w:color w:val="0000FF"/>
                </w:rPr>
                <w:t>Management’s Discussion and Analysis of Financial Condition and Results of Operations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45">
              <w:r>
                <w:rPr>
                  <w:rFonts w:ascii="Times New Roman" w:cs="Times New Roman" w:eastAsia="Times New Roman" w:hAnsi="Times New Roman"/>
                  <w:sz w:val="16"/>
                  <w:szCs w:val="16"/>
                  <w:u w:val="single" w:color="auto"/>
                  <w:color w:val="0000FF"/>
                </w:rPr>
                <w:t>46</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u w:val="single" w:color="auto"/>
                <w:color w:val="0000FF"/>
              </w:rPr>
            </w:pPr>
            <w:hyperlink w:anchor="page61">
              <w:r>
                <w:rPr>
                  <w:rFonts w:ascii="Times New Roman" w:cs="Times New Roman" w:eastAsia="Times New Roman" w:hAnsi="Times New Roman"/>
                  <w:sz w:val="16"/>
                  <w:szCs w:val="16"/>
                  <w:u w:val="single" w:color="auto"/>
                  <w:color w:val="0000FF"/>
                </w:rPr>
                <w:t>Item 7A.</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1">
              <w:r>
                <w:rPr>
                  <w:rFonts w:ascii="Times New Roman" w:cs="Times New Roman" w:eastAsia="Times New Roman" w:hAnsi="Times New Roman"/>
                  <w:sz w:val="16"/>
                  <w:szCs w:val="16"/>
                  <w:u w:val="single" w:color="auto"/>
                  <w:color w:val="0000FF"/>
                </w:rPr>
                <w:t>Quantitative and Qualitative Disclosures About Market Risk</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1">
              <w:r>
                <w:rPr>
                  <w:rFonts w:ascii="Times New Roman" w:cs="Times New Roman" w:eastAsia="Times New Roman" w:hAnsi="Times New Roman"/>
                  <w:sz w:val="16"/>
                  <w:szCs w:val="16"/>
                  <w:u w:val="single" w:color="auto"/>
                  <w:color w:val="0000FF"/>
                </w:rPr>
                <w:t>61</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u w:val="single" w:color="auto"/>
                  <w:color w:val="0000FF"/>
                </w:rPr>
                <w:t>Item 8</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2">
              <w:r>
                <w:rPr>
                  <w:rFonts w:ascii="Times New Roman" w:cs="Times New Roman" w:eastAsia="Times New Roman" w:hAnsi="Times New Roman"/>
                  <w:sz w:val="16"/>
                  <w:szCs w:val="16"/>
                  <w:u w:val="single" w:color="auto"/>
                  <w:color w:val="0000FF"/>
                </w:rPr>
                <w:t>Financial Statements and Supplementary Data</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2">
              <w:r>
                <w:rPr>
                  <w:rFonts w:ascii="Times New Roman" w:cs="Times New Roman" w:eastAsia="Times New Roman" w:hAnsi="Times New Roman"/>
                  <w:sz w:val="16"/>
                  <w:szCs w:val="16"/>
                  <w:u w:val="single" w:color="auto"/>
                  <w:color w:val="0000FF"/>
                </w:rPr>
                <w:t>62</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u w:val="single" w:color="auto"/>
                  <w:color w:val="0000FF"/>
                </w:rPr>
                <w:t>Item 9</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2">
              <w:r>
                <w:rPr>
                  <w:rFonts w:ascii="Times New Roman" w:cs="Times New Roman" w:eastAsia="Times New Roman" w:hAnsi="Times New Roman"/>
                  <w:sz w:val="16"/>
                  <w:szCs w:val="16"/>
                  <w:u w:val="single" w:color="auto"/>
                  <w:color w:val="0000FF"/>
                </w:rPr>
                <w:t>Changes in and Disagreements With Accountants on Accounting and Financial Disclosure</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2">
              <w:r>
                <w:rPr>
                  <w:rFonts w:ascii="Times New Roman" w:cs="Times New Roman" w:eastAsia="Times New Roman" w:hAnsi="Times New Roman"/>
                  <w:sz w:val="16"/>
                  <w:szCs w:val="16"/>
                  <w:u w:val="single" w:color="auto"/>
                  <w:color w:val="0000FF"/>
                </w:rPr>
                <w:t>63</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u w:val="single" w:color="auto"/>
                <w:color w:val="0000FF"/>
              </w:rPr>
            </w:pPr>
            <w:hyperlink w:anchor="page63">
              <w:r>
                <w:rPr>
                  <w:rFonts w:ascii="Times New Roman" w:cs="Times New Roman" w:eastAsia="Times New Roman" w:hAnsi="Times New Roman"/>
                  <w:sz w:val="16"/>
                  <w:szCs w:val="16"/>
                  <w:u w:val="single" w:color="auto"/>
                  <w:color w:val="0000FF"/>
                </w:rPr>
                <w:t>Item 9A.</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3">
              <w:r>
                <w:rPr>
                  <w:rFonts w:ascii="Times New Roman" w:cs="Times New Roman" w:eastAsia="Times New Roman" w:hAnsi="Times New Roman"/>
                  <w:sz w:val="16"/>
                  <w:szCs w:val="16"/>
                  <w:u w:val="single" w:color="auto"/>
                  <w:color w:val="0000FF"/>
                </w:rPr>
                <w:t>Controls and Procedures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3">
              <w:r>
                <w:rPr>
                  <w:rFonts w:ascii="Times New Roman" w:cs="Times New Roman" w:eastAsia="Times New Roman" w:hAnsi="Times New Roman"/>
                  <w:sz w:val="16"/>
                  <w:szCs w:val="16"/>
                  <w:u w:val="single" w:color="auto"/>
                  <w:color w:val="0000FF"/>
                </w:rPr>
                <w:t>63</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u w:val="single" w:color="auto"/>
                  <w:color w:val="0000FF"/>
                </w:rPr>
                <w:t>Item 9B</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3">
              <w:r>
                <w:rPr>
                  <w:rFonts w:ascii="Times New Roman" w:cs="Times New Roman" w:eastAsia="Times New Roman" w:hAnsi="Times New Roman"/>
                  <w:sz w:val="16"/>
                  <w:szCs w:val="16"/>
                  <w:u w:val="single" w:color="auto"/>
                  <w:color w:val="0000FF"/>
                </w:rPr>
                <w:t>Other Information</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3">
              <w:r>
                <w:rPr>
                  <w:rFonts w:ascii="Times New Roman" w:cs="Times New Roman" w:eastAsia="Times New Roman" w:hAnsi="Times New Roman"/>
                  <w:sz w:val="16"/>
                  <w:szCs w:val="16"/>
                  <w:u w:val="single" w:color="auto"/>
                  <w:color w:val="0000FF"/>
                </w:rPr>
                <w:t>63</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440" w:type="dxa"/>
            <w:vAlign w:val="bottom"/>
          </w:tcPr>
          <w:p>
            <w:pPr>
              <w:jc w:val="center"/>
              <w:ind w:right="138"/>
              <w:spacing w:after="0"/>
              <w:rPr>
                <w:rFonts w:ascii="Times New Roman" w:cs="Times New Roman" w:eastAsia="Times New Roman" w:hAnsi="Times New Roman"/>
                <w:sz w:val="16"/>
                <w:szCs w:val="16"/>
                <w:b w:val="1"/>
                <w:bCs w:val="1"/>
                <w:u w:val="single" w:color="auto"/>
                <w:color w:val="0000FF"/>
              </w:rPr>
            </w:pPr>
            <w:hyperlink w:anchor="page63">
              <w:r>
                <w:rPr>
                  <w:rFonts w:ascii="Times New Roman" w:cs="Times New Roman" w:eastAsia="Times New Roman" w:hAnsi="Times New Roman"/>
                  <w:sz w:val="16"/>
                  <w:szCs w:val="16"/>
                  <w:b w:val="1"/>
                  <w:bCs w:val="1"/>
                  <w:u w:val="single" w:color="auto"/>
                  <w:color w:val="0000FF"/>
                </w:rPr>
                <w:t>Part III</w:t>
              </w:r>
            </w:hyperlink>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u w:val="single" w:color="auto"/>
                  <w:color w:val="0000FF"/>
                </w:rPr>
                <w:t>Item 10</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Directors, Executive Officers and Corporate Governance</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64</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Item 11.</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Executive Compensation</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64</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u w:val="single" w:color="auto"/>
                  <w:color w:val="0000FF"/>
                </w:rPr>
                <w:t>Item 12</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Security Ownership of Certain Beneficial Owners and Management and Related Stockholder Matters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64</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u w:val="single" w:color="auto"/>
                  <w:color w:val="0000FF"/>
                </w:rPr>
                <w:t>Item 13</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Certain Relationships and Related Transactions and Director Independence</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64</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u w:val="single" w:color="auto"/>
                  <w:color w:val="0000FF"/>
                </w:rPr>
                <w:t>Item 14</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Principal Accounting Fees and Services</w:t>
              </w:r>
            </w:hyperlink>
          </w:p>
        </w:tc>
        <w:tc>
          <w:tcPr>
            <w:tcW w:w="760" w:type="dxa"/>
            <w:vAlign w:val="bottom"/>
            <w:gridSpan w:val="2"/>
          </w:tcPr>
          <w:p>
            <w:pPr>
              <w:jc w:val="right"/>
              <w:spacing w:after="0"/>
              <w:rPr>
                <w:rFonts w:ascii="Times New Roman" w:cs="Times New Roman" w:eastAsia="Times New Roman" w:hAnsi="Times New Roman"/>
                <w:sz w:val="16"/>
                <w:szCs w:val="16"/>
                <w:u w:val="single" w:color="auto"/>
                <w:color w:val="0000FF"/>
              </w:rPr>
            </w:pPr>
            <w:hyperlink w:anchor="page64">
              <w:r>
                <w:rPr>
                  <w:rFonts w:ascii="Times New Roman" w:cs="Times New Roman" w:eastAsia="Times New Roman" w:hAnsi="Times New Roman"/>
                  <w:sz w:val="16"/>
                  <w:szCs w:val="16"/>
                  <w:u w:val="single" w:color="auto"/>
                  <w:color w:val="0000FF"/>
                </w:rPr>
                <w:t>64</w:t>
              </w:r>
            </w:hyperlink>
          </w:p>
        </w:tc>
        <w:tc>
          <w:tcPr>
            <w:tcW w:w="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440" w:type="dxa"/>
            <w:vAlign w:val="bottom"/>
          </w:tcPr>
          <w:p>
            <w:pPr>
              <w:jc w:val="center"/>
              <w:ind w:right="138"/>
              <w:spacing w:after="0"/>
              <w:rPr>
                <w:rFonts w:ascii="Times New Roman" w:cs="Times New Roman" w:eastAsia="Times New Roman" w:hAnsi="Times New Roman"/>
                <w:sz w:val="16"/>
                <w:szCs w:val="16"/>
                <w:b w:val="1"/>
                <w:bCs w:val="1"/>
                <w:u w:val="single" w:color="auto"/>
                <w:color w:val="0000FF"/>
              </w:rPr>
            </w:pPr>
            <w:hyperlink w:anchor="page64">
              <w:r>
                <w:rPr>
                  <w:rFonts w:ascii="Times New Roman" w:cs="Times New Roman" w:eastAsia="Times New Roman" w:hAnsi="Times New Roman"/>
                  <w:sz w:val="16"/>
                  <w:szCs w:val="16"/>
                  <w:b w:val="1"/>
                  <w:bCs w:val="1"/>
                  <w:u w:val="single" w:color="auto"/>
                  <w:color w:val="0000FF"/>
                </w:rPr>
                <w:t>Part IV</w:t>
              </w:r>
            </w:hyperlink>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980" w:type="dxa"/>
            <w:vAlign w:val="bottom"/>
          </w:tcPr>
          <w:p>
            <w:pPr>
              <w:spacing w:after="0" w:line="181" w:lineRule="exact"/>
              <w:rPr>
                <w:rFonts w:ascii="Times New Roman" w:cs="Times New Roman" w:eastAsia="Times New Roman" w:hAnsi="Times New Roman"/>
                <w:sz w:val="16"/>
                <w:szCs w:val="16"/>
                <w:color w:val="0000FF"/>
              </w:rPr>
            </w:pPr>
            <w:hyperlink w:anchor="page65">
              <w:r>
                <w:rPr>
                  <w:rFonts w:ascii="Times New Roman" w:cs="Times New Roman" w:eastAsia="Times New Roman" w:hAnsi="Times New Roman"/>
                  <w:sz w:val="16"/>
                  <w:szCs w:val="16"/>
                  <w:u w:val="single" w:color="auto"/>
                  <w:color w:val="0000FF"/>
                </w:rPr>
                <w:t>Item 15</w:t>
              </w:r>
              <w:r>
                <w:rPr>
                  <w:rFonts w:ascii="Times New Roman" w:cs="Times New Roman" w:eastAsia="Times New Roman" w:hAnsi="Times New Roman"/>
                  <w:sz w:val="16"/>
                  <w:szCs w:val="16"/>
                  <w:color w:val="0000FF"/>
                </w:rPr>
                <w:t>.</w:t>
              </w:r>
            </w:hyperlink>
          </w:p>
        </w:tc>
        <w:tc>
          <w:tcPr>
            <w:tcW w:w="9440" w:type="dxa"/>
            <w:vAlign w:val="bottom"/>
          </w:tcPr>
          <w:p>
            <w:pPr>
              <w:ind w:left="400"/>
              <w:spacing w:after="0" w:line="181" w:lineRule="exact"/>
              <w:rPr>
                <w:rFonts w:ascii="Times New Roman" w:cs="Times New Roman" w:eastAsia="Times New Roman" w:hAnsi="Times New Roman"/>
                <w:sz w:val="16"/>
                <w:szCs w:val="16"/>
                <w:u w:val="single" w:color="auto"/>
                <w:color w:val="0000FF"/>
              </w:rPr>
            </w:pPr>
            <w:hyperlink w:anchor="page65">
              <w:r>
                <w:rPr>
                  <w:rFonts w:ascii="Times New Roman" w:cs="Times New Roman" w:eastAsia="Times New Roman" w:hAnsi="Times New Roman"/>
                  <w:sz w:val="16"/>
                  <w:szCs w:val="16"/>
                  <w:u w:val="single" w:color="auto"/>
                  <w:color w:val="0000FF"/>
                </w:rPr>
                <w:t>Exhibits, Financial Statement Schedules</w:t>
              </w:r>
            </w:hyperlink>
          </w:p>
        </w:tc>
        <w:tc>
          <w:tcPr>
            <w:tcW w:w="780" w:type="dxa"/>
            <w:vAlign w:val="bottom"/>
            <w:gridSpan w:val="3"/>
          </w:tcPr>
          <w:p>
            <w:pPr>
              <w:ind w:left="540"/>
              <w:spacing w:after="0" w:line="181" w:lineRule="exact"/>
              <w:rPr>
                <w:rFonts w:ascii="Times New Roman" w:cs="Times New Roman" w:eastAsia="Times New Roman" w:hAnsi="Times New Roman"/>
                <w:sz w:val="16"/>
                <w:szCs w:val="16"/>
                <w:color w:val="0E32E1"/>
                <w:w w:val="98"/>
              </w:rPr>
            </w:pPr>
            <w:r>
              <w:rPr>
                <w:rFonts w:ascii="Times New Roman" w:cs="Times New Roman" w:eastAsia="Times New Roman" w:hAnsi="Times New Roman"/>
                <w:sz w:val="16"/>
                <w:szCs w:val="16"/>
                <w:color w:val="0E32E1"/>
                <w:w w:val="98"/>
              </w:rPr>
              <w:t>F-</w:t>
            </w:r>
            <w:hyperlink w:anchor="page65">
              <w:r>
                <w:rPr>
                  <w:rFonts w:ascii="Times New Roman" w:cs="Times New Roman" w:eastAsia="Times New Roman" w:hAnsi="Times New Roman"/>
                  <w:sz w:val="16"/>
                  <w:szCs w:val="16"/>
                  <w:color w:val="0E32E1"/>
                  <w:w w:val="98"/>
                </w:rPr>
                <w:t>1</w:t>
              </w:r>
            </w:hyperlink>
          </w:p>
        </w:tc>
      </w:tr>
      <w:tr>
        <w:trPr>
          <w:trHeight w:val="230"/>
        </w:trPr>
        <w:tc>
          <w:tcPr>
            <w:tcW w:w="980" w:type="dxa"/>
            <w:vAlign w:val="bottom"/>
          </w:tcPr>
          <w:p>
            <w:pPr>
              <w:spacing w:after="0"/>
              <w:rPr>
                <w:rFonts w:ascii="Times New Roman" w:cs="Times New Roman" w:eastAsia="Times New Roman" w:hAnsi="Times New Roman"/>
                <w:sz w:val="16"/>
                <w:szCs w:val="16"/>
                <w:color w:val="0000FF"/>
              </w:rPr>
            </w:pPr>
            <w:hyperlink w:anchor="page65">
              <w:r>
                <w:rPr>
                  <w:rFonts w:ascii="Times New Roman" w:cs="Times New Roman" w:eastAsia="Times New Roman" w:hAnsi="Times New Roman"/>
                  <w:sz w:val="16"/>
                  <w:szCs w:val="16"/>
                  <w:u w:val="single" w:color="auto"/>
                  <w:color w:val="0000FF"/>
                </w:rPr>
                <w:t>Item 16</w:t>
              </w:r>
              <w:r>
                <w:rPr>
                  <w:rFonts w:ascii="Times New Roman" w:cs="Times New Roman" w:eastAsia="Times New Roman" w:hAnsi="Times New Roman"/>
                  <w:sz w:val="16"/>
                  <w:szCs w:val="16"/>
                  <w:color w:val="0000FF"/>
                </w:rPr>
                <w:t>.</w:t>
              </w:r>
            </w:hyperlink>
          </w:p>
        </w:tc>
        <w:tc>
          <w:tcPr>
            <w:tcW w:w="9440" w:type="dxa"/>
            <w:vAlign w:val="bottom"/>
          </w:tcPr>
          <w:p>
            <w:pPr>
              <w:ind w:left="400"/>
              <w:spacing w:after="0"/>
              <w:rPr>
                <w:rFonts w:ascii="Times New Roman" w:cs="Times New Roman" w:eastAsia="Times New Roman" w:hAnsi="Times New Roman"/>
                <w:sz w:val="16"/>
                <w:szCs w:val="16"/>
                <w:u w:val="single" w:color="auto"/>
                <w:color w:val="0000FF"/>
              </w:rPr>
            </w:pPr>
            <w:hyperlink w:anchor="page65">
              <w:r>
                <w:rPr>
                  <w:rFonts w:ascii="Times New Roman" w:cs="Times New Roman" w:eastAsia="Times New Roman" w:hAnsi="Times New Roman"/>
                  <w:sz w:val="16"/>
                  <w:szCs w:val="16"/>
                  <w:u w:val="single" w:color="auto"/>
                  <w:color w:val="0000FF"/>
                </w:rPr>
                <w:t>Form 10-K Summary</w:t>
              </w:r>
            </w:hyperlink>
          </w:p>
        </w:tc>
        <w:tc>
          <w:tcPr>
            <w:tcW w:w="540" w:type="dxa"/>
            <w:vAlign w:val="bottom"/>
          </w:tcPr>
          <w:p>
            <w:pPr>
              <w:spacing w:after="0"/>
              <w:rPr>
                <w:sz w:val="20"/>
                <w:szCs w:val="20"/>
                <w:color w:val="auto"/>
              </w:rPr>
            </w:pPr>
          </w:p>
        </w:tc>
        <w:tc>
          <w:tcPr>
            <w:tcW w:w="220" w:type="dxa"/>
            <w:vAlign w:val="bottom"/>
            <w:tcBorders>
              <w:top w:val="single" w:sz="8" w:color="0E32E1"/>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 w:name="page3"/>
    <w:bookmarkEnd w:id="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0" w:lineRule="exact"/>
        <w:rPr>
          <w:sz w:val="20"/>
          <w:szCs w:val="20"/>
          <w:color w:val="auto"/>
        </w:rPr>
      </w:pPr>
    </w:p>
    <w:p>
      <w:pPr>
        <w:ind w:firstLine="765"/>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of 1933, as amended, or the Securities Act, and Section 21E of the Securities Exchange Act of 1934, as amended, or the Exchange Act, particularly in the discussions under the captions “Business,” “Risk Factors” and “Management’s Discussion and Analysis of Financial Condition and Results of Operations.” All statements other than statements of historical fact, including statements regarding guidance, industry prospects or future results of operations or financial position, are forward-looking. Examples of forward-looking statements include, but are not limited to, statements regarding future business, future dividends, new or planned features, products or services, management strategies and the COVID-19 pandemic. You can identify many forward-looking statements by words such as “may,” “will,” “would,” “should,” “could,” “expects,” “anticipates,” “believes,” “estimates,” “intends,” “plans” and other similar expressions. However, not all forward-looking statements contain these words. Forward-looking statements involve risks and uncertainties that could cause our actual results to differ materially from those expressed or implied in the forward-looking statements. Such risks and uncertainties include, among others, those discussed under the caption “Risk Factors” of this Annual Report on Form 10-K, as well as in our consolidated financial statements, related notes, and the other information appearing elsewhere in this report and our other filings with the Securities and Exchange Commission, or the SEC. Given these risks and uncertainties, you should not place undue reliance on these forward-looking statements. We do not intend, and, except as required by law, we undertake no obligation, to update any of our forward-looking statements after the date of this report to reflect actual results or future events or circumstances.</w:t>
      </w:r>
    </w:p>
    <w:p>
      <w:pPr>
        <w:spacing w:after="0" w:line="104" w:lineRule="exact"/>
        <w:rPr>
          <w:sz w:val="20"/>
          <w:szCs w:val="20"/>
          <w:color w:val="auto"/>
        </w:rPr>
      </w:pPr>
    </w:p>
    <w:p>
      <w:pPr>
        <w:ind w:right="120" w:firstLine="765"/>
        <w:spacing w:after="0" w:line="258"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Annual Report on Form 10-K to the terms “Shutterstock,” “the Company,” “we,” “our” and “us” refer to Shutterstock, Inc. and its subsidiaries. “Shutterstock,” “Shutterstock Editorial,” “Shutterstock Select,” “Asset Assurance,” “Offset,” “Bigstock,” “Rex Features,” “PremiumBeat” and “Shutterstock Editor” and their logos are registered trademarks and are the property of Shutterstock, Inc. or one of our subsidiaries. All other trademarks, service marks and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Shutterstock, Inc. is a leading global creative platform offering full-service solutions, high-quality content, and tools for brands, businesses and media companies. Our platform brings together users and contributors of content by providing readily-searchable content that our customers pay to license and by compensating contributors as their content is licensed.</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content licensed by our customers includes:</w:t>
      </w:r>
    </w:p>
    <w:p>
      <w:pPr>
        <w:spacing w:after="0" w:line="158" w:lineRule="exact"/>
        <w:rPr>
          <w:sz w:val="20"/>
          <w:szCs w:val="20"/>
          <w:color w:val="auto"/>
        </w:rPr>
      </w:pPr>
    </w:p>
    <w:p>
      <w:pPr>
        <w:ind w:left="820" w:right="14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53" w:lineRule="exact"/>
        <w:rPr>
          <w:rFonts w:ascii="Times New Roman" w:cs="Times New Roman" w:eastAsia="Times New Roman" w:hAnsi="Times New Roman"/>
          <w:sz w:val="18"/>
          <w:szCs w:val="18"/>
          <w:color w:val="auto"/>
        </w:rPr>
      </w:pPr>
    </w:p>
    <w:p>
      <w:pPr>
        <w:ind w:left="820" w:right="60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3D Models - following our acquisition of TurboSquid, Inc. on February 1, 2021, we now offer 3D models, used in industries such as advertising, media &amp; video production, gaming, retail, education, design and architecture.</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For customers seeking specialized solutions, we also create custom, on-brand content by matching our global contributor network to the unique needs of our customers. This solution allows us to offer customers a fast and scalable way to produce cost-effective content that is in line with the visual footprint of their brand.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10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 believe that we benefit from scale and network effects between customers and contributors. We have managed to build a world class library of images, footage clips and music, sourced from our vast network of contributors. Our extensive content library and contributor network enables us to attract a global and diverse customer base representing businesses of all sizes and from all major industries. Our robust content and rich database continue to attract more customers and draw more contributors, which enhances our network effects and global reach. We believe the success of this network effect is facilitated by the trust that users place in Shutterstock to maintain the quality and integrity of our branded marketplace, and our commitment to seamless integration into users’ creative workflows.</w:t>
      </w:r>
    </w:p>
    <w:p>
      <w:pPr>
        <w:spacing w:after="0" w:line="120"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We believe that our licensing model and creative platform drive a high volume of download activity that in turn provides a high volume of search, download and other customer behavioral data that enables us to continuously improve the quality and accuracy of our proprietary search algorithms, including keyword, search localization and similar image identification, and encourages the creation and contribution of new content to meet our customers’ needs. We enable users to search and discover content to meet their unique needs by searching our collection and previewing our content at no cost prior to licensing. We also leverage, to the greatest extent possible, the global nature of our user interfaces and marketing efforts, including local languages, currencies and payment methods, and our effective use of current and emerging technology and marketing channels to attract and retain customers and contributors.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Our high-quality content is distributed to customers under the following brands: Shutterstock, our flagship brand, Bigstock, Offset and PremiumBeat. Our Shutterstock brand includes various content types and offerings such as image, footage, editorial, music and studios.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 PremiumBeat’s library of exclusive high-quality music tracks provides producers, filmmakers and marketers the ability to search handpicked production music from the world’s leading composers.</w:t>
      </w:r>
    </w:p>
    <w:p>
      <w:pPr>
        <w:spacing w:after="0" w:line="200" w:lineRule="exact"/>
        <w:rPr>
          <w:sz w:val="20"/>
          <w:szCs w:val="20"/>
          <w:color w:val="auto"/>
        </w:rPr>
      </w:pPr>
    </w:p>
    <w:p>
      <w:pPr>
        <w:spacing w:after="0" w:line="3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tools are provided to enhance our customers’ project management needs and to enable efficient search capabilities. These include:</w:t>
      </w:r>
    </w:p>
    <w:p>
      <w:pPr>
        <w:spacing w:after="0" w:line="142" w:lineRule="exact"/>
        <w:rPr>
          <w:sz w:val="20"/>
          <w:szCs w:val="20"/>
          <w:color w:val="auto"/>
        </w:rPr>
      </w:pPr>
    </w:p>
    <w:p>
      <w:pPr>
        <w:ind w:left="980" w:right="120" w:hanging="405"/>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robust search engine</w:t>
      </w:r>
      <w:r>
        <w:rPr>
          <w:rFonts w:ascii="Times New Roman" w:cs="Times New Roman" w:eastAsia="Times New Roman" w:hAnsi="Times New Roman"/>
          <w:sz w:val="18"/>
          <w:szCs w:val="18"/>
          <w:color w:val="auto"/>
        </w:rPr>
        <w:t>, with highly sophisticated search capabilities, leverages our artificial intelligence (“AI”) based search algorithms to enhance the speed and curation of images, footage and audio files. We obtain a high volume of data generated from these user searches and content downloads, which enables us to continuously improve our search algorithms. Our behavioral and keyword data, along with our investments in technology and our experience in developing AI-based search algorithms, enable us to deliver a rich user experience by increasing the chances that our users can efficiently find the content they require.</w:t>
      </w:r>
    </w:p>
    <w:p>
      <w:pPr>
        <w:spacing w:after="0" w:line="75" w:lineRule="exact"/>
        <w:rPr>
          <w:rFonts w:ascii="Times New Roman" w:cs="Times New Roman" w:eastAsia="Times New Roman" w:hAnsi="Times New Roman"/>
          <w:sz w:val="18"/>
          <w:szCs w:val="18"/>
          <w:color w:val="auto"/>
        </w:rPr>
      </w:pPr>
    </w:p>
    <w:p>
      <w:pPr>
        <w:jc w:val="both"/>
        <w:ind w:left="980" w:right="280" w:hanging="405"/>
        <w:spacing w:after="0" w:line="267"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Shutterstock Editor and Editor Pro </w:t>
      </w:r>
      <w:r>
        <w:rPr>
          <w:rFonts w:ascii="Times New Roman" w:cs="Times New Roman" w:eastAsia="Times New Roman" w:hAnsi="Times New Roman"/>
          <w:sz w:val="18"/>
          <w:szCs w:val="18"/>
          <w:color w:val="auto"/>
        </w:rPr>
        <w:t>are feature-filled cloud-based workflow tools that provide a robust solution for creators to quickly size,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edit and enhance images for immediate use in presentations, social media posts or advertisements. These tools are designed to simplify the process of editing Shutterstock’s millions of photos and illustrations into compelling presentations.</w:t>
      </w:r>
    </w:p>
    <w:p>
      <w:pPr>
        <w:spacing w:after="0" w:line="6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Also, our Application Programming Interface (API) driven infrastructure further enhances and streamlines our customers’ workflow and project management needs by allowing businesses to gain access to our content without leaving their platform. Through our API, content can be integrated into the platforms of our Enterprise sales channel customers and can also be distributed to end users through our partnerships with several social media, software and marketing technology platforms including Microsoft Audience Network, Facebook Ads, Hubspot, Google Ads and Wix. In addition, we have developed plug-ins that our customers can use to seamlessly access our content directly from Apple’s Final Cut Pro® X video editing application, several Microsoft applications, Adobe Creative Cloud® desktop applications and Google SlidesTM.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 Channels</w:t>
      </w:r>
    </w:p>
    <w:p>
      <w:pPr>
        <w:spacing w:after="0" w:line="121"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Our online platform provides a freely searchable collection of content that our users can license, download and incorporate into their work. We encourage all our customers to take advantage of our creative platform’s comprehensive search capabilities, our credit card-based payment options and the immediate digital delivery of licensed content. We strive to offer simple, transparent purchase options designed to cater to customers’ specific needs. We believe the ability to search for, select, license, download and customize content on our creative platform offers our users a streamlined workflow, convenience and speed, and enables us to achieve greater economies of scale. We also have contractual arrangements with third-party resellers and affiliates to license content to customers in markets where we may not have a significant sales and marketing presence. Certain third-party resellers and affiliates sell our products directly to end-users and remit amounts to us based on the type of product sold.</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Customer sales are diversified across the following channels:</w:t>
      </w:r>
    </w:p>
    <w:p>
      <w:pPr>
        <w:spacing w:after="0" w:line="113" w:lineRule="exact"/>
        <w:rPr>
          <w:sz w:val="20"/>
          <w:szCs w:val="20"/>
          <w:color w:val="auto"/>
        </w:rPr>
      </w:pPr>
    </w:p>
    <w:p>
      <w:pPr>
        <w:ind w:left="980" w:right="40" w:hanging="405"/>
        <w:spacing w:after="0" w:line="259"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E-commerce: </w:t>
      </w:r>
      <w:r>
        <w:rPr>
          <w:rFonts w:ascii="Times New Roman" w:cs="Times New Roman" w:eastAsia="Times New Roman" w:hAnsi="Times New Roman"/>
          <w:sz w:val="18"/>
          <w:szCs w:val="18"/>
          <w:color w:val="auto"/>
        </w:rPr>
        <w:t>The majority of our customers license content directly through our self-service web properties, including our Shutterstock.com,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bigstock.com and premiumbeat.com websites. We offer a variety of subscription plans across images, footage and music content. Customers in our e-commerce sales channel have the ability to purchase plans that are paid on either a monthly or annual basis or to license content on a transactional basis. Customers in our e-commerce sales channel generally license content under our standard or enhanced licenses, with additional licensing options available to meet customers’ individual needs.</w:t>
      </w:r>
    </w:p>
    <w:p>
      <w:pPr>
        <w:spacing w:after="0" w:line="71" w:lineRule="exact"/>
        <w:rPr>
          <w:rFonts w:ascii="Times New Roman" w:cs="Times New Roman" w:eastAsia="Times New Roman" w:hAnsi="Times New Roman"/>
          <w:sz w:val="18"/>
          <w:szCs w:val="18"/>
          <w:color w:val="auto"/>
        </w:rPr>
      </w:pPr>
    </w:p>
    <w:p>
      <w:pPr>
        <w:ind w:left="980" w:hanging="405"/>
        <w:spacing w:after="0" w:line="255"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Enterprise: </w:t>
      </w:r>
      <w:r>
        <w:rPr>
          <w:rFonts w:ascii="Times New Roman" w:cs="Times New Roman" w:eastAsia="Times New Roman" w:hAnsi="Times New Roman"/>
          <w:sz w:val="18"/>
          <w:szCs w:val="18"/>
          <w:color w:val="auto"/>
        </w:rPr>
        <w:t>We offer tailored and turnkey solutions to customers with unique content, licensing and workflow needs. These customers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our API platform as well as access to Shutterstock Editorial, which includes our library of editorial images and videos and Shutterstock Studios, our offering which provides custom, high-quality content matched with production tools and services. Our range of solutions, including the depth of our API integration, appeals to a broad and diverse customer base and enables us to adapt and evolve with the needs of our more high touch clients to deliver capabilities that embed deep within their workflows.</w:t>
      </w:r>
    </w:p>
    <w:p>
      <w:pPr>
        <w:spacing w:after="0" w:line="76" w:lineRule="exact"/>
        <w:rPr>
          <w:rFonts w:ascii="Times New Roman" w:cs="Times New Roman" w:eastAsia="Times New Roman" w:hAnsi="Times New Roman"/>
          <w:sz w:val="18"/>
          <w:szCs w:val="18"/>
          <w:color w:val="auto"/>
        </w:rPr>
      </w:pPr>
    </w:p>
    <w:p>
      <w:pPr>
        <w:ind w:left="980" w:right="100" w:hanging="405"/>
        <w:spacing w:after="0" w:line="268"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Our Other sales channel historically included revenue from Webdam’s digital asset management offerings which were made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annual software-as-a-service subscription plans. On February 26, 2018, we completed a sale transaction of our digital asset management business (the “Sale of Webdam”) for an aggregate purchase price of $49.1 million.</w:t>
      </w: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generated from each of the sales channels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3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412,521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392,241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318,916</w:t>
            </w: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254,165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258,282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164,384</w:t>
            </w: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11,017</w:t>
            </w:r>
          </w:p>
        </w:tc>
      </w:tr>
      <w:tr>
        <w:trPr>
          <w:trHeight w:val="209"/>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Total Revenue </w:t>
            </w:r>
            <w:r>
              <w:rPr>
                <w:rFonts w:ascii="Times New Roman" w:cs="Times New Roman" w:eastAsia="Times New Roman" w:hAnsi="Times New Roman"/>
                <w:sz w:val="9"/>
                <w:szCs w:val="9"/>
                <w:color w:val="auto"/>
              </w:rPr>
              <w:t>(1)</w:t>
            </w: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666,686</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650,523</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557,111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494,317</w:t>
            </w:r>
          </w:p>
        </w:tc>
      </w:tr>
      <w:tr>
        <w:trPr>
          <w:trHeight w:val="21"/>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right="320" w:firstLine="413"/>
        <w:spacing w:after="0" w:line="320" w:lineRule="auto"/>
        <w:tabs>
          <w:tab w:leader="none" w:pos="537"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Effective January 1, 2018 we adopted Accounting Standards Update (“ASU”) 2014-09, Revenue from Contracts with Customers (Topic 606) (“ASU 2014-09”) using the modified retrospective approach. Historical revenue totals reflect those previously reported and have not been restated. The historical presentation of the allocation of revenue by sales channel for the periods prior to January 1, 2018 have been adjusted to conform to current presentation.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serve a diverse array of customers across a variety of industries, organizational sizes and geographies. For the year ended December 31, 2020, over 2.0 million customers in more than 150 countries licensed revenue-generating content, with approximately 35%, 33% and 31% of revenue coming from customers in North America, Europe and the rest of the world, respectively. Our top 25 customers in the aggregate accounted for less than 7% of our revenue in 2020. Our customers are typically classified among three categories, as follows:</w:t>
      </w:r>
    </w:p>
    <w:p>
      <w:pPr>
        <w:spacing w:after="0" w:line="68" w:lineRule="exact"/>
        <w:rPr>
          <w:sz w:val="20"/>
          <w:szCs w:val="20"/>
          <w:color w:val="auto"/>
        </w:rPr>
      </w:pPr>
    </w:p>
    <w:p>
      <w:pPr>
        <w:ind w:left="980" w:right="200" w:hanging="405"/>
        <w:spacing w:after="0" w:line="26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Corporate Professionals and Organizations. </w:t>
      </w:r>
      <w:r>
        <w:rPr>
          <w:rFonts w:ascii="Times New Roman" w:cs="Times New Roman" w:eastAsia="Times New Roman" w:hAnsi="Times New Roman"/>
          <w:sz w:val="18"/>
          <w:szCs w:val="18"/>
          <w:color w:val="auto"/>
        </w:rPr>
        <w:t>Marketing and communications professionals incorporate licensed content in the work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produce for their organizational or clients’ business communications. Whether providing graphic design, web design, interactive design, advertising, public relations, communications or marketing materials, these professional users and teams support organizations of various sizes including the largest global agencies, large not-for-profit organizations and </w:t>
      </w:r>
      <w:r>
        <w:rPr>
          <w:rFonts w:ascii="Times New Roman" w:cs="Times New Roman" w:eastAsia="Times New Roman" w:hAnsi="Times New Roman"/>
          <w:sz w:val="18"/>
          <w:szCs w:val="18"/>
          <w:i w:val="1"/>
          <w:iCs w:val="1"/>
          <w:color w:val="auto"/>
        </w:rPr>
        <w:t>Fortune 500</w:t>
      </w:r>
      <w:r>
        <w:rPr>
          <w:rFonts w:ascii="Times New Roman" w:cs="Times New Roman" w:eastAsia="Times New Roman" w:hAnsi="Times New Roman"/>
          <w:sz w:val="18"/>
          <w:szCs w:val="18"/>
          <w:color w:val="auto"/>
        </w:rPr>
        <w:t xml:space="preserve"> companies.</w:t>
      </w:r>
    </w:p>
    <w:p>
      <w:pPr>
        <w:spacing w:after="0" w:line="68" w:lineRule="exact"/>
        <w:rPr>
          <w:rFonts w:ascii="Times New Roman" w:cs="Times New Roman" w:eastAsia="Times New Roman" w:hAnsi="Times New Roman"/>
          <w:sz w:val="18"/>
          <w:szCs w:val="18"/>
          <w:color w:val="auto"/>
        </w:rPr>
      </w:pPr>
    </w:p>
    <w:p>
      <w:pPr>
        <w:ind w:left="980" w:right="400" w:hanging="405"/>
        <w:spacing w:after="0" w:line="26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Media and Broadcast Companies. </w:t>
      </w:r>
      <w:r>
        <w:rPr>
          <w:rFonts w:ascii="Times New Roman" w:cs="Times New Roman" w:eastAsia="Times New Roman" w:hAnsi="Times New Roman"/>
          <w:sz w:val="18"/>
          <w:szCs w:val="18"/>
          <w:color w:val="auto"/>
        </w:rPr>
        <w:t>Media organizations and professionals incorporate licensed content into their work,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publications, newspapers, books, magazines, television and film, as well as to market their products effectively. Our media and broadcast users range from independent bloggers to multi-national publishing, broadcast and production organizations.</w:t>
      </w:r>
    </w:p>
    <w:p>
      <w:pPr>
        <w:spacing w:after="0" w:line="62" w:lineRule="exact"/>
        <w:rPr>
          <w:rFonts w:ascii="Times New Roman" w:cs="Times New Roman" w:eastAsia="Times New Roman" w:hAnsi="Times New Roman"/>
          <w:sz w:val="18"/>
          <w:szCs w:val="18"/>
          <w:color w:val="auto"/>
        </w:rPr>
      </w:pPr>
    </w:p>
    <w:p>
      <w:pPr>
        <w:ind w:left="980" w:right="220" w:hanging="405"/>
        <w:spacing w:after="0" w:line="26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Small and Medium-Sized Businesses and Individual Creators. </w:t>
      </w:r>
      <w:r>
        <w:rPr>
          <w:rFonts w:ascii="Times New Roman" w:cs="Times New Roman" w:eastAsia="Times New Roman" w:hAnsi="Times New Roman"/>
          <w:sz w:val="18"/>
          <w:szCs w:val="18"/>
          <w:color w:val="auto"/>
        </w:rPr>
        <w:t>Organizations of all sizes utilize creative content for a wide range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 and external-use communications such as websites, print and digital advertisements, merchandise, brochures, employee communications, newsletters, social media, email marketing campaigns and other presentations. These organizations and users vary in size and type of organization and include prosumers ranging from sole proprietors to social media influencers.</w:t>
      </w:r>
    </w:p>
    <w:p>
      <w:pPr>
        <w:spacing w:after="0" w:line="34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the use cases for our creative solutions expand, we believe our customers are seeking alternative means to consume our offerings. As a result, we have seen strong growth in customers purchasing monthly subscription products. Our subscriptions provide for a fixed number of content licenses that may be downloaded during the month. Our subscription-based pricing model makes the creative process easier because customers can download content in our collection for use in their creative process without incremental costs, which provides greater creative freedom and helps improve work product.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Customers that purchase one of our monthly recurring products for a continuous period of at least three months are considered subscribers. Our number of subscribers and our subscriber revenue have grown by 45% and 12%, respectively, as of December 31, 2020 compared to December 31, 2019. Subscriber growth has outpaced subscriber revenue growth due to the popularity and expansion of our smaller subscription plans. Our quarterly number of subscribers and subscriber revenue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82550</wp:posOffset>
            </wp:positionV>
            <wp:extent cx="5143500" cy="2143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Contributors and Content Review Process</w:t>
      </w:r>
    </w:p>
    <w:p>
      <w:pPr>
        <w:spacing w:after="0" w:line="16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Our collection of content is provided by a community of contributors from around the world and is vetted through our proprietary technology and by a specialized team of reviewers to ensure that it meets our standards of quality and licensability. Whether photographers, videographers, illustrators, designers or musicians, our community of more than 1.6 million approved contributors as of December 31, 2020 ranges from part-time enthusiasts to full-time professionals, and all content from our contributors is reviewed to ensure it meets our quality standards. The content contributed by our five highest-earning contributors was together responsible for less than 5% of downloads in 2020, demonstrating the breadth and depth of our contributor population.</w:t>
      </w:r>
    </w:p>
    <w:p>
      <w:pPr>
        <w:spacing w:after="0" w:line="102" w:lineRule="exact"/>
        <w:rPr>
          <w:sz w:val="20"/>
          <w:szCs w:val="20"/>
          <w:color w:val="auto"/>
        </w:rPr>
      </w:pPr>
    </w:p>
    <w:p>
      <w:pPr>
        <w:jc w:val="both"/>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breadth and quality of our content offerings are critical to our success, and we have created an easy-to-use online and mobile account creation process, where we enable contributors to create an account, become verified, submit content, and once approved for submission, upload content onto our platform for licensing. Our contributor website and mobile application operate in 21 languages and contributors can register and upload content directly within the mobile application.</w:t>
      </w:r>
    </w:p>
    <w:p>
      <w:pPr>
        <w:spacing w:after="0" w:line="11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use proprietary computer vision technology along with a trained team of reviewers to complete a comprehensive evaluation of all content submissions. Our content review process is highly efficient, and our content review team generally evaluates and processes images and footage within 24 hours of submission to make them available for license on our sites, while working to continually improve our process to reduce review time.</w:t>
      </w:r>
    </w:p>
    <w:p>
      <w:pPr>
        <w:spacing w:after="0" w:line="108"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Contributors are required to add a descriptive title and up to 50 keywords to each image and footage submission. We guide our contributors to provide terms that not only describe literally the objects in the image or clip, but also what is conveyed conceptually and thematically. We provide technical keywording assistance to contributors through our suggested keyword tools, which include a tool that leverages our proprietary computer vision technology to automatically suggest keywords based on visually similar images. We have compiled a vast amount of data relating to the content in our collection, including keywords and aggregated customer behavioral data, which combined with our proprietary computer vision and artificial intelligence technology, drives discovery of content through our search algorithms and search engine optimization (SEO), therefore empowering customers to discover the content best suited for their needs.</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evaluate submissions based on certain technical and legal criteria to ensure we maintain the quality and integrity of our content library, including whether applicable releases have been obtained, whether third-party intellectual property is excluded and seeking to minimize other technical concerns such as excess noise or focus issues. As of December 31, 2020, over 575 million images and footage clips have been submitted from verified contributor accounts. For each content submission that is not approved during the review process, we notify the contributor by email with an explanation why the image was not published, including guidance on our standards and insight into customers’ expectations. We believe that this feedback is valuable to contributors and enhances the quality of future content submissions as well as our customers’ experience.</w:t>
      </w: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Content accepted into our collection is added to our web properties where it is available for search, selection, license and download. Contributors are paid based on how many times their content has been licensed in the previous month. Contributors may choose to remove their content from our collection, subject to the terms of service that govern our contributor relationships.</w:t>
      </w:r>
    </w:p>
    <w:p>
      <w:pPr>
        <w:spacing w:after="0" w:line="95" w:lineRule="exact"/>
        <w:rPr>
          <w:sz w:val="20"/>
          <w:szCs w:val="20"/>
          <w:color w:val="auto"/>
        </w:rPr>
      </w:pPr>
    </w:p>
    <w:p>
      <w:pPr>
        <w:ind w:right="80" w:firstLine="405"/>
        <w:spacing w:after="0" w:line="242" w:lineRule="auto"/>
        <w:rPr>
          <w:sz w:val="20"/>
          <w:szCs w:val="20"/>
          <w:color w:val="auto"/>
        </w:rPr>
      </w:pPr>
      <w:r>
        <w:rPr>
          <w:rFonts w:ascii="Times New Roman" w:cs="Times New Roman" w:eastAsia="Times New Roman" w:hAnsi="Times New Roman"/>
          <w:sz w:val="18"/>
          <w:szCs w:val="18"/>
          <w:color w:val="auto"/>
        </w:rPr>
        <w:t>We provide valuable tools and insights to our contributors. Our contributors can monitor download activity by content type and geography, as well as by self-defined imagery themes. We also provide data on search trends, allowing content creators to see which images and subjects are popular on our site, and to plan new content themes accordingly. We operate a forum for the photographers, videographers, illustrators and composers that make up our contributor community, allowing them to share tips with one another and to showcase their work. Our rigorous acceptance standards for new submissions provide contributors with a sense of challenge, accomplishment and exclusivity that makes our forums more useful and valuable.</w:t>
      </w:r>
    </w:p>
    <w:p>
      <w:pPr>
        <w:spacing w:after="0" w:line="117" w:lineRule="exact"/>
        <w:rPr>
          <w:sz w:val="20"/>
          <w:szCs w:val="20"/>
          <w:color w:val="auto"/>
        </w:rPr>
      </w:pPr>
    </w:p>
    <w:p>
      <w:pPr>
        <w:ind w:right="60" w:firstLine="405"/>
        <w:spacing w:after="0" w:line="312" w:lineRule="auto"/>
        <w:rPr>
          <w:sz w:val="20"/>
          <w:szCs w:val="20"/>
          <w:color w:val="auto"/>
        </w:rPr>
      </w:pPr>
      <w:r>
        <w:rPr>
          <w:rFonts w:ascii="Times New Roman" w:cs="Times New Roman" w:eastAsia="Times New Roman" w:hAnsi="Times New Roman"/>
          <w:sz w:val="17"/>
          <w:szCs w:val="17"/>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w:t>
      </w:r>
    </w:p>
    <w:p>
      <w:pPr>
        <w:spacing w:after="0" w:line="72"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In addition to content sourced through direct submission to our e-commerce platform, we also obtain all types of content through exclusive distribution agreements with strategic partners or through the direct acquisition of content, content libraries or archives. In certain cases, we enter into arrangements with contributors or strategic partners whereby we guarantee a minimum royalty, in exchange for exclusive rights to distribute content when we believe such exclusivity provides us with a distinct competitive advantage. When we license content that has been obtained through direct acquisition, we pay no royalties. We continuously enhance our collection through the direct acquisition of content and by entering into other strategic agreements and partnerships and we continue to seek opportunities for direct acquisition and strategic partnerships to enhance our collection and provide customers with relevant and high-quality content.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Infrastructure</w:t>
      </w:r>
    </w:p>
    <w:p>
      <w:pPr>
        <w:spacing w:after="0" w:line="16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technology is critical to our business and we have developed proprietary technology to power our products and services. We believe that delivering intuitive, fast and effective user experiences, supported by scalable technology platforms, is critical to our success. We employ technology to support both our public-facing web properties and our back-office systems. In developing, improving and enhancing these sites and systems, we focus our internal development efforts on creating and enhancing specialized proprietary software that is unique to our business and we leverage commercially available and open source technologies for our more generalized needs.</w:t>
      </w:r>
    </w:p>
    <w:p>
      <w:pPr>
        <w:spacing w:after="0" w:line="11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Our customer-facing software enables users to search the millions of images, vectors, illustrations, footage and music tracks available in our collection or request custom branded content and then select, organize, pay for, license and download the content that suits their individual needs. Our search platform evolves automatically based on behavioral data, with each search and download that a user performs on our platform providing our search engine with additional information to improve search results in subsequent queries. We consider the data that we have collected and the search technology that it powers to be an important proprietary asset and competitive advantage that allows us to provide exceptional service to our customers and enable our business. We continuously invest in the localization of our creative platform across many countries and regions, allowing customers to search and make purchases in a variety of languages and currencies.</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Further, we have continued to build and launch innovations to the customer experience. Over the last few years, we have launched additional tools on our platform, such as our image editing tools, Shutterstock Editor and our Shutterstock Editor software development kit (SDK), as well as integrations with third party creative tools, content management systems (CMS) and workflow platforms to further improve the customer’s workflow and eliminate time-consuming steps in the creative process. We continued to improve the features, functionality and availability of these tools during 2020. We also maintain an API driven infrastructure, enabling integration of our content platform with various other software tools and services, which enables businesses, and their customers, to gain access to our content without leaving their platform.</w:t>
      </w:r>
    </w:p>
    <w:p>
      <w:pPr>
        <w:spacing w:after="0" w:line="12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have developed contributor-facing web properties, which operate in 21 languages and enable individuals and creative professionals to become contributors, upload and tag content, receive feedback on their submissions from our review team, see reports on earnings and payouts, and participate in online discussion forums with other contributors, among other activities. We have also developed proprietary tools to enable our contributors to improve their success on our web properties, including our keyword trends tool that allows contributors to see what terms customers are searching for and how those search terms are trending over time, which, in turn, allows contributors to anticipate demand and generate content that customers may want to license. Our contributor-facing web properties are powered by proprietary technology which supports a content review system that allows our review team to efficiently and effectively review content submissions. Our combination of proprietary technology and large-scale datasets allows us to deliver value to our users and enhances their experience on our platform, which drives growth on our marketplace.</w:t>
      </w:r>
    </w:p>
    <w:p>
      <w:pPr>
        <w:spacing w:after="0" w:line="200" w:lineRule="exact"/>
        <w:rPr>
          <w:sz w:val="20"/>
          <w:szCs w:val="20"/>
          <w:color w:val="auto"/>
        </w:rPr>
      </w:pPr>
    </w:p>
    <w:p>
      <w:pPr>
        <w:spacing w:after="0" w:line="3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use a combination of internally-developed software and third-party applications that enable customer and contributor support, intellectual property rights and license tracking, centralized invoicing and sales order processing, customer database management, language translation and global contributor payouts, in addition to supporting the compliance, finance and accounting functions. We continually improve upon these internal tools to enable business growth and drive efficiency.</w:t>
      </w:r>
    </w:p>
    <w:p>
      <w:pPr>
        <w:spacing w:after="0" w:line="99"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Our systems infrastructure is hosted primarily by third-party cloud hosting providers that we believe offer scalable, reliable and secure global infrastructure. We also continue to invest in our infrastructure to improve the resiliency of our sites and systems.</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By using cloud services providers, we believe we are able to dedicate an increasing proportion of our technology resources to scaling our business, better serving our rapidly growing collection of content and meeting global customer demand. We believe continued use of third-party cloud hosting, along with improvements to our platform, allow us to further diversify our product offerings, reach new customers and contributors around the world and enable our developers to rapidly deploy new products, features and functionality.</w:t>
      </w:r>
    </w:p>
    <w:p>
      <w:pPr>
        <w:spacing w:after="0" w:line="11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have expanded our use of content delivery network solutions to help enable our customers around the world to have sustained and reliable high-speed access to our platform. As we continue to grow our business, our technological needs continue to expand and therefore, we continually invest in our technology to enhance existing products and services and develop new products and services. We view our investments in technology as integral to our long-term success and we intend to continue to investigate, develop and make capital investments in technology and operational systems that support our current business and new areas of potential business expansion.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market to new customers through a diverse set of performance and brand marketing channels including paid search, online display advertising, print advertising, trade shows, email marketing, direct mail, affiliate marketing, public relations, social media and partnerships. We also use customer relationship management (CRM) marketing to grow the lifetime value of our existing customers. Our marketing activities aim to raise awareness of our brands and attract paying customers to our websites and our direct sales organization by promoting the key value propositions of our offerings: diverse and high-quality content, intuitive and efficient interfaces and economical content options.</w:t>
      </w:r>
    </w:p>
    <w:p>
      <w:pPr>
        <w:spacing w:after="0" w:line="116" w:lineRule="exact"/>
        <w:rPr>
          <w:sz w:val="20"/>
          <w:szCs w:val="20"/>
          <w:color w:val="auto"/>
        </w:rPr>
      </w:pPr>
    </w:p>
    <w:p>
      <w:pPr>
        <w:jc w:val="both"/>
        <w:ind w:right="220" w:firstLine="405"/>
        <w:spacing w:after="0" w:line="258" w:lineRule="auto"/>
        <w:rPr>
          <w:sz w:val="20"/>
          <w:szCs w:val="20"/>
          <w:color w:val="auto"/>
        </w:rPr>
      </w:pPr>
      <w:r>
        <w:rPr>
          <w:rFonts w:ascii="Times New Roman" w:cs="Times New Roman" w:eastAsia="Times New Roman" w:hAnsi="Times New Roman"/>
          <w:sz w:val="18"/>
          <w:szCs w:val="18"/>
          <w:color w:val="auto"/>
        </w:rPr>
        <w:t>As our marketing efforts attract additional paying customers and generate more revenue for us, our contributors are also able to receive increased earnings from us. Increasing contributor earnings helps attract more content submissions, which in turn helps Shutterstock convert and retain even more paying customers. We believe the high degree of satisfaction that customers have with our product drives word-of-mouth recommendations, which helps our marketing efforts attract an even broader and more diverse audience than we reach directly. Therefore, we believe our marketing efforts have a self-reinforcing network effect, which powers the growth and success of our marketplace.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162"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In addition to outbound sales and marketing activities, our customer service teams assist users worldwide via email, chat and phone in over 20 languages and 150 countries. We have customer service teams in a variety of locations including Singapore, Berlin and New York.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Rights and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Rights and Indemnification</w:t>
      </w:r>
    </w:p>
    <w:p>
      <w:pPr>
        <w:spacing w:after="0" w:line="121"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7"/>
          <w:szCs w:val="17"/>
          <w:color w:val="auto"/>
        </w:rPr>
        <w:t>All of the content that we make available to customers on our websites is offered under perpetual, royalty-free licenses, with the exception of certain custom, editorial, music, and other content with specific licensing requirements. Royalty-free means that once a customer has licensed content from us, that customer may use the associated content in accordance with the license terms in perpetuity without having to pay any ongoing royalties to us. Typically, content from our library is licensed on a non-exclusive basis, meaning that multiple customers can license the same image, footage clip or music track under the applicable Shutterstock license agreement. Custom content is one-of-a-kind branded content and is licensed on an exclusive basis to our customers to fulfill their specific use-cases. We do not typically require that contributors of content to our library provide their content to us on an exclusive basis, with the exception of custom content and certain editorial, music and other content to which we have exclusive distribution rights. However, once a contributor’s content is licensed through our platform, such content is perpetually subject to the customer’s license even if the contributor removes the image from our marketplace, except in periodic circumstances where content is removed due to concerns about third-party intellectual property rights.</w:t>
      </w:r>
    </w:p>
    <w:p>
      <w:pPr>
        <w:spacing w:after="0" w:line="6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Under our various license agreements,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w:t>
      </w: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pornographic or obscene. Provided that a customer has not breached the license agreement or any other agreement with us, we will defend, indemnify, and hold a customer harmless from direct damages attributable to breaches of the express representations and warranties provided in our license agreements. From time to time, we agree to customize our license agreements with non-standard indemnification terms. Regardless of customization, indemnification only applies to claims for damages attributable to our breach of the express representations and warranties provided in our license agreement and is generally conditioned on our timely receipt of an indemnification claim and our right to assume the defense of such claim. Our license agreements generally cap our indemnification obligations at amounts ranging from $10,000 to $250,000, with exceptions for certain products for which our indemnification obligations may be uncapped. We maintain commercially reasonable insurance intended to protect against the costs of intellectual property litigation and our indemnification obligations under our license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 trademark, copyright and domain name registrations, as well as trade secret protections.</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own a portfolio of trademarks, including “Shutterstock,” “Offset,” “Bigstock,” “Rex Features,” “PremiumBeat,” “Shutterstock Editorial,” “Shutterstock Select” and “Shutterstock Editor” and associated logos. We will pursue additional trademark registrations to the extent that we create any additional material and registrable trademarks or logos. We are the registered owner of a variety of the shutterstock.com, bigstock.com, offset.com, premiumbeat.com, and rexfeatures.com internet domain names and various other related domain names. We have successfully recovered infringing domain names in the past and intend to continue to enforce our rights in the future. We also own copyrights, including certain content on our web properties, publications and designs, as well as patents, including with respect to our display systems and search capabilities. These intellectual property rights are important to our business and marketing efforts. The duration of the protection afforded to our intellectual property depends on the type of property in question, the laws and regulations of the relevant jurisdiction and the terms of our license agreements with others. With respect to our trademarks, trade names and patents,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We believe the duration of our patents is adequate, relative to the expected lives of our products.</w:t>
      </w:r>
    </w:p>
    <w:p>
      <w:pPr>
        <w:spacing w:after="0" w:line="10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 protect our intellectual property rights by relying on federal, state, and common law rights, including registration, in the United States and applicable foreign jurisdictions, as well as contractual restrictions. We enforce and protect our intellectual property rights through litigation from time to time, and by controlling access to our intellectual property and proprietary technology, in part, by entering into confidentiality and proprietary rights agreements with our employees, consultants, contractors, and vendors. In this way, we have historically chosen to protect our software and other technological intellectual property as trade secrets. We further control the use of our proprietary technology and intellectual property through provisions in our websites’ terms of use and license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subject to a number of U.S. federal and state and foreign laws and regulations that affect companies conducting business on the internet as well as companies that provide access to content. Many of these laws and regulations are still evolving and are being tested in courts, and the manner in which existing laws and regulations will be applied to the internet and online content in general, and how the foregoing will relate to our business in particular, is still unclear in many cases. These laws and regulations may involve privacy, data management and protection (including with respect to personal information), cybersecurity, content regulation, intellectual property ownership and infringement, defamation, publicity rights, advertising, marketing, employment, taxation, e-commerce, subscription-based billing, quality of products and services, internet neutrality, antitrust, outsourcing, securities law compliance, and online payment services. Additionally, because we operate internationally, we need to comply with various laws associated with doing business outside of the United States, including data privacy and security, anti-money laundering, sanctions, anti-corruption and export control laws. A number of U.S. federal and state and foreign laws that could have an impact on our business practices and e-commerce generally have already been adopted, including, for example:</w:t>
      </w:r>
    </w:p>
    <w:p>
      <w:pPr>
        <w:spacing w:after="0" w:line="113" w:lineRule="exact"/>
        <w:rPr>
          <w:sz w:val="20"/>
          <w:szCs w:val="20"/>
          <w:color w:val="auto"/>
        </w:rPr>
      </w:pPr>
    </w:p>
    <w:p>
      <w:pPr>
        <w:ind w:left="980" w:right="32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(the “DMCA”), which regulates digital material and created updated copyright laws to address the unique challenges of regulating the use of digital content.</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Directive on Copyright in the Digital Single Market, which governs a marketplace for copyright in the European Union.</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980" w:right="4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of 2003 and similar laws adopted by a number of states, which regulate the format, functionality and distribution of commercial solicitation e-mails, create criminal penalties for unmarked sexually-oriented material, and control other online marketing practices.</w:t>
      </w:r>
    </w:p>
    <w:p>
      <w:pPr>
        <w:spacing w:after="0" w:line="67" w:lineRule="exact"/>
        <w:rPr>
          <w:rFonts w:ascii="Times New Roman" w:cs="Times New Roman" w:eastAsia="Times New Roman" w:hAnsi="Times New Roman"/>
          <w:sz w:val="18"/>
          <w:szCs w:val="18"/>
          <w:color w:val="auto"/>
        </w:rPr>
      </w:pPr>
    </w:p>
    <w:p>
      <w:pPr>
        <w:ind w:left="980" w:right="140" w:hanging="324"/>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Children’s Online Privacy Protection Act and the Prosecutorial Remedies and Other Tools to End Exploitation of Children Today Act of 2003, which regulate the collection or use of information, and restrict the distribution of certain materials, as related to certain protected age groups. In addition, the Protection of Children From Sexual Predators Act of 1998 provides for reporting and other obligations by online service providers in the area of child pornography.</w:t>
      </w:r>
    </w:p>
    <w:p>
      <w:pPr>
        <w:spacing w:after="0" w:line="7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numerous state “mini-FTC” acts, which bar “deceptive” and “unfair” trade practices, including in the contexts of online advertising and representations made in privacy policies and other online representations.</w:t>
      </w:r>
    </w:p>
    <w:p>
      <w:pPr>
        <w:spacing w:after="0" w:line="5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General Data Protection Regulation (“GDPR”), which governs how we can collect and process the personal data of, primarily, European Union residents.</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Consumer Privacy Act of 2018 (“CCPA”), which governs how we can collect and process the personal data of California residents.</w:t>
      </w:r>
    </w:p>
    <w:p>
      <w:pPr>
        <w:spacing w:after="0" w:line="94"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In particular, we are subject to U.S. federal and state, and foreign laws regarding privacy and data protection as well as foreign, federal and state regulation. Foreign data protection, privacy, content regulation, consumer protection, and other laws and regulations can be more restrictive than those in the United States and often have extraterritorial application, and the interpretation and application of these laws are continuously evolving, still uncertain and remain in flux. For example, the GDPR, which took effect on May 25, 2018, includes more stringent operational requirements for entities using, processing, and transferring personal information and significant penalties for non-compliance. Several other foreign jurisdictions, such as Brazil and India, have adopted, are considering adopting, or have updated comprehensive privacy legislation to offer additional data privacy protections for individuals. In the U.S., data protection legislation is also becoming increasingly common at both the federal and state level. There are a number of legislative proposals pending before the U.S. Congress and various state legislative bodies concerning privacy, security, content regulation, data protection and other consumer issues that could affect us. For example, the State of California has enacted the CCPA, which became effective in January 2020. The CCPA, among other things, requires companies that collect personal information about California residents to make disclosures to those residents about data collection, use and sharing practices, allows residents to opt out of certain data sharing with third parties and provides a new cause of action for data breaches. Moreover, a new privacy law passed in California, the California Privacy Rights Act (“CPRA”), which is scheduled to take effect on January 1, 2023 (with a lookback to January 1, 2022), will significantly modify the CCPA, and will impose additional data protection obligations on companies such as ours doing business in California.</w:t>
      </w:r>
    </w:p>
    <w:p>
      <w:pPr>
        <w:spacing w:after="0" w:line="116"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 addition, from a taxation perspective, there are applicable and potential government regulatory matters that may impact us. In particular, certain provisions of the Tax Cuts and Jobs Act of 2017 (the “TCJA”) have had and will continue to have a significant impact on our financial position and results of operations. The TCJA continues to be subject to further regulatory interpretation and technical corrections by the U.S. Treasury Department and the I.R.S. and therefore, the full impact of the TCJA on our tax provision may continue to evolve. Further, we continue to remain subject to uncertainty related to foreign jurisdictions’ potential reactions to the TCJA, as well as evolving regulatory views and legislation regarding taxation of e-commerce businesses such as the Organization for Economic Cooperation and Development (OECD) Base Erosion and Profit Shifting (BEPS) proposals and other country specific digital tax initiatives. As these and other tax laws and related regulations continue to evolve, our financial results could prospectively be materially impacted.</w:t>
      </w:r>
    </w:p>
    <w:p>
      <w:pPr>
        <w:spacing w:after="0" w:line="12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application, interpretation, and enforcement of these U.S. and foreign laws and regulations are often uncertain, particularly in the rapidly evolving industry in which we operate, and may be interpreted and applied inconsistently from country to country and inconsistently with our current policies and practices. Any existing or new legislation applicable to our operations could expose us to substantial liability, including significant expenses necessary to comply with such laws and regulations, to respond to regulatory inquiries or investigations, and to defend individual or class litigation. These events could dampen growth in the use of the internet in general, and cause Shutterstock to divert significant resources and funds to addressing these issues, and possibly require us to change our business practices.</w:t>
      </w: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seek to be an integral component of the creative process for our customers based on a number of factors including the quality, relevance and breadth of content; ability to source new content; accessibility of content; distribution capabilities; ease and speed of search and fulfillment; content pricing models and practices; content licensing options and the degree to which users are protected from legal risk; brand recognition and reputation; the effective use of current and emerging technology; the global nature of our interfaces and marketing efforts, including the degree of localization; and customer service. We also compete for contributors on the basis of several similar factors including ease and speed of the upload and content review process; the volume of customers who license their submitted content; contributor commission models and practices; the degree to which contributors are protected from legal risk; brand recognition and reputation; the effective use of technology; the global nature of our interfaces; and customer service.</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industry in which we operate is extremely competitive and rapidly evolving, with low barriers to entry. Some of our currently and potentially significant competitors include:</w:t>
      </w:r>
    </w:p>
    <w:p>
      <w:pPr>
        <w:spacing w:after="0" w:line="94" w:lineRule="exact"/>
        <w:rPr>
          <w:sz w:val="20"/>
          <w:szCs w:val="20"/>
          <w:color w:val="auto"/>
        </w:rPr>
      </w:pPr>
    </w:p>
    <w:p>
      <w:pPr>
        <w:ind w:left="980" w:right="60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platforms that feature marketplaces for stock content or creative workflow tools such as Getty Images and its iStockphoto offering, AdobeStock, VimeoStock, Canva and Pond5;</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visual content companies that are established in local, content or product-specific market segments, such as Visual China Group;</w:t>
      </w:r>
    </w:p>
    <w:p>
      <w:pPr>
        <w:spacing w:after="0" w:line="117"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commercially licensable music such as Universal Music Publishing Group, Sony/ATV Music Publishing and Warner/Chappell Music;</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image search and discovery such as Google Images;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for image hosting, art and related products such as Flickr;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free images, photography, music, footage and related tools;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networking and social media services;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photographers and photography agencies.</w:t>
      </w:r>
    </w:p>
    <w:p>
      <w:pPr>
        <w:spacing w:after="0" w:line="15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addition, we compete with the alternative of creating one’s own content or choosing not to consume licensed content due to price considerations or because the user is not aware of how to access licensed content.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Company and its consolidated subsidiaries have 967 full-time employees as of December 31, 2020, as compared to 1,116 as of December 31, 2019. Approximately 64% of our global workforce is located in North America and 29% are located in Europe with the remainder located in the rest of the world. None of our employees in the United States are covered by collective bargaining arrangements. In several foreign jurisdictions, including Italy, Canada, France, and Brazil, our employees may be subject to national collective bargaining agreements that set minimum salaries, benefits, working conditions and / or termination requirements. We consider our employee relations to be satisfactory. Competition for qualified personnel in our industry is intense, particularly for software engineers, computer scientists and other technical staff.</w:t>
      </w:r>
    </w:p>
    <w:p>
      <w:pPr>
        <w:spacing w:after="0" w:line="120"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Our people are critical to our success. We have implemented certain strategies with respect to our employees, to provide a safe, rewarding and respectful workplace. We adhere to our Code of Business Conduct and Ethics, which sets forth a commitment to our stakeholders, including our employees, to operate with integrity and mutual respect. We also incorporate safety principles into every aspect of our business. We have well-developed health and safety programs, which are reinforced through policies, education and engagement of our employees.</w:t>
      </w:r>
    </w:p>
    <w:p>
      <w:pPr>
        <w:spacing w:after="0" w:line="100"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strive to create an outstanding employee experience by creating a culture aligned with our principles by providing our employees access to the programs and initiatives that promote their career growth and development, recognize and reward their performance and support their overall well-being. Our Total Rewards program focuses on developing and implementing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Through our Total Rewards program, we provide our employees with competitive fixed and/or variable pay, and for eligible employees we currently provide access to medical, dental and life insurance benefits, disability coverage, a 401(k) plan, equity-based compensation and employee assistance programs, among other benefits. We encourage employee engagement through regular employee events, productive communication, our global recognition program and by creating a culture of belonging. Our Diversity, Equity and Inclusion (“DEI”) mission is supported by the work of our employee resource groups, our DEI Council, senior leadership and our employees across the globe.</w:t>
      </w:r>
    </w:p>
    <w:p>
      <w:pPr>
        <w:spacing w:after="0" w:line="200" w:lineRule="exact"/>
        <w:rPr>
          <w:sz w:val="20"/>
          <w:szCs w:val="20"/>
          <w:color w:val="auto"/>
        </w:rPr>
      </w:pPr>
    </w:p>
    <w:p>
      <w:pPr>
        <w:spacing w:after="0" w:line="3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During the COVID-19 pandemic, our commitment to our employees has been put into action. One of the principles that has guided and continues to guide our decision-making during the COVID-19 pandemic is to safeguard the health of our employees. We are following all local and national government guidance in implementing mandatory work-from-home policies and in March 2020, our global workforce effectively transitioned to working remotely. While we re-opened certain office spaces by the end of 2020, in order to ensure the safety of our employees, our voluntary work-from-home program has been extended through June 2021, and a one-time stipend was paid in December 2020 to employees who are below the level of Vice President, to offset any remote working expenses. For those employees who voluntarily elect to work from the office (where local law and public health authorities permit offices to operate), we have taken steps to ensure their safety, including providing training, deep cleaning our facilities on a regular basis, installing hand sanitizer stations, providing face masks, installing plexi-glass where appropriate, encouraging hygiene practices advised by health authorities, implementing social distancing policies and restricting business travel and site visitors. We continue to enhance our practices to remain aligned with federal, state, local and international regulations and guidelines.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as a result of a variety of factors. Our quarterly and annual results may reflect the effects of intra-period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148"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We launched our platform in 2003, and on October 5, 2012, we reorganized as Shutterstock, Inc., a Delaware corporation, from Shutterstock Images LLC, a New York limited liability company. We completed our initial public offering, in October 2012, and completed a follow-on offering in September 2013. Our common stock is listed on the New York Stock Exchange under the symbol “SSTK”.</w:t>
      </w:r>
    </w:p>
    <w:p>
      <w:pPr>
        <w:spacing w:after="0" w:line="108"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Our corporate headquarters and principal executive offices are located at 350 Fifth Avenue, 21st Floor, New York, NY 10118, and our telephone number is (646) 710-3417. We maintain a website at investor.shutterstock.com, where our Annual Reports on Form 10-K, Quarterly Reports on Form 10-Q, Current Reports on Form 8-K and all amendments to those reports are available without charge, as soon as reasonably practicable following the time they are electronically filed with or furnished to the SEC. The information on or accessible through our websites is not incorporated by reference into this Annual Report on Form 10-K. In addition, the SEC maintains a website, www.sec.gov, that includes filings of and information about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40" w:firstLine="360"/>
        <w:spacing w:after="0" w:line="277" w:lineRule="auto"/>
        <w:rPr>
          <w:sz w:val="20"/>
          <w:szCs w:val="20"/>
          <w:color w:val="auto"/>
        </w:rPr>
      </w:pPr>
      <w:r>
        <w:rPr>
          <w:rFonts w:ascii="Times New Roman" w:cs="Times New Roman" w:eastAsia="Times New Roman" w:hAnsi="Times New Roman"/>
          <w:sz w:val="17"/>
          <w:szCs w:val="17"/>
          <w:i w:val="1"/>
          <w:iCs w:val="1"/>
          <w:color w:val="auto"/>
        </w:rPr>
        <w:t>You should carefully consider the risks and uncertainties described below, together with the financial and other information contained in this Annual Report on Form 10-K. Our business may also be adversely affected by risks and uncertainties not presently known to us or that we currently believe to be immaterial. If any of the following risks, such other risks or the risks described elsewhere in this Annual Report on Form 10-K, including in the section entitled “Management’s Discussion and Analysis of Financial Condition and Results of Operations”, actually occur, our business, financial condition, operating results, cash flow and prospects could be materially adversely affected. This could cause the trading price of our common stock to decline.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Coronavirus (COVID-19) Pandemic</w:t>
      </w:r>
    </w:p>
    <w:p>
      <w:pPr>
        <w:spacing w:after="0" w:line="31" w:lineRule="exact"/>
        <w:rPr>
          <w:sz w:val="20"/>
          <w:szCs w:val="20"/>
          <w:color w:val="auto"/>
        </w:rPr>
      </w:pPr>
    </w:p>
    <w:p>
      <w:pPr>
        <w:ind w:left="420" w:right="80" w:hanging="331"/>
        <w:spacing w:after="0" w:line="261"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operations, and the operations of our customers, partners and suppliers, could have a material adverse effect on our business, financial condition, cash flows and results of operations.</w:t>
      </w: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Industry Dynamics and Competition</w:t>
      </w:r>
    </w:p>
    <w:p>
      <w:pPr>
        <w:spacing w:after="0" w:line="22" w:lineRule="exact"/>
        <w:rPr>
          <w:rFonts w:ascii="Times New Roman" w:cs="Times New Roman" w:eastAsia="Times New Roman" w:hAnsi="Times New Roman"/>
          <w:sz w:val="18"/>
          <w:szCs w:val="18"/>
          <w:color w:val="auto"/>
        </w:rPr>
      </w:pPr>
    </w:p>
    <w:p>
      <w:pPr>
        <w:ind w:left="420" w:right="260" w:hanging="331"/>
        <w:spacing w:after="0" w:line="259"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ind w:left="420" w:right="200" w:hanging="331"/>
        <w:spacing w:after="0" w:line="261"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in which we operate is highly competitive with low barriers to entry and if we do not compete effectively, our operating results could suffer.</w:t>
      </w:r>
    </w:p>
    <w:p>
      <w:pPr>
        <w:ind w:left="420" w:right="200" w:hanging="331"/>
        <w:spacing w:after="0" w:line="258"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efforts to acquire new, and retain existing, customers may not be effective or cost-efficient, and may be affected by external factors beyond our control.</w:t>
      </w:r>
    </w:p>
    <w:p>
      <w:pPr>
        <w:ind w:left="420" w:right="500" w:hanging="331"/>
        <w:spacing w:after="0" w:line="263"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increase market awareness of our brand and our existing and new products and services, our revenue may not continue to grow.</w:t>
      </w:r>
    </w:p>
    <w:p>
      <w:pPr>
        <w:spacing w:after="0" w:line="27" w:lineRule="exact"/>
        <w:rPr>
          <w:rFonts w:ascii="Times New Roman" w:cs="Times New Roman" w:eastAsia="Times New Roman" w:hAnsi="Times New Roman"/>
          <w:sz w:val="18"/>
          <w:szCs w:val="18"/>
          <w:color w:val="auto"/>
        </w:rPr>
      </w:pPr>
    </w:p>
    <w:p>
      <w:pPr>
        <w:ind w:left="420" w:right="420" w:hanging="331"/>
        <w:spacing w:after="0" w:line="258"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ind w:left="420" w:right="320" w:hanging="331"/>
        <w:spacing w:after="0" w:line="263"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into new products, services and technologies, including content categories, is inherently risky and may subject us to additional business, legal, financial and competitive risks.</w:t>
      </w:r>
    </w:p>
    <w:p>
      <w:pPr>
        <w:ind w:left="420" w:hanging="331"/>
        <w:spacing w:after="0" w:line="261"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political and social conditions, including effects on advertising and marketing budgets, may adversely affect our business and operating results.</w:t>
      </w: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Operating our Business</w:t>
      </w:r>
    </w:p>
    <w:p>
      <w:pPr>
        <w:spacing w:after="0" w:line="22"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continue to grow our revenues at historical rates.</w:t>
      </w:r>
    </w:p>
    <w:p>
      <w:pPr>
        <w:spacing w:after="0" w:line="31" w:lineRule="exact"/>
        <w:rPr>
          <w:rFonts w:ascii="Times New Roman" w:cs="Times New Roman" w:eastAsia="Times New Roman" w:hAnsi="Times New Roman"/>
          <w:sz w:val="18"/>
          <w:szCs w:val="18"/>
          <w:color w:val="auto"/>
        </w:rPr>
      </w:pPr>
    </w:p>
    <w:p>
      <w:pPr>
        <w:ind w:left="420" w:hanging="331"/>
        <w:spacing w:after="0" w:line="261"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train, manage changes to, and retain our sales force, we may be unable to add new customers or increase sales to our existing customers, and our revenue growth and business could be adversely affected.</w:t>
      </w: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continued to grow in recent periods and if we fail to effectively manage our growth, our business and operating results may suffer.</w:t>
      </w:r>
    </w:p>
    <w:p>
      <w:pPr>
        <w:spacing w:after="0" w:line="22"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make, integrate and maintain acquisitions and investments, our business could be adversely impacted.</w:t>
      </w:r>
    </w:p>
    <w:p>
      <w:pPr>
        <w:spacing w:after="0" w:line="31" w:lineRule="exact"/>
        <w:rPr>
          <w:rFonts w:ascii="Times New Roman" w:cs="Times New Roman" w:eastAsia="Times New Roman" w:hAnsi="Times New Roman"/>
          <w:sz w:val="18"/>
          <w:szCs w:val="18"/>
          <w:color w:val="auto"/>
        </w:rPr>
      </w:pPr>
    </w:p>
    <w:p>
      <w:pPr>
        <w:ind w:left="420" w:right="60" w:hanging="331"/>
        <w:spacing w:after="0" w:line="261"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risks related to our use of independent contractors.</w:t>
      </w:r>
    </w:p>
    <w:p>
      <w:pPr>
        <w:spacing w:after="0" w:line="22"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or late payments of amounts due to us from certain customers may negatively impact our financial condition.</w:t>
      </w:r>
    </w:p>
    <w:p>
      <w:pPr>
        <w:spacing w:after="0" w:line="31" w:lineRule="exact"/>
        <w:rPr>
          <w:rFonts w:ascii="Times New Roman" w:cs="Times New Roman" w:eastAsia="Times New Roman" w:hAnsi="Times New Roman"/>
          <w:sz w:val="18"/>
          <w:szCs w:val="18"/>
          <w:color w:val="auto"/>
        </w:rPr>
      </w:pPr>
    </w:p>
    <w:p>
      <w:pPr>
        <w:ind w:left="420" w:right="20" w:hanging="331"/>
        <w:spacing w:after="0" w:line="261"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payment-related risks that may result in higher operating costs or the inability to process payments, either of which could harm our financial condition and results of operations.</w:t>
      </w: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or intangible assets become impaired, we may be required to record a significant charge to earnings.</w:t>
      </w:r>
    </w:p>
    <w:p>
      <w:pPr>
        <w:spacing w:after="0" w:line="22"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and may be unable to do so on acceptable terms or at all.</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Intellectual Property and Security Vulnerabilities</w:t>
      </w:r>
    </w:p>
    <w:p>
      <w:pPr>
        <w:spacing w:after="0" w:line="31" w:lineRule="exact"/>
        <w:rPr>
          <w:rFonts w:ascii="Times New Roman" w:cs="Times New Roman" w:eastAsia="Times New Roman" w:hAnsi="Times New Roman"/>
          <w:sz w:val="18"/>
          <w:szCs w:val="18"/>
          <w:color w:val="auto"/>
        </w:rPr>
      </w:pPr>
    </w:p>
    <w:p>
      <w:pPr>
        <w:ind w:left="420" w:right="460" w:hanging="331"/>
        <w:spacing w:after="0" w:line="258"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technologies and systems to operate our business and maintain our competitiveness, and any failures in our technology infrastructure could harm our reputation and brand and adversely affect our business.</w:t>
      </w:r>
    </w:p>
    <w:p>
      <w:pPr>
        <w:ind w:left="420" w:right="240" w:hanging="331"/>
        <w:spacing w:after="0" w:line="276"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interruptions that impair access to our web properties or the efficiency of our marketplace could harm our reputation and brand and adversely affect our business and results of operations.</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ind w:left="331"/>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31" w:right="460" w:hanging="331"/>
        <w:spacing w:after="0" w:line="261"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ind w:left="331" w:right="220" w:hanging="331"/>
        <w:spacing w:after="0" w:line="263"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infringement of intellectual property rights related to our technology could result in significant costs and substantially harm our business and operating results.</w:t>
      </w:r>
    </w:p>
    <w:p>
      <w:pPr>
        <w:ind w:left="331" w:right="40" w:hanging="331"/>
        <w:spacing w:after="0" w:line="257"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store, process, transmit and use personally identifiable information and other data, which subjects us to governmental regulation and other legal obligations related to privacy, information security and data protection in many jurisdictions. Any cybersecurity breaches or our actual or perceived failure to comply with such legal obligations by us, or by our third-party service providers or partners, could harm our business.</w:t>
      </w:r>
    </w:p>
    <w:p>
      <w:pPr>
        <w:spacing w:after="0" w:line="1" w:lineRule="exact"/>
        <w:rPr>
          <w:rFonts w:ascii="Times New Roman" w:cs="Times New Roman" w:eastAsia="Times New Roman" w:hAnsi="Times New Roman"/>
          <w:sz w:val="18"/>
          <w:szCs w:val="18"/>
          <w:color w:val="auto"/>
        </w:rPr>
      </w:pPr>
    </w:p>
    <w:p>
      <w:pPr>
        <w:ind w:left="331" w:right="240" w:hanging="331"/>
        <w:spacing w:after="0" w:line="258"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and improper access to or disclosure of data or confidential information we maintain, or hacking or phishing attacks on our systems, could expose us to liability, protracted and costly litigation and damage our reputation.</w:t>
      </w:r>
    </w:p>
    <w:p>
      <w:pPr>
        <w:ind w:left="311" w:hanging="311"/>
        <w:spacing w:after="0"/>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could substantially harm our business and operating results.</w:t>
      </w:r>
    </w:p>
    <w:p>
      <w:pPr>
        <w:spacing w:after="0" w:line="31" w:lineRule="exact"/>
        <w:rPr>
          <w:rFonts w:ascii="Times New Roman" w:cs="Times New Roman" w:eastAsia="Times New Roman" w:hAnsi="Times New Roman"/>
          <w:sz w:val="18"/>
          <w:szCs w:val="18"/>
          <w:color w:val="auto"/>
        </w:rPr>
      </w:pPr>
    </w:p>
    <w:p>
      <w:pPr>
        <w:ind w:left="331" w:right="280" w:hanging="331"/>
        <w:spacing w:after="0" w:line="261"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ind w:left="331" w:right="120" w:hanging="331"/>
        <w:spacing w:after="0" w:line="258"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ind w:left="33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International Operations</w:t>
      </w:r>
    </w:p>
    <w:p>
      <w:pPr>
        <w:spacing w:after="0" w:line="31" w:lineRule="exact"/>
        <w:rPr>
          <w:rFonts w:ascii="Times New Roman" w:cs="Times New Roman" w:eastAsia="Times New Roman" w:hAnsi="Times New Roman"/>
          <w:sz w:val="18"/>
          <w:szCs w:val="18"/>
          <w:color w:val="auto"/>
        </w:rPr>
      </w:pPr>
    </w:p>
    <w:p>
      <w:pPr>
        <w:ind w:left="311" w:hanging="311"/>
        <w:spacing w:after="0"/>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our continued expansion internationally expose us to many risks.</w:t>
      </w:r>
    </w:p>
    <w:p>
      <w:pPr>
        <w:spacing w:after="0" w:line="27" w:lineRule="exact"/>
        <w:rPr>
          <w:rFonts w:ascii="Times New Roman" w:cs="Times New Roman" w:eastAsia="Times New Roman" w:hAnsi="Times New Roman"/>
          <w:sz w:val="18"/>
          <w:szCs w:val="18"/>
          <w:color w:val="auto"/>
        </w:rPr>
      </w:pPr>
    </w:p>
    <w:p>
      <w:pPr>
        <w:ind w:left="311" w:hanging="311"/>
        <w:spacing w:after="0"/>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caused by the U.K.’s exit from the European Union (Brexit) on January 31, 2020 may negatively impact our operations.</w:t>
      </w:r>
    </w:p>
    <w:p>
      <w:pPr>
        <w:spacing w:after="0" w:line="22" w:lineRule="exact"/>
        <w:rPr>
          <w:rFonts w:ascii="Times New Roman" w:cs="Times New Roman" w:eastAsia="Times New Roman" w:hAnsi="Times New Roman"/>
          <w:sz w:val="18"/>
          <w:szCs w:val="18"/>
          <w:color w:val="auto"/>
        </w:rPr>
      </w:pPr>
    </w:p>
    <w:p>
      <w:pPr>
        <w:ind w:left="311" w:hanging="311"/>
        <w:spacing w:after="0"/>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foreign exchange risk.</w:t>
      </w:r>
    </w:p>
    <w:p>
      <w:pPr>
        <w:spacing w:after="0" w:line="27" w:lineRule="exact"/>
        <w:rPr>
          <w:rFonts w:ascii="Times New Roman" w:cs="Times New Roman" w:eastAsia="Times New Roman" w:hAnsi="Times New Roman"/>
          <w:sz w:val="18"/>
          <w:szCs w:val="18"/>
          <w:color w:val="auto"/>
        </w:rPr>
      </w:pPr>
    </w:p>
    <w:p>
      <w:pPr>
        <w:ind w:left="33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Regulatory and Tax Challenges</w:t>
      </w:r>
    </w:p>
    <w:p>
      <w:pPr>
        <w:spacing w:after="0" w:line="31" w:lineRule="exact"/>
        <w:rPr>
          <w:rFonts w:ascii="Times New Roman" w:cs="Times New Roman" w:eastAsia="Times New Roman" w:hAnsi="Times New Roman"/>
          <w:sz w:val="18"/>
          <w:szCs w:val="18"/>
          <w:color w:val="auto"/>
        </w:rPr>
      </w:pPr>
    </w:p>
    <w:p>
      <w:pPr>
        <w:ind w:left="331" w:right="20" w:hanging="331"/>
        <w:spacing w:after="0" w:line="258"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the internet, both in the United States and abroad, is evolving and unfavorable changes could have a negative impact on our business.</w:t>
      </w:r>
    </w:p>
    <w:p>
      <w:pPr>
        <w:ind w:left="331" w:right="240" w:hanging="331"/>
        <w:spacing w:after="0" w:line="263"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governments to restrict access to, or operation of, our services or the content we distribute in their countries could substantially harm our reputation, business and financial results.</w:t>
      </w:r>
    </w:p>
    <w:p>
      <w:pPr>
        <w:ind w:left="331" w:right="620" w:hanging="331"/>
        <w:spacing w:after="0" w:line="261"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expose us to greater than anticipated income, non-income and transactional tax liabilities, which could harm our financial condition and results of operations.</w:t>
      </w:r>
    </w:p>
    <w:p>
      <w:pPr>
        <w:ind w:left="33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 w:lineRule="exact"/>
        <w:rPr>
          <w:rFonts w:ascii="Times New Roman" w:cs="Times New Roman" w:eastAsia="Times New Roman" w:hAnsi="Times New Roman"/>
          <w:sz w:val="18"/>
          <w:szCs w:val="18"/>
          <w:color w:val="auto"/>
        </w:rPr>
      </w:pPr>
    </w:p>
    <w:p>
      <w:pPr>
        <w:ind w:left="311" w:hanging="311"/>
        <w:spacing w:after="0"/>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which could cause our results to fall short of expectations and our stock price to decline.</w:t>
      </w:r>
    </w:p>
    <w:p>
      <w:pPr>
        <w:spacing w:after="0" w:line="31" w:lineRule="exact"/>
        <w:rPr>
          <w:rFonts w:ascii="Times New Roman" w:cs="Times New Roman" w:eastAsia="Times New Roman" w:hAnsi="Times New Roman"/>
          <w:sz w:val="18"/>
          <w:szCs w:val="18"/>
          <w:color w:val="auto"/>
        </w:rPr>
      </w:pPr>
    </w:p>
    <w:p>
      <w:pPr>
        <w:ind w:left="311" w:hanging="311"/>
        <w:spacing w:after="0"/>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will likely continue to be volatile.</w:t>
      </w:r>
    </w:p>
    <w:p>
      <w:pPr>
        <w:spacing w:after="0" w:line="27" w:lineRule="exact"/>
        <w:rPr>
          <w:rFonts w:ascii="Times New Roman" w:cs="Times New Roman" w:eastAsia="Times New Roman" w:hAnsi="Times New Roman"/>
          <w:sz w:val="18"/>
          <w:szCs w:val="18"/>
          <w:color w:val="auto"/>
        </w:rPr>
      </w:pPr>
    </w:p>
    <w:p>
      <w:pPr>
        <w:ind w:left="331" w:right="20" w:hanging="331"/>
        <w:spacing w:after="0" w:line="254"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Oringer, our founder and Executive Chairman of the Board, owns and controls approximately 36.8%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1" w:lineRule="exact"/>
        <w:rPr>
          <w:rFonts w:ascii="Times New Roman" w:cs="Times New Roman" w:eastAsia="Times New Roman" w:hAnsi="Times New Roman"/>
          <w:sz w:val="18"/>
          <w:szCs w:val="18"/>
          <w:color w:val="auto"/>
        </w:rPr>
      </w:pPr>
    </w:p>
    <w:p>
      <w:pPr>
        <w:ind w:left="331" w:right="240" w:hanging="331"/>
        <w:spacing w:after="0" w:line="263"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our common stock pursuant to our share repurchase program may affect the value of our common stock, and there can be no assurance that our share repurchase program will enhance stockholder value.</w:t>
      </w:r>
    </w:p>
    <w:p>
      <w:pPr>
        <w:ind w:left="331" w:right="300" w:hanging="331"/>
        <w:spacing w:after="0" w:line="261"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ind w:left="311" w:hanging="311"/>
        <w:spacing w:after="0"/>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share price to decline.</w:t>
      </w:r>
    </w:p>
    <w:p>
      <w:pPr>
        <w:spacing w:after="0" w:line="22" w:lineRule="exact"/>
        <w:rPr>
          <w:rFonts w:ascii="Times New Roman" w:cs="Times New Roman" w:eastAsia="Times New Roman" w:hAnsi="Times New Roman"/>
          <w:sz w:val="18"/>
          <w:szCs w:val="18"/>
          <w:color w:val="auto"/>
        </w:rPr>
      </w:pPr>
    </w:p>
    <w:p>
      <w:pPr>
        <w:ind w:left="331" w:right="20" w:hanging="331"/>
        <w:spacing w:after="0" w:line="263"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Delaware law could discourage, delay or prevent a change in control of our Company and may affect the trading price of our common stock.</w:t>
      </w:r>
    </w:p>
    <w:p>
      <w:pPr>
        <w:ind w:left="311" w:hanging="311"/>
        <w:spacing w:after="0"/>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dividends in the future.</w:t>
      </w:r>
    </w:p>
    <w:p>
      <w:pPr>
        <w:spacing w:after="0" w:line="27" w:lineRule="exact"/>
        <w:rPr>
          <w:rFonts w:ascii="Times New Roman" w:cs="Times New Roman" w:eastAsia="Times New Roman" w:hAnsi="Times New Roman"/>
          <w:sz w:val="18"/>
          <w:szCs w:val="18"/>
          <w:color w:val="auto"/>
        </w:rPr>
      </w:pPr>
    </w:p>
    <w:p>
      <w:pPr>
        <w:ind w:left="331" w:right="720" w:hanging="331"/>
        <w:spacing w:after="0" w:line="258"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expect to continue to incur increased costs and our management will continue to face increased demands as a result of continuously improving our operations as a public company.</w:t>
      </w:r>
    </w:p>
    <w:p>
      <w:pPr>
        <w:ind w:left="331" w:hanging="331"/>
        <w:spacing w:after="0" w:line="263" w:lineRule="auto"/>
        <w:tabs>
          <w:tab w:leader="none" w:pos="3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1" w:lineRule="exact"/>
        <w:rPr>
          <w:rFonts w:ascii="Times New Roman" w:cs="Times New Roman" w:eastAsia="Times New Roman" w:hAnsi="Times New Roman"/>
          <w:sz w:val="18"/>
          <w:szCs w:val="18"/>
          <w:color w:val="auto"/>
        </w:rPr>
      </w:pPr>
    </w:p>
    <w:p>
      <w:pPr>
        <w:ind w:left="33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154305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1"/>
          </w:cols>
          <w:pgMar w:left="409" w:top="121" w:right="339" w:bottom="1440" w:gutter="0" w:footer="0" w:header="0"/>
        </w:sectPr>
      </w:pPr>
    </w:p>
    <w:bookmarkStart w:id="15" w:name="page16"/>
    <w:bookmarkEnd w:id="1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Coronavirus (COVID-19) Pandemic</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 of the COVID-19 pandemic on our operations, and the operations of our customers, partners and suppliers, could have a material adverse effect on our business, financial condition, cash flows and results of operations.</w:t>
      </w:r>
    </w:p>
    <w:p>
      <w:pPr>
        <w:spacing w:after="0" w:line="51" w:lineRule="exact"/>
        <w:rPr>
          <w:sz w:val="20"/>
          <w:szCs w:val="20"/>
          <w:color w:val="auto"/>
        </w:rPr>
      </w:pPr>
    </w:p>
    <w:p>
      <w:pPr>
        <w:ind w:firstLine="405"/>
        <w:spacing w:after="0" w:line="236" w:lineRule="auto"/>
        <w:rPr>
          <w:sz w:val="20"/>
          <w:szCs w:val="20"/>
          <w:color w:val="auto"/>
        </w:rPr>
      </w:pPr>
      <w:r>
        <w:rPr>
          <w:rFonts w:ascii="Times New Roman" w:cs="Times New Roman" w:eastAsia="Times New Roman" w:hAnsi="Times New Roman"/>
          <w:sz w:val="18"/>
          <w:szCs w:val="18"/>
          <w:color w:val="auto"/>
        </w:rPr>
        <w:t>In December 2019, a novel coronavirus disease (“COVID-19”) was initially reported and on March 11, 2020, the World Health Organization characterized COVID-19 as a pandemic. COVID-19 has had a widespread and detrimental effect on the global economy as a result of the continued increase in the number of cases and affected countries and actions by public health and governmental authorities, businesses, other organizations and individuals to address the outbreak, including travel bans and restrictions, quarantines, shelter in place, stay at home or total lock-down orders and business limitations and shutdowns. Despite recent developments of vaccines, the duration and severity of COVID-19 and possible mutations and the degree of its impact on our business is uncertain and difficult to predict. The continued spread of the outbreak could result in one or more of the following conditions that could have a material adverse impact on our business operations and financial condition: decreased business spending by our customers and prospective customers, reduced demand for our products, lower renewal rates by our customers; increased customer losses/churn and turnover of talent; increased challenges in or cost of acquiring new customers and talent; reduction in the amount of content uploaded by our contributors and/or reduction in the number of contributors on our site because of reduced royalties earned by our contributors; inability of our Custom contributors and editorial photographers to complete assignments because of travel and in-person event restrictions; increased competition; increased risk in collectability of accounts receivable; reduced productivity due to remote work arrangements; lost productivity due to illness and/or illness of family members; inability to hire key roles; adverse effects on our strategic partners’ businesses; impairment charges; extreme currency exchange-rate fluctuations; inability to recover costs from insurance carriers; business continuity concerns for us and our third-party vendors; inability of counterparties to perform under their agreements with us; increased risk of vulnerability to cybersecurity attacks or breaches resulting from a greater number of our employees working remotely for extended periods of time; and challenges with Internet infrastructure due to high loads. If we are not able to respond to and manage the potential impact of such events effectively, our business could be harmed.</w:t>
      </w:r>
    </w:p>
    <w:p>
      <w:pPr>
        <w:spacing w:after="0" w:line="14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As we generally recognize revenue from our customers as content is downloaded, the impact to our reported revenue resulting from recent and near-term changes in our sales activity due to COVID-19 may not be fully apparent until future periods. Our efforts to help mitigate the negative impact of the outbreak on our business may not be effective, and we may be affected by a protracted economic downturn. Furthermore, while many governmental authorities around the world have and continue to enact legislation to address the impact of COVID-19, including measures intended to mitigate some of the more severe anticipated economic effects of the virus, we may not benefit from such legislation or such legislation may prove to be ineffective in addressing COVID-19’s impact on our and our customer’s businesses and operations.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3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addition, the overall uncertainty regarding the economic impact of the COVID-19 pandemic and the impact on our revenue growth, could impact our cash flows from operations and liquidity. To the extent the COVID-19 pandemic adversely affects our business and financial results, it may also have the effect of heightening many of the other risks described in this “Risk Factors” section. Material changes to our cash flows, liquidity and the volatility of the stock market and our stock price could impact our capital allocation strategy, including our recently introduced quarterly dividend program and our outstanding authorization under our stock repurchase program.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Industry Dynamics and Competition</w:t>
      </w:r>
    </w:p>
    <w:p>
      <w:pPr>
        <w:spacing w:after="0" w:line="171"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spacing w:after="0" w:line="67" w:lineRule="exact"/>
        <w:rPr>
          <w:sz w:val="20"/>
          <w:szCs w:val="20"/>
          <w:color w:val="auto"/>
        </w:rPr>
      </w:pPr>
    </w:p>
    <w:p>
      <w:pPr>
        <w:jc w:val="both"/>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continued use of our creative platform by customers and contributors is critical to our success. Our future performance largely depends on our ability to attract new, and retain existing, paying customers and contributors. We do not know whether we will be able to achieve user growth rates in the future similar to our previous results. The majority of our revenue is derived from customers who have purchased from us in the past, but customers have several options to find content. If we lose existing customers, or new customers are not as active as our existing customers, our financial performance and growth could be harmed.</w:t>
      </w:r>
    </w:p>
    <w:p>
      <w:pPr>
        <w:spacing w:after="0" w:line="75"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Our ability to attract new customers and contributors, and to incentivize our customers to continue purchasing our products and our contributors to add new content to our platform depends on several factors, including:</w:t>
      </w:r>
    </w:p>
    <w:p>
      <w:pPr>
        <w:spacing w:after="0" w:line="54"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content available for licensing;</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efforts;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features and functionality of our platform;</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of our products;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products and services and ability to expand our offerings;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contributors’ experience in using our platform;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accuracy of our search algorithms.</w:t>
      </w:r>
    </w:p>
    <w:p>
      <w:pPr>
        <w:spacing w:after="0" w:line="11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Further, our growth strategy relies on network effects: we rely in part on a growing audience of paying users to attract more content from contributors, thereby increasing our content selection and in turn attracting additional paying customers. For example, our global strategy relies on enabling easier global access in order to attract new contributions of local content, in turn attracting more paying customers who have preferences for local content. Any decrease in the attractiveness of our platform relative to other options available to our customers and contributors could lead to decreased engagement on our platform and unfavorably impact the network effects of our platform, which could result in loss of revenue.</w:t>
      </w:r>
    </w:p>
    <w:p>
      <w:pPr>
        <w:spacing w:after="0" w:line="7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If we are unable to grow our customer and contributor base, or retain our existing contributors and paying customers, or are unable to attract paying customers in a cost-effective manner, our financial performance, operating results and business may be adversely affected.</w:t>
      </w:r>
    </w:p>
    <w:p>
      <w:pPr>
        <w:spacing w:after="0" w:line="10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industry in which we operate is highly competitive with low barriers to entry and if we do not compete effectively, our operating results could suffer.</w:t>
      </w:r>
    </w:p>
    <w:p>
      <w:pPr>
        <w:spacing w:after="0" w:line="5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industry in which we operate is intensely competitive and rapidly evolving, with low barriers to entry. We compete with a wide and diverse array of companies, from significant media companies to individual content creators. Our current and potential domestic and international competitors range from large established companies to emerging start-ups across different industries, including online marketplace and traditional stock content suppliers of current and archival creative and editorial imagery, photography, footage, and music; specialized visual content companies in specific geographic segments; providers of commercially licensable music; websites specializing in image search, recognition, discovery and consumption; websites that host and store images, art and other related products; providers of free images, photography, music, footage and related tools (including offerings by our partners); social networking and social media services; and commissioned photographers and photography agencies.</w:t>
      </w:r>
    </w:p>
    <w:p>
      <w:pPr>
        <w:spacing w:after="0" w:line="81"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We believe that the principal competitive factors in the content industry include: quality, relevance and breadth of content; the ability to source new content; content licensing options and the degree to which users are protected from legal risk; the effective use of current and emerging technology; accessibility of content, distribution capability, and speed and ease of search and fulfillment; brand recognition and reputation; customer service; availability of additional platform features, such as workplace tools and ability to engage with additional platform features; and the global nature of a company’s interfaces and marketing efforts, including local content, languages, currencies, and payment methods. If our competitors use their experience and resources to provide an offering that is more attractive to customers across these categories, or if our competitors innovate and provide products faster than we can, we may be unable to compete effectively and our business will be harmed.</w:t>
      </w:r>
    </w:p>
    <w:p>
      <w:pPr>
        <w:spacing w:after="0" w:line="8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Many of our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Additionally, there has been a recent trend toward industry consolidation and competitors have acquired, invested in or partnered with other competitors or leveraged their own content-related competencies to enter our market. We expect this trend toward industry consolidation to continue as companies attempt to hold or strengthen their market positions in an evolving industry. We believe that industry consolidation may result in stronger competitors that are better able to compete for customers. This could lead to more variability in operating results as we compete with larger competitors and could have a material adverse effect on our business, operating results, and financial condition.</w:t>
      </w:r>
    </w:p>
    <w:p>
      <w:pPr>
        <w:spacing w:after="0" w:line="8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While we believe that there are obstacles to creating a meaningful network effect between customers and contributors, the barriers to creating a platform that allows for the licensing of content or provides workflow tools are low. If competitors offer higher royalties or more favorable royalty earning potential, easier submission workflows, or less rigorous vetting processes or incentivize contributors to distribute their content on an exclusive basis, contributors may choose to stop distributing new content with us or remove their existing content from our collection. Further, as technology advances or other market dynamics make creating, sourcing, archiving, indexing, reviewing, searching or delivering content easier or more affordable, our existing and potential competitors may also seek to develop new products, technologies or capabilities that could render many of the products, services and content types that we offer obsolete or less competitive. For any of these reasons, we may not be able to compete successfully against our current and future competitors.</w:t>
      </w: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In addition, demand for our products and services is sensitive to price. Many external factors, including our technology and personnel costs and our competitors’ pricing and marketing strategies, could significantly impact our pricing strategies and we could fail to meet our customers’ pricing expectations. Increased competition and pricing pressures may result in reduced sales, lower margins, losses or the failure of our product and services to maintain and grow their current market share, any of which could harm our business.</w:t>
      </w:r>
    </w:p>
    <w:p>
      <w:pPr>
        <w:spacing w:after="0" w:line="12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to acquire new, and retain existing, customers may not be effective or cost-efficient, and may be affected by external factors beyond our control.</w:t>
      </w:r>
    </w:p>
    <w:p>
      <w:pPr>
        <w:spacing w:after="0" w:line="5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Maintaining and promoting awareness of our platform and services is important to our ability to attract and retain customers. We spend a significant amount on marketing activities to acquire new customers and retain and engage existing customers. For example, in 2020, 2019 and 2018 our marketing expenses were approximately $81.2 million, $102.3 million and $91.5 million, respectively, and we expect our marketing expenses to continue to account for a significant portion of our operating expenses. Our business depends on a high degree of website traffic, which is dependent on many factors, including the availability of appealing website content, user loyalty and new user generation from search engine portals. Our primary marketing efforts currently are search engine marketing (“SEM”), search engine optimization (“SEO”), affiliate marketing and display advertising, as well as, social media and email. The marketing efforts we implement may not succeed for a variety of reasons, including our inability to execute and implement our plans. External factors beyond our control may also impact the success of our marketing initiatives.</w:t>
      </w:r>
    </w:p>
    <w:p>
      <w:pPr>
        <w:spacing w:after="0" w:line="84"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We obtain a significant number of visits via search engines such as Google and a critical factor in attracting customers to our websites is how prominently our website is displayed in response to search queries.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Furthermore, our failure to successfully manage our search engine optimization could result in a substantial decrease in traffic to our web properties, as well as increased costs if we were to replace free traffic with paid traffic.</w:t>
      </w:r>
    </w:p>
    <w:p>
      <w:pPr>
        <w:spacing w:after="0" w:line="8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If our marketing activities prove less successful than anticipated in attracting new customers or retaining existing customers, we may not be able to recover our marketing spend, we may not acquire new customers or our cost to acquire new customers may increase, and our existing customers may reduce the frequency or size of their purchases from us, any of which could have a material adverse effect on our business, prospects, results of operations, financial condition or cash flows.</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51"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Our growth largely depends on our ability to innovate and add value to our existing creative platform and to provide our customers and contributors with a scalable, high-performing technology infrastructure that can efficiently and reliably handle increased customer and contributor usage globally, as well as the deployment of new features. For example, footage represents significantly more data as compared to a still image, and if the proportion of our business related to footage licensing and our footage library continues to grow, we will need to expand and enhance our technological capabilities to ingest, store and search footage and music tracks in ways that are similar to our management of images. Without improvements to our technology and infrastructure, our operations might suffer from unanticipated system disruptions, slow website or application performance or unreliable service levels, any of which could negatively affect our reputation and ability to attract and retain customers and contributors. We are currently making, and plan to continue making, significant investments to maintain and enhance the technology and infrastructure supporting our customer and contributor facing web properties and software platforms and to evolve our information processes and computer systems to more efficiently run our business and remain competitive. For example, in 2020, 2019 and 2018 our product and development costs (which exclude costs that are capitalized related to internal-use software development projects), were approximately $46.0 million, $57.2 million and $58.9 million, respectively, and may continue to increase in the future as we continue to innovate. We may not achieve the anticipated benefits, significant growth or increased market share from these investments for several years, if at all. If we are unable to manage our investments successfully or in a cost-efficient manner, our business and results of operations may be harmed.</w:t>
      </w:r>
    </w:p>
    <w:p>
      <w:pPr>
        <w:spacing w:after="0" w:line="7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Our growth also depends, in part, on our ability to identify and develop new products and services and enhance existing products and services. The process of developing new products and services and enhancing existing products and services and bringing products or enhancements to market in a timely manner is complex, costly and uncertain and we may not execute successfully on our vision or strategy because of challenges such as product planning and timing, technical hurdles, or a lack of resources. The success of our products depends on several factors, including our ability to:</w:t>
      </w: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customers’ and contributors’ changing needs or emerging technological trends;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develop, complete and introduce innovative new products and enhancements;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products from those of our competitors;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products and gain market acceptance;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effective and accurate support to our customers and contributors.</w:t>
      </w:r>
    </w:p>
    <w:p>
      <w:pPr>
        <w:spacing w:after="0" w:line="11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may be unable to successfully identify new product opportunities or enhancements, develop and bring new products to market in a timely manner, or achieve market acceptance of our products. There can be no assurance that products and technologies developed by others will not render our products or technologies obsolete or less competitive. If we are unsuccessful in innovating our technology or in identifying new or enhancing our existing product offerings, our ability to compete in the marketplace, to attract and retain customers and contributors and to grow our revenue could be impaired.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we increase market awareness of our brand and our existing and new products and services, our revenue may not continue to grow.</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believe that the brand identity that we have developed has significantly contributed to the success of our products and services and that our ability to attract and retain new customers and contributors depends in large part on our ability to increase our brand awareness. We have and may continue to expend significant resources on advertising, marketing, and other brand-building efforts to preserve and enhance customer and contributor awareness of our brand, products and services. We also have incurred and expect to incur significant costs in developing and marketing new products to obtain user acceptance and we may not be successful in our efforts to increase awareness and market share of these products. Our competitors may be able to achieve and maintain brand awareness and market share more quickly and effectively than we can.</w:t>
      </w:r>
    </w:p>
    <w:p>
      <w:pPr>
        <w:spacing w:after="0" w:line="7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Our brand may be adversely affected by a number of factors, including the effectiveness of our marketing campaigns, disruptions in service due to technology, data privacy and security issues, and exploitation of our trademarks and other intellectual property by others without our permission. Maintaining and enhancing our brand will depend largely on our ability to be a leading platform for high-quality content, tools and services for creative professionals and to continue to provide a user experience that anticipates our customers’ needs. Additionally, our marketing campaigns or other efforts to increase our brand awareness may not succeed in bringing new visitors to our platform or converting such visitors to paying customers or contributors and may not be cost-effective. It is possible that, as our industry becomes increasingly competitive, maintaining and enhancing our brand may become increasingly difficult and expensive and our efforts may not be successful.</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spacing w:after="0" w:line="5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order to continue to attract and retain customers, particularly larger corporate customers, we may face greater demands in terms of greater pricing pressure, increased service requirements, greater indemnification requirements and greater working capital to accommodate the larger receivables and collections issues that are likely to occur as a result of being paid on credit terms. If we are unable to adequately address those demands or manage our resources, our ability to grow our business may be harmed, which may adversely affect our results of operations and future growth. If we address those demands in a way that expands our risk of indemnification claims, significantly increases our operating costs, reduces our ability to maintain or increase pricing, or increases our working capital requirements, our business, operating results and financial condition may suffer.</w:t>
      </w:r>
    </w:p>
    <w:p>
      <w:pPr>
        <w:spacing w:after="0" w:line="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of our operations into new products, services and technologies, including content categories, is inherently risky and may subject us to additional business, legal, financial and competitive risks.</w:t>
      </w:r>
    </w:p>
    <w:p>
      <w:pPr>
        <w:spacing w:after="0" w:line="64"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Historically, our operations have been focused on our marketplace for content. Further expansion of our operations and our marketplace into additional content categories, such as Shutterstock Editorial, or into new products and services, such as Shutterstock Custom, a provider of custom visual content we acquired in July 2017, or our workflow tools, such as Shutterstock Editor and Shutterstock Editor Pro, involves numerous risks and challenges, including increased capital requirements, increased marketing spend to gain brand awareness of these new operations, potential new competitors, and the need to develop new contributor and strategic relationships. Growth into additional content, product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products and services to offset the costs of developing, acquiring, managing and monetizing such content, products and services and our business may be adversely affected.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political and social conditions, including effects on advertising and marketing budgets, may adversely affect our business and operating results.</w:t>
      </w:r>
    </w:p>
    <w:p>
      <w:pPr>
        <w:spacing w:after="0" w:line="5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Global economic, political and social conditions can affect the business of our customers and the markets they serve, as well as disrupt the business of our vendors, third-party resellers and strategic partners. Numerous external forces beyond our control, including generally weak or uncertain economic conditions, negative or uncertain political climates, changes in government and election results in the United States and other jurisdictions in which we operate and global health epidemics, could adversely affect our financial condition. Particularly, our financial condition is affected by worldwide economic conditions and their impact on advertising spending. Expenditures by advertisers generally tend to reflect overall economic conditions, and to the extent that the economy stagnates as a result of macro conditions, companies may reduce their spending on advertising and marketing, and thus the use of our platform.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 In addition, if we are unable to successfully anticipate changing economic, political and social conditions, we may be unable to effectively plan for and respond to those changes and our business could be negatively affected.</w:t>
      </w:r>
    </w:p>
    <w:p>
      <w:pPr>
        <w:spacing w:after="0" w:line="86" w:lineRule="exact"/>
        <w:rPr>
          <w:sz w:val="20"/>
          <w:szCs w:val="20"/>
          <w:color w:val="auto"/>
        </w:rPr>
      </w:pPr>
    </w:p>
    <w:p>
      <w:pPr>
        <w:ind w:right="260" w:firstLine="405"/>
        <w:spacing w:after="0" w:line="281" w:lineRule="auto"/>
        <w:rPr>
          <w:sz w:val="20"/>
          <w:szCs w:val="20"/>
          <w:color w:val="auto"/>
        </w:rPr>
      </w:pPr>
      <w:r>
        <w:rPr>
          <w:rFonts w:ascii="Times New Roman" w:cs="Times New Roman" w:eastAsia="Times New Roman" w:hAnsi="Times New Roman"/>
          <w:sz w:val="17"/>
          <w:szCs w:val="17"/>
          <w:color w:val="auto"/>
        </w:rPr>
        <w:t>Further, economic, political and social macro developments in the United States, Europe, and Asia could negatively affect our ability to conduct business in those territories. Financial difficulties experienced by our customers, third-party resellers, vendors and strategic partners due to economic volatility or unfavorable changes could result in these companies scaling back operations, exiting businesses, merging with other businesses or filing for bankruptcy protection and potentially ceasing operations, all of which could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grow our revenues at historical rates.</w:t>
      </w:r>
    </w:p>
    <w:p>
      <w:pPr>
        <w:spacing w:after="0" w:line="121"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future profitability will depend in part on our continued ability to grow our revenues; however, we have seen a deceleration in our growth rate, which may continue, and we may not even be able to grow at all. In future periods, our revenue could grow more slowly than in recent periods or further decline for many reasons, including any increase in competition, reduction in demand for our products, inability to introduce new products or enhance our existing product offerings, pricing pressures, contraction of our overall market or our failure to capitalize on growth opportunities. In addition, while we plan to manage our growth in a cost-effective manner, we expect expenses to increase in the near term, particularly as we continue to make significant investments in our technology and operational infrastructure, continue to expand our operations globally and develop new products and features for, and enhancements of, our existing products. A significant decrease in our historical rate of growth may adversely impact our results of operations and financial condition. If our growth rate declines further, investors’ perceptions of our business may be adversely affected, and the trading price of our common stock could decline.</w:t>
      </w:r>
    </w:p>
    <w:p>
      <w:pPr>
        <w:spacing w:after="0" w:line="13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train, manage changes to, and retain our sales force, we may be unable to add new customers or increase sales to our existing customers, and our revenue growth and business could be adversely affected.</w:t>
      </w:r>
    </w:p>
    <w:p>
      <w:pPr>
        <w:spacing w:after="0" w:line="51"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Customers in our Enterprise sales channel provided approximately 38%, 40% and 41% of our revenues in 2020, 2019 and 2018, respectively. These customers have unique content, licensing and workflow needs and we have a dedicated sales, service and research team to provide a number of enhancements to those customers’ creative workflows including non-standard licensing rights, multi-seat access, multi-brand licensing packages and content licensed for use-cases outside of those available for license on our e-commerce platform. We have been optimizing our sales team and refining the manner in which our products and services are sold through this channel. However, we are continuing to build our sales leadership team and sales strategy. We also periodically adjust our sales organization as part of our efforts to optimize our sales operation to grow revenue.</w:t>
      </w:r>
    </w:p>
    <w:p>
      <w:pPr>
        <w:spacing w:after="0" w:line="79"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We continue to be substantially dependent on our sales force to effectively obtain new customers and to drive additional use cases and adoption among our existing customers. We believe that there is significant competition for sales personnel with the skills and knowledge that we require. Our ability to achieve significant revenue growth will depend, in large part, on our success in recruiting, training and retaining sufficient numbers of qualified sales personnel to support our growth. Our growth creates additional challenges and risks with respect to attracting, integrating and retaining qualified employees, particularly enterprise sales leadership and sales personnel. In addition, we expect that, if we continue to grow, a large percentage of our sales force at any time will be new to the company and our offerings. New hires require significant training and may take a significant amount of time before they achieve full productivity. Further, as we develop and evolve our sales and go-to-market strategies, additional training for new hires and our existing team may be required for our sales force to successfully execute on those strategies. Our recent hires and planned hires may not become productive as quickly as we expect, and we may be unable to hire or retain sufficient numbers of qualified individuals in the markets where we do business or plan to do business.</w:t>
      </w:r>
    </w:p>
    <w:p>
      <w:pPr>
        <w:spacing w:after="0" w:line="200" w:lineRule="exact"/>
        <w:rPr>
          <w:sz w:val="20"/>
          <w:szCs w:val="20"/>
          <w:color w:val="auto"/>
        </w:rPr>
      </w:pPr>
    </w:p>
    <w:p>
      <w:pPr>
        <w:spacing w:after="0" w:line="3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If we have not structured our sales organization or compensation for our sales organization properly, if we fail to make changes in a timely fashion, if we are unable to hire and train a sufficient number of effective sales leadership and personnel, if our sales personnel are not successful in obtaining new customers or increasing sales to our existing customer base, or if we do not effectively manage changes in our sales force and sales strategy, our business and results of operations could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continued to grow in recent periods and if we fail to effectively manage our growth, our business and operating results may suffer.</w:t>
      </w:r>
    </w:p>
    <w:p>
      <w:pPr>
        <w:spacing w:after="0" w:line="12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the last several years, we have continued to experience revenue growth and may continue to experience such growth in the future. For example, our revenues increased from $623.3 million in 2018 to $650.5 million in 2019 and to $666.7 million in 2020. Our continued growth has placed significant demands on our management and our administrative, operational and financial infrastructure and our success will depend in part on our ability to manage this growth efficiently. Specifically, as our operations have grown in size, scope and complexity, we have made and expect to continue to make significant expenditures and allocate valuable management resources to improve and upgrade our technology, customer service, sales and marketing infrastructure and product offerings, including new product offerings, and to continue developing or acquiring new and relevant content and product offerings. Growth may also strain our ability to maintain reliable operation of our platform, enhance our operational, financial and management controls and reporting systems and recruit, train and retain highly skilled personnel. If we fail to effectively allocate our limited resources within our organization as it grows and do not successfully implement improved technology and infrastructure, our business, operating results and financial condition may suffer.</w:t>
      </w:r>
    </w:p>
    <w:p>
      <w:pPr>
        <w:spacing w:after="0" w:line="8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Further, as we have a limited history of operations at our current scale and under our current strategy, our ability to forecast our future operating results and plan for and model future growth is more limited than that of companies with longer operating histories and is subject to a number of uncertainties. In addition, we have encountered and expect to continue to encounter risks and uncertainties frequently experienced by growing companies in rapidly changing markets. If our assumptions regarding these risks and uncertainties are incorrect or change, or if we do not execute on our strategy and manage these risks and uncertainties successfully, our operating results could differ materially from our expectations and those of securities analysts and investors, our business could suffer and the trading price of our common stock could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make, integrate and maintain acquisitions and investments, our business could be adversely impacted.</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have acquired, invested in and entered into strategic relationships with companies, and we may acquire, invest in or enter into strategic relationships with additional companies to complement our existing business and the breadth of our offerings. These transactions are inherently risky and expose us to risks which include:</w:t>
      </w:r>
    </w:p>
    <w:p>
      <w:pPr>
        <w:spacing w:after="0" w:line="68"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including diverting management’s attention from existing businesses and operations;</w:t>
      </w:r>
    </w:p>
    <w:p>
      <w:pPr>
        <w:spacing w:after="0" w:line="117"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launching or acquiring new products or extending our existing platform, particularly in market segments or geographies where we have limited or no experience;</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technology and assets, including content collections, into our systems and offerings;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acquired liabilities;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personnel;</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vulnerabilities;</w:t>
      </w:r>
    </w:p>
    <w:p>
      <w:pPr>
        <w:spacing w:after="0" w:line="117"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accounting, financial reporting, management, infrastructure and information security, human resources and other administrative and operational systems;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resulting from the recording of goodwill and intangible assets that are subject to impairment testing;</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damage to employee, customer, contributor and other supplier relationships;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economic, political and social risks related to geographies where we have limited or no experience;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unknown liabilities.</w:t>
      </w:r>
    </w:p>
    <w:p>
      <w:pPr>
        <w:spacing w:after="0" w:line="117" w:lineRule="exact"/>
        <w:rPr>
          <w:sz w:val="20"/>
          <w:szCs w:val="20"/>
          <w:color w:val="auto"/>
        </w:rPr>
      </w:pPr>
    </w:p>
    <w:p>
      <w:pPr>
        <w:ind w:right="720" w:firstLine="405"/>
        <w:spacing w:after="0" w:line="266" w:lineRule="auto"/>
        <w:rPr>
          <w:sz w:val="20"/>
          <w:szCs w:val="20"/>
          <w:color w:val="auto"/>
        </w:rPr>
      </w:pPr>
      <w:r>
        <w:rPr>
          <w:rFonts w:ascii="Times New Roman" w:cs="Times New Roman" w:eastAsia="Times New Roman" w:hAnsi="Times New Roman"/>
          <w:sz w:val="18"/>
          <w:szCs w:val="18"/>
          <w:color w:val="auto"/>
        </w:rPr>
        <w:t>Future acquisitions or investments could also result in potential dilutive issuances of equity securities, use of significant cash balances or the incurrence of debt, any of which could adversely affect our stock price, financial condition and results of operations. Further, our acquisitions or investments could result in significant impairments related to goodwill and amortization</w:t>
      </w: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expenses related to other intangible assets and exposure to undisclosed or potential liabilities of the acquired companies. To the extent that the goodwill arising from the acquisitions carried on the financial statements does not pass a goodwill impairment test, excess goodwill will be impaired and will reduce future earnings.</w:t>
      </w:r>
    </w:p>
    <w:p>
      <w:pPr>
        <w:spacing w:after="0" w:line="68"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Additionally, companies with which we have strategic relationships, including those we have invested in, may not be successful, may have interests that are different from ours which may result in conflicting views as to the conduct of ongoing business or may pivot or shift their business model. In the event that these companies do not succeed in their operating plans or shift their priorities, or we have a disagreement as to the management or conduct of the business and/or relationship, which we cannot resolve, we may lose the value of any investment in these companies and be forced to record impairment charges.</w:t>
      </w:r>
    </w:p>
    <w:p>
      <w:pPr>
        <w:spacing w:after="0" w:line="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cannot make assurances that our investments will be successful. If we fail to effectively integrate the companies we acquire, invest in or enter into strategic relationships with, we may not realize the benefits expected from the transaction and our business may be harmed.</w:t>
      </w:r>
    </w:p>
    <w:p>
      <w:pPr>
        <w:spacing w:after="0" w:line="10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5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are highly dependent on the continued service and performance of our senior management team as well as key personnel. We believe that the successful performance of our senior management team and key personnel is critical to managing our operations and supporting our growth. Further, many of our technologies and systems are custom-made for our business by our personnel. The loss of any key engineering, product development, marketing or sales personnel and our inability to implement a succession plan or find suitable replacements for any of these individuals could disrupt our operations and have an adverse effect on our business.</w:t>
      </w:r>
    </w:p>
    <w:p>
      <w:pPr>
        <w:spacing w:after="0" w:line="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continued and future success is also dependent, in part, on our ability to identify, attract, retain and motivate highly skilled technical, managerial, product development, marketing, content operations and customer service personnel and to preserve the key aspects of our corporate culture. Competition for qualified personnel is intense in our industry and we may be unsuccessful in offering competitive compensation packages to attract and retain personnel. Further, we believe that a critical contributor to our success and to our recruiting efforts has been our corporate culture, which we believe fosters innovation, creativity, and teamwork. As we continue to pursue growth and expansion of our operations globally, we may not be able to maintain our corporate culture, which could impact our ability to attract and retain personnel. Among other factors, we are limited in our ability to recruit internationally by restrictive domestic immigration laws. Changes to immigration policies in the U.S. and other key jurisdictions that restrain the flow of technical and professional talent may inhibit our ability to adequately recruit and retain key employees. The failure to successfully recruit and hire key personnel or the loss of any key personnel could have a significant impact on our operations and growth.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risks related to our use of independent contractors.</w:t>
      </w:r>
    </w:p>
    <w:p>
      <w:pPr>
        <w:spacing w:after="0" w:line="121" w:lineRule="exact"/>
        <w:rPr>
          <w:sz w:val="20"/>
          <w:szCs w:val="20"/>
          <w:color w:val="auto"/>
        </w:rPr>
      </w:pPr>
    </w:p>
    <w:p>
      <w:pPr>
        <w:ind w:right="40" w:firstLine="405"/>
        <w:spacing w:after="0" w:line="268" w:lineRule="auto"/>
        <w:rPr>
          <w:sz w:val="20"/>
          <w:szCs w:val="20"/>
          <w:color w:val="auto"/>
        </w:rPr>
      </w:pPr>
      <w:r>
        <w:rPr>
          <w:rFonts w:ascii="Times New Roman" w:cs="Times New Roman" w:eastAsia="Times New Roman" w:hAnsi="Times New Roman"/>
          <w:sz w:val="17"/>
          <w:szCs w:val="17"/>
          <w:color w:val="auto"/>
        </w:rPr>
        <w:t xml:space="preserve">We rely on independent third parties to provide certain services for our Company. The state of the law regarding independent contractor status varies from jurisdiction to jurisdiction and is subject to change based on court decisions and regulation. For example, on April 30, 2018, the California Supreme Court adopted a new standard for determining whether a company “employs” or is the “employer” for purposes of the California Wage Orders in its decision in the </w:t>
      </w:r>
      <w:r>
        <w:rPr>
          <w:rFonts w:ascii="Times New Roman" w:cs="Times New Roman" w:eastAsia="Times New Roman" w:hAnsi="Times New Roman"/>
          <w:sz w:val="17"/>
          <w:szCs w:val="17"/>
          <w:i w:val="1"/>
          <w:iCs w:val="1"/>
          <w:color w:val="auto"/>
        </w:rPr>
        <w:t>Dynamex Operations West, Inc. v. Superior Court</w:t>
      </w:r>
      <w:r>
        <w:rPr>
          <w:rFonts w:ascii="Times New Roman" w:cs="Times New Roman" w:eastAsia="Times New Roman" w:hAnsi="Times New Roman"/>
          <w:sz w:val="17"/>
          <w:szCs w:val="17"/>
          <w:color w:val="auto"/>
        </w:rPr>
        <w:t xml:space="preserve"> case. This standard was expanded and codified in California via Assembly Bill 5, which was signed into law in September 2019 and became effective as of January 1, 2020. The </w:t>
      </w:r>
      <w:r>
        <w:rPr>
          <w:rFonts w:ascii="Times New Roman" w:cs="Times New Roman" w:eastAsia="Times New Roman" w:hAnsi="Times New Roman"/>
          <w:sz w:val="17"/>
          <w:szCs w:val="17"/>
          <w:i w:val="1"/>
          <w:iCs w:val="1"/>
          <w:color w:val="auto"/>
        </w:rPr>
        <w:t>Dynamex</w:t>
      </w:r>
      <w:r>
        <w:rPr>
          <w:rFonts w:ascii="Times New Roman" w:cs="Times New Roman" w:eastAsia="Times New Roman" w:hAnsi="Times New Roman"/>
          <w:sz w:val="17"/>
          <w:szCs w:val="17"/>
          <w:color w:val="auto"/>
        </w:rPr>
        <w:t xml:space="preserve"> decision and Assembly Bill 5 altered the analysis of whether an individual, who is classified by a hiring entity as an independent contractor in California, has been properly classified as an independent contractor. Under the new test, an individual is considered an employee under the California Wage Orders unless the hiring entity establishes three criteria:</w:t>
      </w:r>
    </w:p>
    <w:p>
      <w:pPr>
        <w:spacing w:after="0" w:line="2" w:lineRule="exact"/>
        <w:rPr>
          <w:sz w:val="20"/>
          <w:szCs w:val="20"/>
          <w:color w:val="auto"/>
        </w:rPr>
      </w:pPr>
    </w:p>
    <w:p>
      <w:pPr>
        <w:ind w:right="60" w:firstLine="8"/>
        <w:spacing w:after="0" w:line="252"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worker is free from the control and direction of the hiring entity in connection with the performance of the work, both under the contract for the performance of such work and in fact; (ii) the worker performs work that is outside the usual course of the hiring entity’s business; and (iii) the worker is customarily engaged in an independently established trade, occupation, or business of the same nature as the work performed for the hiring entity. Assembly Bill 5 is subject to ongoing scrutiny and amendments. In addition, independent workers have been the subject of widespread national discussion and it is possible that other jurisdictions may enact laws similar to Assembly Bill 5 or that otherwise impact our business and our relationships with independent third parties. As a result, there is significant uncertainty regarding the future of the worker classification regulatory landscape.</w:t>
      </w:r>
    </w:p>
    <w:p>
      <w:pPr>
        <w:spacing w:after="0" w:line="8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lawsuits and claims that assert that certain independent contractors should be classified as our employees. Adverse determinations regarding the status of any of our independent contractors could, among other things, entitle such individuals to the reimbursement of certain expenses and to the benefit of wage-and-hour laws, and could result in the Company being liable for income taxes, employment, social security, and withholding taxes and benefits for such individuals. Any such adverse determination could result in a material reduction of the number of subcontractors we can use for our business or significantly increase our costs to serve our customers, which could adversely affect our business, financial condition and results of operations.</w:t>
      </w: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non-payment or late payments of amounts due to us from certain customers may negatively impact our financial condition.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revenue generated through sales to enterprise customers represented approximately 38% of our total revenue for the year ended December 31,</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2020 and approximately 40% of our total revenue for the year ended December 31, 2019. A portion of these customers typically purchase our products on payment terms, and therefore we assume a credit risk for non-payment in the ordinary course of business. Further, in certain jurisdictions, we contract with third-party resellers that may collect payment from customers and remit such payment to us. Therefore, we are subject to the third-party resellers’ ability to collect and remit payment to us. We evaluate the credit-worthiness of new customers and resellers and perform ongoing financial condition evaluations of our existing customers and resellers; however, there can be no assurance that our allowances for uncollected accounts receivable balances will be sufficient. As of December 31, 2020, our allowance for doubtful accounts was $4.9 million. If the volume of sales to enterprise customers grows, we expect to increase our allowance for doubtful accounts primarily as the result of changes in the volume of sales to customers who pay on payment terms or through resellers.</w:t>
      </w:r>
    </w:p>
    <w:p>
      <w:pPr>
        <w:spacing w:after="0" w:line="13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may result in higher operating costs or the inability to process payments, either of which could harm our financial condition and results of operations.</w:t>
      </w:r>
    </w:p>
    <w:p>
      <w:pPr>
        <w:spacing w:after="0" w:line="5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including if they were to suffer a cyberattack or security incident.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 Under current credit card practices, we are liable for fraudulent credit card transactions because we do not obtain cardholders’ signatures. We do not currently carry insurance against this risk. Although we have historically experienced minimal impact to our financial statements from credit card fraud, we may experience expense as a result of our failure to adequately control fraudulent credit.</w:t>
      </w:r>
    </w:p>
    <w:p>
      <w:pPr>
        <w:spacing w:after="0" w:line="8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are also subject to, or voluntarily comply with, several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review our goodwill for impairment annually as of October 1st, or more frequently if and when events or changes in circumstances indicate that an impairment may exist, such as a decline in stock price and market capitalization.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or intangible assets is determined, which would negatively affect our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and may be unable to do so on acceptable terms or at all.</w:t>
      </w:r>
    </w:p>
    <w:p>
      <w:pPr>
        <w:spacing w:after="0" w:line="12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evaluate our capital allocation strategy on an ongoing basis and make investments to support our business growth. In the future, we may require additional funds to respond to business needs, opportunities and challenges, including the need to develop new features or functions of our platform, improve our operating infrastructure or acquire complementary businesses, personnel and technologies, or develop and carry out a response to unforeseen circumstances. Our ability to obtain additional capital, if and when required, will depend on our business plans, investor demand, our operating performance, the condition of the capital markets, and other factors. If we raise additional funds through the issuance of equity, equity-linked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additional capital when required, or are unable to obtain additional capital on satisfactory terms, our ability to continue to support our business growth or to respond to business opportunities, challenges, or unforeseen circumstances could be adversely affected, and our business may be harmed.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Security Vulnerabilities</w:t>
      </w: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technologies and systems to operate our business and maintain our competitiveness, and any failures in our technology infrastructure could harm our reputation and brand and adversely affect our business.</w:t>
      </w:r>
    </w:p>
    <w:p>
      <w:pPr>
        <w:spacing w:after="0" w:line="5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technologies and systems, including technology and systems used for our platform and apps, customer service, invoicing and billing, communications, fraud detection and administration. As our operations grow in size, scope and complexity, we will need to continuously improve and upgrade our systems and infrastructure to offer an increasing number of consumer-enhanced services, features and functionalities, while maintaining and improving the reliability, security and integrity of our systems and infrastructure.</w:t>
      </w:r>
    </w:p>
    <w:p>
      <w:pPr>
        <w:spacing w:after="0" w:line="7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adapt our services and infrastructure to meet rapidly evolving consumer trends and demands while continuing to improve our platform’s performance, features and reliability. We may not be able to maintain our existing systems or replace our current systems or introduce new technologies and systems quickly or cost effectively. Failure to invest in and adapt to technological developments and industry trends may have a material adverse effect on our business, results of operations, financial condition and prospects.</w:t>
      </w:r>
    </w:p>
    <w:p>
      <w:pPr>
        <w:spacing w:after="0" w:line="72"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We rely upon third-party service providers, such as co-location and cloud service providers, for our data centers and application hosting, and we are dependent on these third parties to provide continuous power, cooling, internet connectivity and physical security for our servers, and our reliance on these third-parties can be expected to increase as we expand our infrastructure in the future.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our use of multiple production data centers enables us to provide rapid content delivery to our customers and is intended to mitigate the risks associated with supporting business continuity in the event of an emergency, a system disruption at an active data center or third-party hosting service provider could result in a noticeable disruption and performance degradation to our websites.</w:t>
      </w:r>
    </w:p>
    <w:p>
      <w:pPr>
        <w:spacing w:after="0" w:line="8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Further, our technology infrastructure may be vulnerable to damage or interruption from natural disasters, power loss, telecommunication failures, terrorist attacks, computer intrusions, vulnerabilities and viruses, software errors, computer denial-of-service attacks and other events. A significant number of the systems making up this infrastructure are not redundant, and our disaster recovery planning may not be sufficient for every eventuality. Our technology infrastructure may fail or be vulnerable to damage or interruption because of actions by third parties or employee error or malfeasance. We may not carry business interruption insurance sufficient to protect us from any and all losses that may result from interruptions in our services as a result of technology infrastructure failures or to cover all contingencies. Any interruption in the availability of our websites and on-line interactions with customers or partners may cause a reduction in customer or partner satisfaction levels, which in turn could cause additional claims, reduced revenue or loss of customers or partners. Despite any precautions we may take, such problems could result in, among other consequences, a loss of customers, loss of confidence in the stability and reliability of our platform, damage to our reputation, and legal liability, all of which may adversely affect our business, financial condition, operating results and cash flows.</w:t>
      </w:r>
    </w:p>
    <w:p>
      <w:pPr>
        <w:spacing w:after="0" w:line="82"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Technological interruptions that impair access to our web properties or the efficiency of our marketplace could harm our reputation and brand and adversely affect our business and results of operations.</w:t>
      </w:r>
    </w:p>
    <w:p>
      <w:pPr>
        <w:ind w:right="40" w:firstLine="405"/>
        <w:spacing w:after="0" w:line="273" w:lineRule="auto"/>
        <w:rPr>
          <w:sz w:val="20"/>
          <w:szCs w:val="20"/>
          <w:color w:val="auto"/>
        </w:rPr>
      </w:pPr>
      <w:r>
        <w:rPr>
          <w:rFonts w:ascii="Times New Roman" w:cs="Times New Roman" w:eastAsia="Times New Roman" w:hAnsi="Times New Roman"/>
          <w:sz w:val="17"/>
          <w:szCs w:val="17"/>
          <w:color w:val="auto"/>
        </w:rPr>
        <w:t>The satisfactory performance, reliability and availability of our web properties and our network infrastructure are critical to our reputation, our ability to attract and retain customers and contributors to our platform and our ability to maintain adequate customer service levels. Any system interruptions that result in the unavailability of our websites could result in negative publicity, damage our reputation and brand or adversely affect our results of operations. We have in the past experienced, and may in the future experience temporary system interruptions for a variety of reasons, including security breaches and other security incidents, viruses, telecommunication and other network failures, power failures, programming errors, undetected bugs, design faults, data corruption, denial-of-service attacks, poor scalability or network overload from an overwhelming number of visitors trying to reach our websites at the same time. Even a disruption as brief as a few minutes could have a negative impact on our marketplace activities and could result in a loss of revenue.</w:t>
      </w:r>
    </w:p>
    <w:p>
      <w:pPr>
        <w:spacing w:after="0" w:line="63"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Because some of the causes of system interruptions may be outside of our control, we may not be able to remedy such interruptions in a timely manner, or at all. In addition, we have entered into service level agreements with some of our larger customers and strategic partners. Technological interruptions could result in a breach of such agreements and subject us to considerable penalties and could cause our customers to believe our service is unreliable, causing harm to our business, reputation and financial condition.</w:t>
      </w:r>
    </w:p>
    <w:p>
      <w:pPr>
        <w:spacing w:after="0" w:line="68"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Our content is licensed from copyright owners such as photographers, illustrators, videographers and composers who contribute content to our collection and, subject to our licenses with our contributors, we typically offer customers a perpetual,</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royalty-free license to use the content for their editorial or commercial needs. Although we have implemented measures to review the content that we accept into our collection, we cannot guarantee that each contributor holds the rights or releases he or she claims or that such rights and releases are adequate, which in turn affects the licenses granted to our customer. As a result, we and our customers have been, and in the future will likely be, subject to third-party claims, including intellectual property infringement claims, related to our customers’ use of our content.</w:t>
      </w:r>
    </w:p>
    <w:p>
      <w:pPr>
        <w:spacing w:after="0" w:line="1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Under our license agreements with our contributors, our contributors represent and warrant that they have the right to license content to us. Under our license agreements with our customers,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We offer our customers indemnification at amounts ranging from $10,000 to $250,000, with exceptions for certain products for which our indemnification obligations are uncapped, for direct damages attributable to our breach of the express representations and warranties contained in our license agreements. However, our contractual maximum liability may not be enforceable in all jurisdictions. The aggregate amount of capped indemnification liability, or the amount of uncapped indemnification liability in individual instances, may be significant. Any customers who seek indemnification claims from us may also discontinue use of our products and services or encourage other customers to discontinue using our products and services, which could harm our business and reputation.</w:t>
      </w:r>
    </w:p>
    <w:p>
      <w:pPr>
        <w:spacing w:after="0" w:line="80"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are also subject to many federal, state, and foreign laws and regulations related to rights of publicity, rights of privacy, content regulation and intellectual property and we rely on common-law frameworks in order to provide content to our customers. These laws, regulations and frameworks are constantly evolving and may be interpreted, applied, created, or amended in a manner that could seriously harm our business. These legal frameworks are also subject to uncertain judicial interpretation and regulatory and legislative amendments. If the rules around these laws, regulations and doctrines change, if international jurisdictions refuse to apply similar protections, or if a court were to disagree with our application of those rules to our customers’ use of content, we and our customers could become subject to third-party claims and we could become subject to significant indemnification liability.</w:t>
      </w:r>
    </w:p>
    <w:p>
      <w:pPr>
        <w:spacing w:after="0" w:line="7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While we maintain insurance policies to cover potential intellectual property disputes and have not historically incurred any material financial liability as a result of these indemnification obligations individually or in the aggregate, we have incurred, and will expect to continue to incur, expenses related to such claims and related settlements, which may increase over time. If a third-party infringement claim or series of claims is brought against us in excess of our insurance coverage or for uninsured liabilities, our business could suffer. In addition, we may not be able to maintain insurance coverage at a reasonable cost or in sufficient amounts or scope to protect us against all losses.</w:t>
      </w:r>
    </w:p>
    <w:p>
      <w:pPr>
        <w:spacing w:after="0" w:line="7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Further, unauthorized parties have attempted, and may in the future attempt, to improperly use the content in our collection and such misuse of our content may result in lost revenue and increase our risk of litigation. While we have proactively enforced our intellectual property rights, preventing misuse or infringement of our content is inherently difficult and identifying and policing misuse, whether by contributors or customers, requires exceptional resources and may not always be effective. We rely on intellectual property laws and contractual restrictions to protect our rights and the content in our collection. Certain countries may be very lax in enforcing intellectual property laws or have very onerous and time-consuming requirements to enforce intellectual property rights. Litigation in those countries will likely be costly and ineffective. Consequently, these intellectual property laws afford us only limited protection. We cannot guarantee that we will be able to prevent the unauthorized use of our content or that we will be successful in stopping such use once it is detected.</w:t>
      </w:r>
    </w:p>
    <w:p>
      <w:pPr>
        <w:spacing w:after="0" w:line="8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Regardless of their merit, intellectual property and indemnification claims are time-consuming, expensive to litigate or settle and cause significant diversion of management attention and could severely harm our financial condition and reputation, and adversely affect our business.</w:t>
      </w:r>
    </w:p>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of intellectual property rights related to our technology could result in significant costs and substantially harm our business and operating results.</w:t>
      </w:r>
    </w:p>
    <w:p>
      <w:pPr>
        <w:spacing w:after="0" w:line="5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Our technology is critical to our business and we have developed proprietary technology and a robust infrastructure to power our products and services. Third parties may in the future assert that the technology we have developed infringes, misappropriates or otherwise violates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our technology is not infringing or violating any third-party intellectual property rights or rights related to use of technology.</w:t>
      </w:r>
    </w:p>
    <w:p>
      <w:pPr>
        <w:spacing w:after="0" w:line="86"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7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Furthermore, an adverse outcome of a dispute may require us to pay damages, potentially including treble damages and attorneys’ fees, if we are found to have willfully infringed a party’s intellectual property;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200" w:lineRule="exact"/>
        <w:rPr>
          <w:sz w:val="20"/>
          <w:szCs w:val="20"/>
          <w:color w:val="auto"/>
        </w:rPr>
      </w:pP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collect, store, process, transmit and use personally identifiable information and other data, which subjects us to governmental regulation and other legal obligations related to privacy, information security and data protection in many jurisdictions. Any cybersecurity breaches or our actual or perceived failure to comply with such legal obligations by us, or by our third-party service providers or partners, could harm our business.</w:t>
      </w:r>
    </w:p>
    <w:p>
      <w:pPr>
        <w:spacing w:after="0" w:line="80"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We currently provide content licensing to customers in more than 150 countries and license content from contributors located in over 100 countries. In connection with providing content licensing, we collect, store, process and use our customers’ and contributors’ personally identifiable information and other data, and we rely on third parties that are not directly under our control to do so as well. We also collect, store, process, transmit and use our employees’ personally identifiable information and other data in connection with their employment. While we take measures intended to protect the security, integrity and confidentiality of the personal information and other sensitive information we collect, store or transmit, we cannot guarantee that inadvertent or unauthorized use or disclosure will not occur, or that third parties will not gain unauthorized access to this information. There have been a number of reported incidents where third-party service providers or partners have used software to access the personal data of their customers’ or partners’ customers for marketing and other purposes. While our privacy policies prohibit such activities, our third-party service providers or partners may engage in such activity without our knowledge or consent. If we or our third-party service providers or partners were to experience a cybersecurity incident, data breach or disruption, unauthorized access or failure of systems compromising our customers’, contributors’ or employees’ data, or if one of our third-party service providers or partners were to access our customers’ personal data without authorization, our brand and reputation could be adversely affected, use of our products could decrease, we could experience business interruption and we could be exposed to a risk of loss, litigation and regulatory proceedings. Depending on the nature of the information compromised in a cybersecurity incident, data breach or disruption or unauthorized access or failure of systems compromising our customers’, contributors’ or employees’ data, we may also have obligations to notify customers, contributors, employees or governmental bodies about the incident and we may need to provide some form of remedy and compensation for the individuals affected. Complying with these obligations could cause us to incur substantial costs, including compliance, crisis management and remediation costs, and receive negative publicity.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or failure of systems.</w:t>
      </w:r>
    </w:p>
    <w:p>
      <w:pPr>
        <w:spacing w:after="0" w:line="9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Regulatory scrutiny of privacy, data collection, use of data and data protection continues to intensify both within the United States and globally. The personal information and other data we collect, store, process and use is increasingly subject to</w:t>
      </w:r>
    </w:p>
    <w:p>
      <w:pPr>
        <w:spacing w:after="0" w:line="3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legislation and regulations in numerous jurisdictions around the world, especially in Europe. These laws often develop in ways we cannot predict and some laws may be in conflict with one another. This may significantly increase our cost of doing business, particularly as we expand our localization efforts. For example, the GDPR imposes stringent operational requirements for controllers and processors of personal data of individuals in the European Economic Area (the “EEA”), and noncompliance can trigger fines of up to the greater of €20 million or 4% of global annual revenues. Further, following the U.K.’s formal exit from the E.U. in January 2020, we became subject to the GDPR as incorporated into U.K. law. In December 2020, the Brexit Trade and Cooperation Agreement (“TCA”) established a four- to six-month grace period during which transfers of personal data from the E.U. to the U.K. can continue without additional safeguards, provided that the U.K. maintains its pre-TCA data protection laws. The exit creates uncertainty with regard to the regulation of data protection in the U.K. In particular, it is unclear how data transfers to and from the U.K. will be regulated after the grace period expires and whether or not the U.K. will receive an adequacy decision from the European Commission permitting cross-border data transfer prior to leaving the E.U. Additionally, although we are making use of the E.U. Standard Contractual Clauses with regard to the transfer of certain personal data to countries outside the EEA recent legal developments in Europe have created complexity and regulatory compliance uncertainty regarding certain transfers of personal information from the EEA to the United States. For example, on July 16, 2020, the Court of Justice of the European Union (“CJEU”) invalidated the E.U.-U.S. Privacy Shield Framework (“Privacy Shield”) under which personal information could be transferred from the E.U. to U.S. entities who had self-certified under the Privacy Shield program. While the CJEU upheld the adequacy of E.U.-specified standard contractual clauses as an adequate mechanism for cross-border transfers of personal data, it made clear that reliance on them alone may not necessarily be sufficient in all circumstances and that their use must be assessed on a case-by-case basis taking into account the surveillance laws in and the right of individuals afforded by, the destination country. The CJEU went on to state that, if the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our E.U. business to the U.S. (having previously relied on Privacy Shield) and are evaluating what additional mechanisms may be required to establish adequate safeguards for personal information. As supervisory authorities issue further guidance on personal information export mechanisms, including circumstances where the standard contractual clauses cannot be used and/or start taking enforcement action, we could suffer additional costs, complaints, and/or regulatory investigations or fines. Moreover, if we are otherwise unable to transfer personal information between and among countries and regions in which we operate, it could affect the manner in which we provide our services and could adversely affect our financial results.</w:t>
      </w:r>
    </w:p>
    <w:p>
      <w:pPr>
        <w:spacing w:after="0" w:line="11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Several other foreign jurisdictions, such as Brazil, where a General Data Privacy Law that imposes detailed rules for the collection, use, processing and storage of personal data in Brazil was signed into law in August 2018 and took effect in 2020, with enforcement beginning in August 2021; and India, where in July 2018 a committee formed by the Indian government issued a report and draft data protection bill that was updated in December 2019 by the Ministry of Electronics and Information Technology and remains subject to continuing joint parliamentary review, have adopted or are considering adopting new or updated comprehensive privacy legislation to offer additional data privacy protections for individuals. Similarly, data privacy laws have been enacted in a number of jurisdictions, including, but not limited to, the European Union, Illinois and California, which regulate the collection of certain biometric data regarding individuals, including their facial images, and the use of such data, including in facial recognition systems. Similar laws have also been introduced in several additional states. We have entered into certain contractual agreements that may implicate or make use of such technology. Such laws may have the effect of adversely impacting our ability to grow our business in that area. Although we are closely monitoring regulatory developments in this area, any actual or perceived failure by us to comply with any regulatory requirements or orders or other domestic or international privacy or consumer protection-related laws and regulations could result in proceedings or actions against us by governmental entities or others (e.g., class action litigation), subject us to significant penalties and negative publicity, require us to change our business practices, increase our costs and adversely affect our business.</w:t>
      </w:r>
    </w:p>
    <w:p>
      <w:pPr>
        <w:spacing w:after="0" w:line="9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Data protection legislation is also becoming increasingly common in the United States at both the federal and state level. For example, in June 2018, the State of California enacted the CCPA, which came into effect on January 1, 2020. The CCPA requires, among other things, companies that collect personal information about California residents to make new disclosures to those residents about their data collection, use and sharing practices, allows residents to opt out of certain data sharing with third parties, and provides a new cause of action for data breaches. However, the California Privacy Rights Act (“CPRA”), certified by the California Secretary of State to appear as a ballot initiative, was passed by Californians during the November 3, 2020 election. The CPRA, which will come into effect on January 1, 2023 (with a look back to January 2022), amends and expands the CCPA to add additional disclosure obligations (including an obligation to disclose retention periods or criteria for categories of personal information), grant consumers additional rights (including rights to correct their data, limit the use and disclosure of sensitive personal information, and opt out of the sharing of personal information for certain targeted behavioral advertising purposes), and establishes a privacy enforcement agency known as the California Privacy Protection Agency (“CPPA”). The CPPA will serve as California’s chief privacy regulator, which will likely result in greater regulatory activity</w:t>
      </w:r>
    </w:p>
    <w:p>
      <w:pPr>
        <w:spacing w:after="0" w:line="200" w:lineRule="exact"/>
        <w:rPr>
          <w:sz w:val="20"/>
          <w:szCs w:val="20"/>
          <w:color w:val="auto"/>
        </w:rPr>
      </w:pP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enforcement in the privacy area. Other states have also considered or are considering privacy laws similar to the CCPA. Additionally, the Federal Trade Commission and many state attorneys general are interpreting federal and state consumer protection laws to impose standards for the online collection, use, dissemination and security of data. The scope and interpretation of data privacy and cybersecurity regulations continues to evolve, and we believe that the adoption of increasingly restrictive regulations in this area is likely in the near future within the U.S. at both state and federal levels. The burdens imposed by the CCPA, the CPRA and other similar laws that may be enacted at the federal and state level may require us to modify our data processing practices and policies and to incur substantial costs in order to investigate, comply and defend against potential private class-action litigation.</w:t>
      </w:r>
    </w:p>
    <w:p>
      <w:pPr>
        <w:spacing w:after="0" w:line="9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Further, we may be or become subject to data localization laws mandating that data collected in a foreign country be processed and stored only within that country. Russia adopted such a law in 2014, and, in 2018, India introduced a bill, which was updated in December 2019, requiring local storage of certain personal data of Indian data principals. Such data localization requirements may have cost implications for us, impact our ability to utilize the efficiencies and value of our global network, and could affect our strategy. Further, if other countries in which we have customers were to adopt data localization laws, we could be required to expand our data storage facilities there or build new ones in order to comply. The expenditure this would require, as well as costs of ongoing compliance, could harm our financial condition.</w:t>
      </w:r>
    </w:p>
    <w:p>
      <w:pPr>
        <w:spacing w:after="0" w:line="1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improper access to or disclosure of data or confidential information we maintain, or hacking or phishing attacks on our systems, could expose us to liability, protracted and costly litigation and damage our reputation.</w:t>
      </w:r>
    </w:p>
    <w:p>
      <w:pPr>
        <w:spacing w:after="0" w:line="6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As a global technology business, we and our third-party service providers collect and maintain confidential information and personal data about our employees, customers, contributors and other third parties, in connection with marketplace-related processes on our websites and, in particular, in connection with processing and remitting payments to and from our customers and contributors, and we are therefore exposed to security and fraud-related risks, which are likely to become more challenging as we expand our operations. We also rely heavily on our networks, and on the networks of third-party service providers for the secure storage, processing and transmission of confidential and other information and generally to conduct our business. Although we maintain security features on our websites and utilize encryption and authentication technology, our cybersecurity measures may not detect or prevent all attempts, whether intentional or unintentional, to hack our systems, denial-of-service attacks, viruses, malicious software, break-ins, phishing attacks, ransomware, other social engineering attacks, cybersecurity breaches or other attacks and disruptions that may jeopardize our networks and the security of information stored in and transmitted by our networks and websites.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use third-party service providers, including payment processors and co-location and cloud service vendors for our data centers and application hosting, to operate our business, and their security measures may not prevent cybersecurity incidents and other disruptions that may jeopardize their networks and the security of information stored in and transmitted by their networks. Some of the software and services that we use to operate our business, including our internal e-mail, payment processor and customer relationship management software, are also hosted by third parties. It is possible that our security measures or the security measures of our third-party service providers might be breached due to employee error, inadequate use of cybersecurity controls by customers, contributors or employees, malfeasance, system errors or vulnerabilities, or otherwise. Any such breach or unauthorized access could result in the loss of control of confidential or personal information, disruption to our business operations and significant legal and financial exposure, as well as damage to our reputation, and a loss of confidence in the security of our products and services that could potentially have an adverse effect on our business. In addition, a significant cybersecurity breach or cyber-attack could result in payment networks prohibiting us from processing transactions on their networks.</w:t>
      </w:r>
    </w:p>
    <w:p>
      <w:pPr>
        <w:spacing w:after="0" w:line="10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Although cybersecurity and the continued development and enhancement of the processes, practices and controls that are designed to protect our systems, computers, software, data and networks from attack, damage, disruption or unauthorized access are a high priority for us, because the techniques used to attack, damage, disrupt or obtain unauthorized access are constantly evolving in sophisticated ways to avoid detection and often are not recognized until launched against a target, our efforts may not be enough to anticipate or prevent a party from circumventing our security measures, or the security measures of our third-party service providers, and accessing and misusing the confidential or personal information of our employees, customers and contributors. If an actual or perceived breach of our security occurs, the market perception of the effectiveness of our security measures could be harmed and we could lose users and customers. We may also be required to expend significant capital and other resources to protect against such cybersecurity incidents to alleviate problems caused by such incidents. While we continually work to safeguard our internal network systems and validate the security of our third-party providers, to mitigate these potential risks, including through information security policies and employee awareness and training, there is no assurance that such actions will be sufficient to prevent cyber-attacks or cybersecurity breaches. Any actual or perceived breach or the perceived threat of an attack or breach, could cause our customers, contributors and other third parties to cease doing business with us, or subject us to lawsuits, regulatory fines, criminal penalties, statutory damages, and other costs, including for provision of breach notices and credit monitoring to our customers, and other action or liability, and could lead to business interruption, any of which could harm our reputation, business, financial condition and results of operations.</w:t>
      </w: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operating results.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regard our patents, trade secrets, trademarks, copyrights and our other intellectual property rights as critical to our success. We rely on trademark, copyright and patent law, trade secret protection, and non-disclosure agreements and other contractual restrictions to protect our proprietary rights. We have registered “Shutterstock”, “Offset”, “Bigstock”, “PremiumBeat,” “Rex Features” and “Shutterstock Editor” and associated logos and other marks as trademarks in the United States and other jurisdictions and we are the registered owner of the shutterstock.com, bigstock.com, offset.com, premiumbeat.com and rexfeatures.com internet domain names and various other related domain names. Effective intellectual property protection for our trademarks and domain names may not be available or practical in every country in which we operate or intend to operate.</w:t>
      </w:r>
    </w:p>
    <w:p>
      <w:pPr>
        <w:spacing w:after="0" w:line="7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Despite our efforts to protect our intellectual property rights and trade secrets, unauthorized parties may attempt to copy aspects of our intellectual property, trade secrets and other confidential information, or adopt domain names, trademarks or service names confusingly similar to ours. In order to protect our trade secrets and other confidential information, we rely in part on confidentiality agreements with our employees, consultants and third parties with which we have relationships. These agreements may not effectively prevent disclosure of trade secrets and other confidential information and may not provide an adequate remedy in the event of misappropriation of trade secrets or any unauthorized disclosure of trade secrets or other confidential information.</w:t>
      </w:r>
    </w:p>
    <w:p>
      <w:pPr>
        <w:spacing w:after="0" w:line="7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Policing our intellectual property rights is difficult, costly and may not always be effective. Litigation or proceedings to enforce our intellectual property rights, to protect our patent rights, copyrights, trademarks, trade secrets and domain names and to determine the validity and scope of the proprietary rights of others is and will be necessary to enforce our intellectual property rights.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Europe. Our efforts to enforce or protect our proprietary rights may be ineffective and could result in substantial costs and diversion of resources and management time, each of which could substantially harm our operating results.</w:t>
      </w:r>
    </w:p>
    <w:p>
      <w:pPr>
        <w:spacing w:after="0" w:line="13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51"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Much of the software and technologies used to provide our services incorporate, or have been developed with, “open source” software. Such “open source” software may be subject to third-party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way these licenses may be interpreted and enforced is therefore subject to some uncertainty. If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 If an author or other third-party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13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spacing w:after="0" w:line="51"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computers and other technological systems, as well as our data centers and the computers, systems and data centers of our third-party service providers, could be damaged or interrupted by fire, flood, power loss, telecommunications failure, earthquakes, acts of war or terrorism, acts of God, computer viruses, physical or electronic break-ins and other similar events or disruptions. Our principal executive offices are located in New York City, a region that has experienced acts of terrorism in the past. Any one of these events could cause system interruption, delays and loss of critical data and could prevent our websites, e-commerce platform and infrastructure from functioning effectively, if at all. Our systems may not be adequately designed with the necessary reliability and redundancy to avoid performance delays or outages. Any insufficiency in our redundancy or disaster recovery capabilities could make our products and service offerings less attractive, subject us to liability and could be harmful to our business. In addition, we may have inadequate insurance coverage to compensate for any related loss. Any of these events could damage our reputation and cause a material adverse effect on our financial condition.</w:t>
      </w:r>
    </w:p>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our continued expansion internationally expose us to many risks.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Revenues derived from customers outside of the United States comprise a significant portion of our revenues and we seek to expand our international operations to attract customers and contributors in countries other than the United States as a critical element of our business strategy. For each of the years ended December 31, 2020, 2019 and 2018, approximately two-thirds of our revenue, respectively, was derived from customers located outside of the United States. While a significant portion of our customers reside outside of the United States, we have limited experience operating as a company outside the United States. We expect to continue to devote significant resources to international expansion through, for example, the possibility of establishing additional offices, hiring additional overseas personnel, entering into strategic arrangements with local partners, and exploring acquisition opportunities. In addition, we expect to increase marketing for our foreign language offerings and to further localize our collection and user experience for foreign markets. Our ability to expand our business and attract talented employees, as well as customers and contributors, in an increasing number of international markets requires considerable management attention and resources and is subject to the challenges of supporting a growing business in an environment of multiple languages, cultures, customs, legal systems, alternative dispute systems, regulatory systems and commercial infrastructures. If we fail to deploy, manage or oversee our international operations successfully, our business may suffer.</w:t>
      </w:r>
    </w:p>
    <w:p>
      <w:pPr>
        <w:spacing w:after="0" w:line="138"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Additionally, expanding our international focus may subject us to risks that we have not faced before or increase risks that we currently face, including risks associated with:</w:t>
      </w:r>
    </w:p>
    <w:p>
      <w:pPr>
        <w:spacing w:after="0" w:line="54" w:lineRule="exact"/>
        <w:rPr>
          <w:sz w:val="20"/>
          <w:szCs w:val="20"/>
          <w:color w:val="auto"/>
        </w:rPr>
      </w:pPr>
    </w:p>
    <w:p>
      <w:pPr>
        <w:ind w:left="1300" w:right="66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our technology and marketing and localizing our offerings for customers’ and contributors’ preferences, customs and language;</w:t>
      </w:r>
    </w:p>
    <w:p>
      <w:pPr>
        <w:spacing w:after="0" w:line="53"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the U.K. Bribery Act and similar laws in other jurisdictions;</w:t>
      </w:r>
    </w:p>
    <w:p>
      <w:pPr>
        <w:spacing w:after="0" w:line="117"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laws and regulations, including with respect to disclosure requirements, privacy, consumer and data protection, marketing restrictions, human rights, rights of publicity, intellectual property, technology and content;</w:t>
      </w:r>
    </w:p>
    <w:p>
      <w:pPr>
        <w:spacing w:after="0" w:line="53"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e-commerce and other services and restrictive governmental actions on the distribution of content, such as filtering or removal of content;</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disturbances in a specific country’s or region’s political, economic or military conditions, including potential sanctions (e.g., civil, political and economic conditions in markets including but not limited to Russia, Ukraine and the Crimean peninsula);</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in foreign countries or lack of adoption of the internet as a medium of commerce;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in some countries, increased credit risk, and higher levels of payment fraud;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our or our contributors’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grant rights that may conflict with our business operations;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developing, managing and overseeing foreign operations as a result of travel distance, language and cultural differences as well as infrastructure, human resources and legal compliance costs;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enforcing contractual rights in our license agreements;</w:t>
      </w:r>
    </w:p>
    <w:p>
      <w:pPr>
        <w:spacing w:after="0" w:line="117"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global tax consequences, especially those that may result from the expected proactive global development of greater efforts to identify, capture and subject to income and transactional tax, e-commerce revenue earned solely via the internet;</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hyperinflation, or devaluation;</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strains on our financial and other systems to properly comply with, and administer, VAT, withholdings, sales and other taxes;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doing business internationally.</w:t>
      </w:r>
    </w:p>
    <w:p>
      <w:pPr>
        <w:spacing w:after="0" w:line="11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These risks may make it impossible or prohibitively expensive to expand to new international markets, delay entry into such markets, or require us to enter into commercial arrangements with local partners, all of which may affect our ability to grow our business. As international e-commerce and other online and web services grow, competition is expected to intensify and local companies may have a substantial competitive advantage because of their greater understanding of, and focus on, the local customer. If we do not effectively enter new international markets, our competitive advantage may be harmed.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uncertainty caused by the U.K.’s exit from the European Union (Brexit) on January 31, 2020 may negatively impact our operations.</w:t>
      </w:r>
    </w:p>
    <w:p>
      <w:pPr>
        <w:spacing w:after="0" w:line="121"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On January 31, 2020, the United Kingdom (the “U.K.”) withdrew from the European Union (the “E.U.”), commonly referred to as “Brexit,” following a July 2016 referendum in which Brexit was approved by U.K. voters. Following a transition period during which existing trade rules continued to apply through December 31, 2020, the U.K. and the E.U. entered into a EU-UK trade and cooperation agreement that details the future economic relationship between the U.K. and the E.U. The EU-UK trade and cooperation agreement went into effect on January 1, 2021, however, there is still uncertainty on the application and interpretation of many of the provisions, including with respect to the relationship between the Republic of Ireland, where the Company recently established and maintains significant technology operations, and Northern Ireland that could have adverse effects on our operations.</w:t>
      </w:r>
    </w:p>
    <w:p>
      <w:pPr>
        <w:spacing w:after="0" w:line="8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2020, sales to customers in the U.K. accounted for approximately 8% of our total revenue and sales to customers in Europe, including the U.K., accounted for approximately 33% of our total revenue. The impact of Brexit on our business will depend, in part, on the outcome of tariff, trade, regulatory and other negotiations. It is possible that economic activity in the U.K. and the E.U. will be adversely impacted and that there will be increased regulatory and legal complexities, including those relating to tax, trade, security and employees. Such changes could be costly and potentially disruptive to our operations and business relationships in these markets. In addition, Brexit could lead to economic uncertainty and instability, including significant volatility in global stock markets and currency exchange rates, that may adversely impact our business or that of our customers. Currency volatility could weaken the British pound, decreasing income from our U.K. operations translated to dollars as well as decreasing the profitability of our U.K. operations. Any of these effects of Brexit, among others, could adversely affect our business, financial condition, operating results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exchange risk.</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2020, we had operations based in a number of territories outside of the United States and a significant portion of our business may be transacted in currencies other than the U.S. dollar, including the euro, the British pound, the Australian dollar and the Japanese yen. Because our financial results are reported in U.S. dollars, fluctuations in the value of the euro, British pound, Australian dollar, Japanese yen and other currencies against the U.S. dollar have had and will continue to have a significant effect on our reported financial results. Exchange rates have been volatile in recent years and such volatility may persist due to economic and political circumstances.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decline in the value of any of the foreign currencies in which we receive revenues, including the euro, British pound, Australian dollar and Japanese yen, against the U.S. dollar will tend to reduce our reported revenues and expenses, while an increase in the value of any such foreign currencies against the U.S. dollar will tend to increase our reported revenues and expenses. Variations in exchange rates can significantly affect the comparability of our financial results between financial periods. As we further expand our international operations, our exposure to foreign exchange risk will increase.</w:t>
      </w:r>
    </w:p>
    <w:p>
      <w:pPr>
        <w:spacing w:after="0" w:line="7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At this time, we do not, but we may in the future, enter into derivatives or other financial instruments in order to hedge our foreign currency exchange risk. It is difficult to predict the impact hedging activities would have on our results of operations and any future actions we may take with respect to hedging our foreign currency exchange risk may be unsuccessful.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Tax Challenges</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5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adoption, modification or interpretation of laws or regulations relating to the internet, e-commerce or other areas of our business could adversely affect how we conduct our business or the overall popularity and growth of internet use. Such laws and regulations may cover a vast array of activities. For example, automatic contract or subscription renewal, credit card fraud and processing, sales, advertising, taxation, tariffs, data privacy, management and storage, cybersecurity, pricing, content, copyrights, distribution, electronic contracts, consumer protection, outsourcing, broadband residential internet access, internet neutrality and the characteristics and quality of products or services, and intellectual property ownership and infringement are</w:t>
      </w: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subject to jurisdictional laws and regulations. In certain countries, including European jurisdictions in particular, certain of these laws may be more restrictive than in the United States. It is not clear how some existing laws governing issues such as property ownership, sales and other taxes, data privacy and security apply to the internet and e-commerce as many of these laws were adopted prior to the advent of the internet and do not contemplate or address the unique issues raised by the internet or e-commerce.</w:t>
      </w:r>
    </w:p>
    <w:p>
      <w:pPr>
        <w:spacing w:after="0" w:line="7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Those laws that relate to the internet are at various stages of development and are subject to amendment, interpretation or repeal by the courts and agencies, and thus, the scope and reach of their applicability can be uncertain. For example, in 2010, California’s Automatic Renewal Law went into effect, requiring companies to adhere to enhanced disclosure requirements when entering into automatically renewing contracts with consumers. Several other states have adopted, or are considering the adoption of, consumer protection policies or legal precedents that purport to void or substantially limit the automatic renewal provisions of consumer contracts or free or discounted trial incentives, as well. Any failure, or perceived failure, by us to comply with any of these laws or regulations could result in litigation, damage to our reputation, lost business and proceedings or actions against us by governmental entities or others, which could impact our operating results.</w:t>
      </w:r>
    </w:p>
    <w:p>
      <w:pPr>
        <w:spacing w:after="0" w:line="8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Compliance with new regulations or legislation or new interpretations of existing regulations or legislation could cause us to incur additional expenses, make it more difficult to renew subscriptions automatically, require us to display specific disclaimers, require us to obtain consent from users for certain activities, make it more difficult to attract new customers, require us to implement costly security or other measures before users can utilize our services, or otherwise require us to alter our business model, or cause us to divert resources and funds to address government or private investigatory or adversarial proceedings. Further, the law related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 Any of these outcomes could have a material adverse effect on our business, financial condition or results of operations.</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 by governments to restrict access to, or operation of, our services or the content we distribute in their countries could substantially harm our reputation, business and financial results.</w:t>
      </w:r>
    </w:p>
    <w:p>
      <w:pPr>
        <w:spacing w:after="0" w:line="6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Foreign governments, or internet service providers acting pursuant to foreign government policies or orders, of one or more countries may seek to limit content available through our e-commerce platform in their country, restrict access to our products and services from their country entirely, or impose other restrictions that may affect the accessibility of our services in their country for an extended period of time or indefinitely if our services, or the content we distribute, are deemed to be in violation of their local laws and regulations. For example, domestic internet service providers have previously blocked access to Shutterstock in China and other countries, such as Russia, have previously restricted access to specific content available from the Shutterstock platform. There are substantial uncertainties regarding interpretation of foreign laws and regulations that may limit content available through our platform and we may be forced to significantly change or discontinue our operations in such markets if we were to be found in violation of any new or existing law or regulation. If access to our services is restricted, in whole or in part, in one or more countries or our competitors can successfully penetrate geographic markets that we cannot access, our reputation among our customers, contributors and employees may be negatively impacted, our ability to retain or increase our contributor and customer base may be adversely affected, we may not be able to maintain or grow our revenue as anticipated, and our financial results could be adversely affected.</w:t>
      </w:r>
    </w:p>
    <w:p>
      <w:pPr>
        <w:spacing w:after="0" w:line="13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expose us to greater than anticipated income, non-income and transactional tax liabilities, which could harm our financial condition and results of operations.</w:t>
      </w:r>
    </w:p>
    <w:p>
      <w:pPr>
        <w:spacing w:after="0" w:line="51"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We have operations in various taxing jurisdictions in the United States and foreign countries, and there is a risk that the fiscal authorities in one or more jurisdictions may contend that our tax liabilities and/or obligation to remit transactional taxes could be greater relative to prior taxable periods and more than anticipated relative to future taxable periods.</w:t>
      </w:r>
    </w:p>
    <w:p>
      <w:pPr>
        <w:spacing w:after="0" w:line="6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believe our worldwide provision for taxes is reasonable, but our ultimate tax liability may differ from the amounts recorded in our financial statements and may materially 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7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addition, tax law and regulatory changes in the U.S., E.U. and other jurisdictions, including tax law and regulatory changes that may be enacted by U.S. President Biden’s administration or otherwise enacted as a result of tax policy recommendations from organizations such as the Organization for Economic Co-operation and Development (the “OECD”) have and may continue to have an impact on our financial condition and results of operations.</w:t>
      </w:r>
    </w:p>
    <w:p>
      <w:pPr>
        <w:spacing w:after="0" w:line="6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Specifically, the enactment of the TCJA has had a significant impact on our financial statements and we believe may potentially have a significant ongoing impact on our financial condition and results of operations in future years. Certain provisions of the TCJA are likely to undergo revisions (in some cases, certain changes are already specifically enumerated in</w:t>
      </w: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statute) or by their terms are set to expire on certain specified future dates, unless such provisions are further modified by subsequent legislation. There continue to be unresolved questions regarding how certain provisions of the TCJA are to be interpreted and implemented. Potential regulatory and/or legislative action to address questions that have arisen or may arise because of the TCJA as well as any potential changes in accounting standards for income taxes or related interpretations in response to the TCJA could cause uncertainty with respect to the ultimate impact of the TCJA on our tax provisions.</w:t>
      </w:r>
    </w:p>
    <w:p>
      <w:pPr>
        <w:spacing w:after="0" w:line="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response to the TCJA, several sovereign foreign jurisdictions, as well as administrative bodies such as the E.U. and the OECD, have expressed reservations and raised concerns about certain provisions, and it is possible that formal challenges or reactionary regulatory legislation may be instituted by one or more of such foreign authorities that could ultimately adversely affect us and/or negate or minimize some or all of the favorable impacts that we have or may derive from the TCJA.</w:t>
      </w:r>
    </w:p>
    <w:p>
      <w:pPr>
        <w:spacing w:after="0" w:line="7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There is also heightened scrutiny by fiscal authorities in virtually every sovereign foreign jurisdiction on the potential taxation of e-commerce businesses. The OECD has issued guidelines, referred to as the Base Erosion and Profit Shifting project, or BEPS,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e-commerce business,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Further, in the fall of 2020, the OECD released details on their BEPS Pillars I &amp; II proposals for comment with implementation delayed until mid-year 2021 at the earliest. At this point, there is a lack of consensus agreement among the key members, specifically by the U.S., with the latest OECD proposal. The U.S. has expressed that it would generally support a solution along the lines proposed by the OECD only if the solution was in the form of a “safe-harbor” rather than a mandatory requirement. A failure to reach full consensus on an executable plan within the tight timeframe under which the OECD is operating could result in individual jurisdictions legislating digital tax provisions in an uncoordinated and unilateral manner, and further result in greater or even double taxation that companies may not have sufficient means to remedy. For example, a number of jurisdictions, including the UK, France and Italy, have already adopted or have formally proposed legislation to effect the taxation of certain e-commerce business based on differing criteria and metrics. Efforts to alleviate this increased tax burden will increase the cost of structuring and compliance as well as the cost of doing business internationally. Any changes to the taxation of our international activities may increase our worldwide effective tax rate and adversely impact our financial position and results of operations.</w:t>
      </w:r>
    </w:p>
    <w:p>
      <w:pPr>
        <w:spacing w:after="0" w:line="87"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Further, the prospective taxation by multiple jurisdictions of e-commerce businesses could subject us to exposure to withholding, sales, VAT and/or other transaction taxes on our past and future transactions in such jurisdictions where we currently or in the future may be required to report taxable transactions. A successful assertion by any jurisdiction that we failed to pay such withholding, sales, VAT or other transaction taxes, or the imposition of new laws requiring the registration for, collection of, and payment of such taxes, could result in substantial tax liabilities related to past, current and future sales,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these taxes. Where appropriate, we have made accruals for these taxes, which are reflected in our consolidated financial statements. Changes in the estimates or assumptions underlying these accruals could have an adverse impact on our financial condition in the future.</w:t>
      </w:r>
    </w:p>
    <w:p>
      <w:pPr>
        <w:spacing w:after="0" w:line="8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Lastly, in June 2018, the Supreme Court of the United States (the “Supreme Court”) issued its decision in the matter of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xml:space="preserve">. This decision effectively reversed the 25-year-old “physical presence doctrine” previously established by the Supreme Court in </w:t>
      </w:r>
      <w:r>
        <w:rPr>
          <w:rFonts w:ascii="Times New Roman" w:cs="Times New Roman" w:eastAsia="Times New Roman" w:hAnsi="Times New Roman"/>
          <w:sz w:val="18"/>
          <w:szCs w:val="18"/>
          <w:i w:val="1"/>
          <w:iCs w:val="1"/>
          <w:color w:val="auto"/>
        </w:rPr>
        <w:t>Quill Corp. v. North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Dakota</w:t>
      </w:r>
      <w:r>
        <w:rPr>
          <w:rFonts w:ascii="Times New Roman" w:cs="Times New Roman" w:eastAsia="Times New Roman" w:hAnsi="Times New Roman"/>
          <w:sz w:val="18"/>
          <w:szCs w:val="18"/>
          <w:color w:val="auto"/>
        </w:rPr>
        <w:t>, which required a minimum level of physical presence within a state before the state could impose an obligation to register and remit sales tax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derived within that state. Since the decision, a number of states have enacted sales tax enabling legislation which has had the effect of significantly expanding the liability of e-commerce companies to register, collect and remit state sales taxes from customers. We are in the process of registering for, and collecting sales tax in a number of states. We are in the process of determining how and when our collection practices will need to change in the relevant states and have already registered for and are collecting sales tax in several states. We are also evaluating the impact, if any, of the imposition of sales tax on customer demand for our products, or our realized revenue. However, this decision has, and will continue to, significantly increase the effort, resources and costs associated with the collection and compliance burden.</w:t>
      </w:r>
    </w:p>
    <w:p>
      <w:pPr>
        <w:spacing w:after="0" w:line="200" w:lineRule="exact"/>
        <w:rPr>
          <w:sz w:val="20"/>
          <w:szCs w:val="20"/>
          <w:color w:val="auto"/>
        </w:rPr>
      </w:pPr>
    </w:p>
    <w:p>
      <w:pPr>
        <w:spacing w:after="0" w:line="3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which could cause our results to fall short of expectations and our stock price to decline.</w:t>
      </w:r>
    </w:p>
    <w:p>
      <w:pPr>
        <w:spacing w:after="0" w:line="121"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68"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customers and to attract new customers and contributors;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new and relevant content to our customers;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changes in technology or our competitors;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service, whether or not we are responsible for such interruptions, and any related impact on our reputation and brand;</w:t>
      </w:r>
    </w:p>
    <w:p>
      <w:pPr>
        <w:spacing w:after="0" w:line="117" w:lineRule="exact"/>
        <w:rPr>
          <w:rFonts w:ascii="Times New Roman" w:cs="Times New Roman" w:eastAsia="Times New Roman" w:hAnsi="Times New Roman"/>
          <w:sz w:val="18"/>
          <w:szCs w:val="18"/>
          <w:color w:val="auto"/>
        </w:rPr>
      </w:pPr>
    </w:p>
    <w:p>
      <w:pPr>
        <w:ind w:left="1300" w:right="100" w:hanging="320"/>
        <w:spacing w:after="0" w:line="312" w:lineRule="auto"/>
        <w:tabs>
          <w:tab w:leader="none" w:pos="12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litigation or other claims, suits, investigations, audits or proceedings, including those related to our indemnification of our customers, intellectual property, tax matters, privacy matters, labor and employment matters, and/or commercial claims;</w:t>
      </w:r>
    </w:p>
    <w:p>
      <w:pPr>
        <w:spacing w:after="0" w:line="3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and the timing of, entry into new geographies or markets and, if pursued, our management of such expansion;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on our revenue and expenses;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affecting our business;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potential acquisitions of technology or businesses.</w:t>
      </w:r>
    </w:p>
    <w:p>
      <w:pPr>
        <w:spacing w:after="0" w:line="11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will likely continue to be volatile.</w:t>
      </w:r>
    </w:p>
    <w:p>
      <w:pPr>
        <w:spacing w:after="0" w:line="121"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fluctuated and may continue to fluctuate substantially. Since 2015, the reported high and low sales prices per share of our common stock have ranged from $25.44 to $77.07 through February 5, 2021. These fluctuations could cause our stockholders to lose all or part of their investment in our common stock since they may be unable to sell their shares at or above the price at which they purchased such shares.</w:t>
      </w:r>
    </w:p>
    <w:p>
      <w:pPr>
        <w:spacing w:after="0" w:line="6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68"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our share repurchase program, including purchases or the suspension of purchases under the program;</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actual performance;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or analysts to be comparable to us;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guidance we may provide to the public, any changes in such guidance, or our failure to meet such guidance;</w:t>
      </w:r>
    </w:p>
    <w:p>
      <w:pPr>
        <w:spacing w:after="0" w:line="117" w:lineRule="exact"/>
        <w:rPr>
          <w:rFonts w:ascii="Times New Roman" w:cs="Times New Roman" w:eastAsia="Times New Roman" w:hAnsi="Times New Roman"/>
          <w:sz w:val="18"/>
          <w:szCs w:val="18"/>
          <w:color w:val="auto"/>
        </w:rPr>
      </w:pPr>
    </w:p>
    <w:p>
      <w:pPr>
        <w:ind w:left="1300" w:right="720" w:hanging="320"/>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amount of cash dividends on our common stock, the suspension of those dividends or a failure to meet market expectations regarding dividends;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senior management;</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common stock;</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investors whose sales (or lack of sales) could result in positive or negative pricing pressure on the market price for our common stock;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17"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3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Jonathan Oringer, our founder and Executive Chairman of the Board, owns and controls approximately 36.8%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72"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As of February 5, 2021, Jonathan Oringer, our founder, Executive Chairman of the Board, and our largest stockholder, beneficially owned approximately 36.8% of our outstanding shares of common stock. This concentration of ownership may delay, deter or prevent a change in control, and may make some transactions more difficult or impossible to complete without the support of Mr. Oringer, regardless of the impact of such transaction on our other stockholders. Additionally, Mr. Oringer has significant influence over management and major strategic investments as a result of his position as Executive Chairman of the Board.</w:t>
      </w:r>
    </w:p>
    <w:p>
      <w:pPr>
        <w:spacing w:after="0" w:line="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Furthermore, if we purchase additional shares pursuant to our share repurchase program, Mr. Oringer’s ownership percentage would increase, and, depending on the magnitude of our repurchases and other factors impacting dilution, could result in his owning a majority of the outstanding shares of our common stock. If Mr. Oringer were to own a majority of the outstanding shares of our common stock, he would have the ability to control the outcome of certain matters requiring stockholder approval, including the election and removal of our directors and significant corporate transactions. This could also trigger certain change in control provisions in our employment agreements and agreements relating to certain outstanding equity awards.</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common stock pursuant to our share repurchase program may affect the value of our common stock, and there can be no assurance that our share repurchase program will enhance stockholder value.</w:t>
      </w:r>
    </w:p>
    <w:p>
      <w:pPr>
        <w:spacing w:after="0" w:line="51"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Pursuant to our share repurchase program which was publicly announced in November 2015, we were authorized to repurchase up to $100 million of our outstanding common stock. In February 2017, our Board authorized us to repurchase up to an additional $100 million of our outstanding common stock. We had approximately $100 million of remaining authorization for purchases under the share repurchase program as of December 31, 2020 and February 5, 2021. The timing and amount of any share repurchases will be determined based on market conditions, share price and other factors and we may not repurchase any shares under this authorization. This activity could increase (or reduce the size of any decrease in) the market price of our common stock at the time of such repurchases. Our board has the right to amend or suspend the share repurchase program at any time or terminate the share repurchase program upon a determination that termination would be in our best interests. Additionally, repurchases under our share repurchase</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program have diminished and would continue to diminish our cash reserves, which could impact our ability to pursue possible strategic opportunities and acquisitions and could result in lower overall returns on our cash balances. There can be no assurance that any share repurchases will enhance stockholder value, as the market price of our common stock may nevertheless decline.</w:t>
      </w:r>
    </w:p>
    <w:p>
      <w:pPr>
        <w:spacing w:after="0" w:line="200" w:lineRule="exact"/>
        <w:rPr>
          <w:sz w:val="20"/>
          <w:szCs w:val="20"/>
          <w:color w:val="auto"/>
        </w:rPr>
      </w:pPr>
    </w:p>
    <w:p>
      <w:pPr>
        <w:spacing w:after="0" w:line="3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51" w:lineRule="exact"/>
        <w:rPr>
          <w:sz w:val="20"/>
          <w:szCs w:val="20"/>
          <w:color w:val="auto"/>
        </w:rPr>
      </w:pPr>
    </w:p>
    <w:p>
      <w:pPr>
        <w:jc w:val="both"/>
        <w:ind w:right="140" w:firstLine="405"/>
        <w:spacing w:after="0" w:line="281" w:lineRule="auto"/>
        <w:rPr>
          <w:sz w:val="20"/>
          <w:szCs w:val="20"/>
          <w:color w:val="auto"/>
        </w:rPr>
      </w:pPr>
      <w:r>
        <w:rPr>
          <w:rFonts w:ascii="Times New Roman" w:cs="Times New Roman" w:eastAsia="Times New Roman" w:hAnsi="Times New Roman"/>
          <w:sz w:val="17"/>
          <w:szCs w:val="17"/>
          <w:color w:val="auto"/>
        </w:rPr>
        <w:t>The trading market for our common stock is likely to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us or fail to regularly publish reports on us, we could lose visibility in the financial markets, which in turn could cause our stock price or trading volume to decline.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share price to decline.</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such sales could occur, could adversely affect the market price of our common stock and may make it more difficult for our stockholders to sell their common stock at a time and price that they deem appropriate.</w:t>
      </w:r>
    </w:p>
    <w:p>
      <w:pPr>
        <w:spacing w:after="0" w:line="6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of February 5, 2021, we had 36,256,136 shares of common stock outstanding. All shares of our common stock are freely transferable without restriction or registration under the Securities Act, except for shares held by our “affiliates,” which remain subject to the restrictions set forth in Rule 144 under the Securities Act.</w:t>
      </w:r>
    </w:p>
    <w:p>
      <w:pPr>
        <w:spacing w:after="0" w:line="68"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We filed a registration statement on Form S-8 under the Securities Act covering shares of common stock issuable pursuant to options and shares reserved for future issuance under our 2012 Omnibus Equity Incentive Plan and our Amended and Restated 2012 Employee Stock Purchase Plan. Shares issued pursuant to such options and plans can be freely sold in the public market upon issuance and vesting, subject to the terms of the award agreements delivered under such plans, unless they are held by “affiliates,” as that term is defined in Rule 144 of the Securities Act.</w:t>
      </w:r>
    </w:p>
    <w:p>
      <w:pPr>
        <w:spacing w:after="0" w:line="7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51"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54" w:lineRule="exact"/>
        <w:rPr>
          <w:sz w:val="20"/>
          <w:szCs w:val="20"/>
          <w:color w:val="auto"/>
        </w:rPr>
      </w:pPr>
    </w:p>
    <w:p>
      <w:pPr>
        <w:ind w:left="1300" w:right="14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with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liability of, and provide indemnification to, our directors and officers;</w:t>
      </w:r>
    </w:p>
    <w:p>
      <w:pPr>
        <w:spacing w:after="0" w:line="117"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stockholders to call and bring business before special meetings and to take action by written consent in lieu of a meeting;</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of stockholder proposals and the nomination of candidates for election to our board of directors;</w:t>
      </w:r>
    </w:p>
    <w:p>
      <w:pPr>
        <w:spacing w:after="0" w:line="117"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w:t>
      </w:r>
    </w:p>
    <w:p>
      <w:pPr>
        <w:spacing w:after="0" w:line="117"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determination of the number of directors on our board and the filling of vacancies or newly created seats on the board to our board of directors then in office.</w:t>
      </w:r>
    </w:p>
    <w:p>
      <w:pPr>
        <w:spacing w:after="0" w:line="5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and, in certain cases, the vote of two-thirds of the shares not held by such stockholder.</w:t>
      </w:r>
    </w:p>
    <w:p>
      <w:pPr>
        <w:spacing w:after="0" w:line="6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w:t>
      </w: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existence of these provisions may adversely affect the prevailing market price of our common stock if they are viewed as discouraging takeover attempts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dividends in the future.</w:t>
      </w:r>
    </w:p>
    <w:p>
      <w:pPr>
        <w:spacing w:after="0" w:line="12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February 11, 2020, our Board of Directors approved the initiation of a quarterly dividend policy and declared the Company’s first quarterly cash dividend of $0.17 per share, which was paid in the first quarter of 2020. On January 12, 2021, we announced that our Board of Directors approved an increase to the quarterly dividend to $0.21 per share, to be paid in the first quarter of 2021. We currently expect to declare and pay cash dividends on a quarterly basis in the future. Any future dividend payments, however, will be within the discretion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that our Board of Directors may deem relevant. We may not have sufficient liquidity in the future to pay dividends on our common stock. As a result, in the future, we may not choose to, or be able to, declare or pay a cash dividend, and we may not achieve an annual dividend rate in any particular amount. In such event, the return, if any, on any investment in our common stock could depend solely on an increase, if any, in the market value of our common stock.</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reduction or elimination of our cash dividend program could adversely affect the market price of our common stock.</w:t>
      </w:r>
    </w:p>
    <w:p>
      <w:pPr>
        <w:spacing w:after="0" w:line="16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and our management will continue to face increased demands as a result of continuously improving our operations as a public company.</w:t>
      </w:r>
    </w:p>
    <w:p>
      <w:pPr>
        <w:spacing w:after="0" w:line="51"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tax, insurance, accounting and other expenses as a result of conducting our operations as a public company. For example, we have continued to upgrade our financial and business processing applications to accommodate the increased volume of products and transactions resulting from our growth to date. If we experience delays or difficulties in implementing these systems, or if we otherwise do not effectively manage our growth, we may not be able to execute on our business plan, respond to competitive pressures, take advantage of market opportunities, or satisfy customer requirements, among other things.</w:t>
      </w:r>
    </w:p>
    <w:p>
      <w:pPr>
        <w:spacing w:after="0" w:line="7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including the Sarbanes-Oxley Act of 2002, or the Sarbanes-Oxley Act, the Dodd-Frank Act and related regulations implemented by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Further, there may be uncertainty regarding the implementation of these laws due to changes in the political climate and other factors. Our compliance with Section 404 of the Sarbanes-Oxley Act has required and will continue to require that we incur substantial accounting expense and expend significant management efforts. We have incurred and expect to continue to incur costs to obtain directors’ and officers’ insurance as a result of operating as a public company, as well as additional costs necessitated by compliance matters and ongoing revisions to disclosure and governance standards.</w:t>
      </w:r>
    </w:p>
    <w:p>
      <w:pPr>
        <w:spacing w:after="0" w:line="8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Also, the TCJA amended Section 162(m) of the U.S. federal income tax code (“Section 162(m)”), which provides that public companies are not entitled to a tax deduction for individual compensation over $1 million that is paid to certain executive officers. Prior to the amendment under the TCJA, Section 162(m) provided an exception to the deductibility limitations for “performance-based compensation” that met certain requirements. As amended, beginning in 2018, except for certain grandfathered arrangements in place prior to November 2, 2017 under the amendment’s transition rules, Section 162(m) no longer includes an exception to the limitations for “performance-based compensation” and expands the group of executive officers covered by the limitation. Regulations were recently proposed to provide additional guidance regarding how the grandfathering rules are to be implemented. There can be no assurance that the evolving interpretation of the grandfathering rules will not impact whether certain cash and equity-based compensation awards granted to our executive officers prior to November 2, 2017 are exempt from the Section 162(m) deduction limitations. In addition, current and future compensation we provide to our executive officers that is not otherwise covered by the grandfathering rules, will be subject to the deduction limitation rules of Section 162(m) in 2018 and going forward and will result in an adverse income tax consequence to the Company.</w:t>
      </w:r>
    </w:p>
    <w:p>
      <w:pPr>
        <w:spacing w:after="0" w:line="8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These and other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ind w:right="6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6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75"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 each year, we could be subject to sanctions or investigations by the SEC, the New York Stock Exchange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6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corporate headquarters and principal office is located in New York, New York, where we lease approximately 103,000 square feet of office space under a lease agreement, as amended, that expires in 2029. Additionally, we have other office facilities in the United States and abroad related to, among other things, sales and marketing support, technology services and customer service under operating lease agreements that expire on various dates during the period from 2021 through 2029. We do not have any material capital lease obligations, and our property, equipment and software have been purchased with cash.</w:t>
      </w:r>
    </w:p>
    <w:p>
      <w:pPr>
        <w:spacing w:after="0" w:line="102"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 and that suitable additional or alternative space will be available on commercially reasonable terms to meet our future needs.</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14 of the Notes to Consolidated Financial Statements included in Part II, Item 8 of this Annual Report on Form 10-K.</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or the NYSE, under the symbol “SSTK.”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148" w:lineRule="exact"/>
        <w:rPr>
          <w:sz w:val="20"/>
          <w:szCs w:val="20"/>
          <w:color w:val="auto"/>
        </w:rPr>
      </w:pPr>
    </w:p>
    <w:p>
      <w:pPr>
        <w:jc w:val="both"/>
        <w:ind w:right="160" w:firstLine="405"/>
        <w:spacing w:after="0" w:line="282" w:lineRule="auto"/>
        <w:rPr>
          <w:sz w:val="20"/>
          <w:szCs w:val="20"/>
          <w:color w:val="auto"/>
        </w:rPr>
      </w:pPr>
      <w:r>
        <w:rPr>
          <w:rFonts w:ascii="Times New Roman" w:cs="Times New Roman" w:eastAsia="Times New Roman" w:hAnsi="Times New Roman"/>
          <w:sz w:val="18"/>
          <w:szCs w:val="18"/>
          <w:color w:val="auto"/>
        </w:rPr>
        <w:t>As of February 5, 2021, there were 4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three months ended December 31,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February 11, 2020, our Board of Directors approved the initiation of a quarterly cash dividend. We currently expect to continue to pay cash dividends on a quarterly basis in the future. Future declaration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 The dividend policy may be suspended or canceled at the discretion of our Board of Directors at any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2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2021 Annual Meeting of Stockholders to be filed with the SEC within 120 days after the end of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have derived the Consolidated Statements of Operations data for the years ended December 31, 2020, 2019 and 2018 and the Consolidated Balance Sheet data as of December 31, 2020 and 2019 from our audited consolidated financial statements included elsewhere in this filing. We have derived the Consolidated Statements of Operations data for the years ended December 31, 2017 and 2016 and the Consolidated Balance Sheet data as of December 31, 2018, 2017 and 2016 from our audited consolidated financial statements not included in this filing. To obtain further information about our historical results, including our historical acquisitions, for which results of operations are included in our consolidated financial statements, you should read the following selected consolidated financial data in conjunction with our consolidated financial statements and related notes, the information in the section of this filing titled “Management’s Discussion and Analysis of Financial Condition and Results of Operations” and the other financial information included elsewhere in this filing. Our historical results are not necessarily indicative of our future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8"/>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8"/>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per-share data)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47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666,686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650,523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557,111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494,317</w:t>
            </w:r>
          </w:p>
        </w:tc>
      </w:tr>
      <w:tr>
        <w:trPr>
          <w:trHeight w:val="216"/>
        </w:trPr>
        <w:tc>
          <w:tcPr>
            <w:tcW w:w="47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203,129</w:t>
            </w:r>
          </w:p>
        </w:tc>
      </w:tr>
      <w:tr>
        <w:trPr>
          <w:trHeight w:val="21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126,626</w:t>
            </w:r>
          </w:p>
        </w:tc>
      </w:tr>
      <w:tr>
        <w:trPr>
          <w:trHeight w:val="21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47,789</w:t>
            </w:r>
          </w:p>
        </w:tc>
      </w:tr>
      <w:tr>
        <w:trPr>
          <w:trHeight w:val="21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113,246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70,987</w:t>
            </w:r>
          </w:p>
        </w:tc>
      </w:tr>
      <w:tr>
        <w:trPr>
          <w:trHeight w:val="207"/>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630,368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590,798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530,762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448,531</w:t>
            </w:r>
          </w:p>
        </w:tc>
      </w:tr>
      <w:tr>
        <w:trPr>
          <w:trHeight w:val="212"/>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45,786</w:t>
            </w: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Webdam</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7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income / (expense), net</w:t>
            </w:r>
            <w:r>
              <w:rPr>
                <w:rFonts w:ascii="Times New Roman" w:cs="Times New Roman" w:eastAsia="Times New Roman" w:hAnsi="Times New Roman"/>
                <w:sz w:val="21"/>
                <w:szCs w:val="21"/>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07"/>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44,497</w:t>
            </w:r>
          </w:p>
        </w:tc>
      </w:tr>
      <w:tr>
        <w:trPr>
          <w:trHeight w:val="219"/>
        </w:trPr>
        <w:tc>
          <w:tcPr>
            <w:tcW w:w="47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Provision for income taxes</w:t>
            </w:r>
            <w:r>
              <w:rPr>
                <w:rFonts w:ascii="Times New Roman" w:cs="Times New Roman" w:eastAsia="Times New Roman" w:hAnsi="Times New Roman"/>
                <w:sz w:val="21"/>
                <w:szCs w:val="21"/>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w:t>
            </w:r>
          </w:p>
        </w:tc>
      </w:tr>
      <w:tr>
        <w:trPr>
          <w:trHeight w:val="210"/>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54,687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32,628</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5"/>
        </w:trPr>
        <w:tc>
          <w:tcPr>
            <w:tcW w:w="47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(diluted)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(basic)</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35,114</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(diluted)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35,861</w:t>
            </w: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3" w:lineRule="exact"/>
        <w:rPr>
          <w:sz w:val="20"/>
          <w:szCs w:val="20"/>
          <w:color w:val="auto"/>
        </w:rPr>
      </w:pPr>
    </w:p>
    <w:p>
      <w:pPr>
        <w:ind w:left="340" w:right="180" w:firstLine="397"/>
        <w:spacing w:after="0" w:line="253" w:lineRule="auto"/>
        <w:tabs>
          <w:tab w:leader="none" w:pos="13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2018 we adopted Accounting Standards Update (“ASU”) 2014-09, Revenue from Contracts with Customers (Topic 606) (“ASU 2014-09”) using the modified retrospective approach. Historical revenue totals reflect those previously reported and have not been restated.</w:t>
      </w:r>
    </w:p>
    <w:p>
      <w:pPr>
        <w:ind w:left="340" w:right="340" w:firstLine="397"/>
        <w:spacing w:after="0" w:line="241" w:lineRule="auto"/>
        <w:tabs>
          <w:tab w:leader="none" w:pos="13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equity-based compensation of $28.3 million, $22.8 million, $23.9 million, $25.0 million, and $28.1 million for the years ended December 31, 2020, 2019, 2018, 2017, and 2016, respectively.</w:t>
      </w:r>
    </w:p>
    <w:p>
      <w:pPr>
        <w:ind w:left="340" w:right="200" w:firstLine="397"/>
        <w:spacing w:after="0" w:line="241" w:lineRule="auto"/>
        <w:tabs>
          <w:tab w:leader="none" w:pos="13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non-operating changes in fair value of contingent consideration related to the PremiumBeat (2016) acquisition; charges related to the impairment of a long-term investment asset (2018); transaction gains and losses primarily related to cash balances of subsidiaries denominated in a currency other than the subsidiaries’ functional currencies; and interest income and expense, which is not material in any period presented.</w:t>
      </w:r>
    </w:p>
    <w:p>
      <w:pPr>
        <w:spacing w:after="0" w:line="1" w:lineRule="exact"/>
        <w:rPr>
          <w:rFonts w:ascii="Times New Roman" w:cs="Times New Roman" w:eastAsia="Times New Roman" w:hAnsi="Times New Roman"/>
          <w:sz w:val="14"/>
          <w:szCs w:val="14"/>
          <w:color w:val="auto"/>
        </w:rPr>
      </w:pPr>
    </w:p>
    <w:p>
      <w:pPr>
        <w:jc w:val="both"/>
        <w:ind w:left="340" w:right="80" w:firstLine="397"/>
        <w:spacing w:after="0" w:line="249" w:lineRule="auto"/>
        <w:tabs>
          <w:tab w:leader="none" w:pos="13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2017 provision for income taxes were provisional amounts for the specific tax effects of the TCJA, as it related to changes to existing United States tax law which included numerous provisions that affect businesses. These provisional amounts represented the Company’s reasonable estimates at that time. During 2018, the Company completed its analysis of certain income tax effects of the TCJA and did not make any significant adjustments to estimates previously recorded.</w:t>
      </w: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8"/>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8"/>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428,574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303,261</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230,852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253,428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224,190</w:t>
            </w:r>
          </w:p>
        </w:tc>
      </w:tr>
      <w:tr>
        <w:trPr>
          <w:trHeight w:val="219"/>
        </w:trPr>
        <w:tc>
          <w:tcPr>
            <w:tcW w:w="47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Short term investments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54,972</w:t>
            </w: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Working capital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83,418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136,341</w:t>
            </w: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56,101</w:t>
            </w: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630,512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531,488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501,778</w:t>
            </w: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139,604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122,235</w:t>
            </w: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244,821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215,082</w:t>
            </w: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286,696</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w:t>
      </w:r>
    </w:p>
    <w:p>
      <w:pPr>
        <w:spacing w:after="0" w:line="94" w:lineRule="exact"/>
        <w:rPr>
          <w:sz w:val="20"/>
          <w:szCs w:val="20"/>
          <w:color w:val="auto"/>
        </w:rPr>
      </w:pPr>
    </w:p>
    <w:p>
      <w:pPr>
        <w:ind w:left="1300" w:hanging="563"/>
        <w:spacing w:after="0"/>
        <w:tabs>
          <w:tab w:leader="none" w:pos="1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2017, we liquidated our short-term investments, which consisted primarily of short-term commercial 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Key Operating Metrics</w:t>
      </w:r>
    </w:p>
    <w:p>
      <w:pPr>
        <w:spacing w:after="0" w:line="12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as well as certain key operating metrics. These non-GAAP financial measures and key operating metrics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Operating Metrics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8"/>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6"/>
                <w:szCs w:val="16"/>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6"/>
                <w:szCs w:val="16"/>
                <w:color w:val="auto"/>
              </w:rPr>
            </w:pPr>
          </w:p>
        </w:tc>
        <w:tc>
          <w:tcPr>
            <w:tcW w:w="94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6"/>
                <w:szCs w:val="16"/>
                <w:color w:val="auto"/>
              </w:rPr>
            </w:pPr>
          </w:p>
        </w:tc>
        <w:tc>
          <w:tcPr>
            <w:tcW w:w="9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6"/>
                <w:szCs w:val="16"/>
                <w:color w:val="auto"/>
              </w:rPr>
            </w:pPr>
          </w:p>
        </w:tc>
        <w:tc>
          <w:tcPr>
            <w:tcW w:w="9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Key Operating Metrics: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7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281,000</w:t>
            </w:r>
          </w:p>
        </w:tc>
        <w:tc>
          <w:tcPr>
            <w:tcW w:w="34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194,000</w:t>
            </w:r>
          </w:p>
        </w:tc>
        <w:tc>
          <w:tcPr>
            <w:tcW w:w="360" w:type="dxa"/>
            <w:vAlign w:val="bottom"/>
          </w:tcPr>
          <w:p>
            <w:pPr>
              <w:spacing w:after="0"/>
              <w:rPr>
                <w:sz w:val="18"/>
                <w:szCs w:val="18"/>
                <w:color w:val="auto"/>
              </w:rPr>
            </w:pPr>
          </w:p>
        </w:tc>
        <w:tc>
          <w:tcPr>
            <w:tcW w:w="940" w:type="dxa"/>
            <w:vAlign w:val="bottom"/>
          </w:tcPr>
          <w:p>
            <w:pPr>
              <w:jc w:val="center"/>
              <w:ind w:right="22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960" w:type="dxa"/>
            <w:vAlign w:val="bottom"/>
          </w:tcPr>
          <w:p>
            <w:pPr>
              <w:jc w:val="center"/>
              <w:ind w:right="24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94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47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265.3</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236.5</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r>
      <w:tr>
        <w:trPr>
          <w:trHeight w:val="270"/>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Average revenue per customer (trailing twelve months)</w:t>
            </w:r>
            <w:r>
              <w:rPr>
                <w:rFonts w:ascii="Times New Roman" w:cs="Times New Roman" w:eastAsia="Times New Roman" w:hAnsi="Times New Roman"/>
                <w:sz w:val="21"/>
                <w:szCs w:val="21"/>
                <w:color w:val="auto"/>
                <w:vertAlign w:val="superscript"/>
              </w:rPr>
              <w:t>(3)</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333</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330</w:t>
            </w:r>
          </w:p>
        </w:tc>
        <w:tc>
          <w:tcPr>
            <w:tcW w:w="360" w:type="dxa"/>
            <w:vAlign w:val="bottom"/>
          </w:tcPr>
          <w:p>
            <w:pPr>
              <w:spacing w:after="0"/>
              <w:rPr>
                <w:sz w:val="23"/>
                <w:szCs w:val="23"/>
                <w:color w:val="auto"/>
              </w:rPr>
            </w:pPr>
          </w:p>
        </w:tc>
        <w:tc>
          <w:tcPr>
            <w:tcW w:w="940" w:type="dxa"/>
            <w:vAlign w:val="bottom"/>
          </w:tcPr>
          <w:p>
            <w:pPr>
              <w:jc w:val="center"/>
              <w:ind w:right="22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23"/>
                <w:szCs w:val="23"/>
                <w:color w:val="auto"/>
              </w:rPr>
            </w:pPr>
          </w:p>
        </w:tc>
        <w:tc>
          <w:tcPr>
            <w:tcW w:w="960" w:type="dxa"/>
            <w:vAlign w:val="bottom"/>
          </w:tcPr>
          <w:p>
            <w:pPr>
              <w:jc w:val="center"/>
              <w:ind w:right="24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23"/>
                <w:szCs w:val="23"/>
                <w:color w:val="auto"/>
              </w:rPr>
            </w:pPr>
          </w:p>
        </w:tc>
        <w:tc>
          <w:tcPr>
            <w:tcW w:w="94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47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1"/>
                <w:szCs w:val="21"/>
                <w:color w:val="auto"/>
                <w:vertAlign w:val="superscript"/>
              </w:rPr>
              <w:t>(4)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187.8</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r>
      <w:tr>
        <w:trPr>
          <w:trHeight w:val="216"/>
        </w:trPr>
        <w:tc>
          <w:tcPr>
            <w:tcW w:w="47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Revenue per download</w:t>
            </w:r>
            <w:r>
              <w:rPr>
                <w:rFonts w:ascii="Times New Roman" w:cs="Times New Roman" w:eastAsia="Times New Roman" w:hAnsi="Times New Roman"/>
                <w:sz w:val="21"/>
                <w:szCs w:val="21"/>
                <w:color w:val="auto"/>
                <w:vertAlign w:val="superscript"/>
              </w:rPr>
              <w:t>(5)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3.68</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3.43</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3.40</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3.13</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6"/>
        </w:trPr>
        <w:tc>
          <w:tcPr>
            <w:tcW w:w="47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Content in our collection (end of period, in millions)</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Images</w:t>
            </w:r>
          </w:p>
        </w:tc>
        <w:tc>
          <w:tcPr>
            <w:tcW w:w="28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360</w:t>
            </w:r>
          </w:p>
        </w:tc>
        <w:tc>
          <w:tcPr>
            <w:tcW w:w="34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314</w:t>
            </w:r>
          </w:p>
        </w:tc>
        <w:tc>
          <w:tcPr>
            <w:tcW w:w="36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242</w:t>
            </w:r>
          </w:p>
        </w:tc>
        <w:tc>
          <w:tcPr>
            <w:tcW w:w="3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9"/>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Footage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3" w:lineRule="exact"/>
        <w:rPr>
          <w:sz w:val="20"/>
          <w:szCs w:val="20"/>
          <w:color w:val="auto"/>
        </w:rPr>
      </w:pPr>
    </w:p>
    <w:p>
      <w:pPr>
        <w:jc w:val="both"/>
        <w:ind w:left="340" w:right="20" w:firstLine="397"/>
        <w:spacing w:after="0" w:line="249" w:lineRule="auto"/>
        <w:tabs>
          <w:tab w:leader="none" w:pos="13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Subscribers is defined as those customers who purchase one or more of our monthly recurring products for a continuous period of at least three months, measured as of the end of the reporting period. See “Management’s Discussion and Analysis of Financial Condition and Results of Operations—Key Operating Metrics—Subscribers” for more information as to how we define and calculate subscribers.</w:t>
      </w:r>
    </w:p>
    <w:p>
      <w:pPr>
        <w:ind w:left="340" w:firstLine="397"/>
        <w:spacing w:after="0" w:line="241" w:lineRule="auto"/>
        <w:tabs>
          <w:tab w:leader="none" w:pos="13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revenue is defined as the revenue generated from subscribers during the period. See “Management’s Discussion and Analysis of Financial Condition and Results of Operations—Key Operating Metrics—Subscriber Revenue” for more information as to how we define and calculate subscriber revenue.</w:t>
      </w:r>
    </w:p>
    <w:p>
      <w:pPr>
        <w:ind w:left="340" w:right="300" w:firstLine="397"/>
        <w:spacing w:after="0" w:line="241" w:lineRule="auto"/>
        <w:tabs>
          <w:tab w:leader="none" w:pos="13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revenue per customer is calculated by dividing total revenue for the trailing twelve-month period by customers. Customers is defined as total active, paying customers that contributed to total revenue over the trailing twelve-month period. See “Management’s Discussion and Analysis of Financial Condition and Results of Operations—Key Operating Metrics—Average Revenue per Customer” for more information as to how we define and calculate average revenue per customer.</w:t>
      </w:r>
    </w:p>
    <w:p>
      <w:pPr>
        <w:spacing w:after="0" w:line="1" w:lineRule="exact"/>
        <w:rPr>
          <w:rFonts w:ascii="Times New Roman" w:cs="Times New Roman" w:eastAsia="Times New Roman" w:hAnsi="Times New Roman"/>
          <w:sz w:val="14"/>
          <w:szCs w:val="14"/>
          <w:color w:val="auto"/>
        </w:rPr>
      </w:pPr>
    </w:p>
    <w:p>
      <w:pPr>
        <w:ind w:left="340" w:right="120" w:firstLine="397"/>
        <w:spacing w:after="0" w:line="241" w:lineRule="auto"/>
        <w:tabs>
          <w:tab w:leader="none" w:pos="13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Paid downloads is the number of downloads that our customers make in a given period of our photographs, vectors, illustrations, footage or music tracks. Paid downloads exclude custom content and downloads of content that are offered to customers for no charge, including our free image of the week. See “Management’s Discussion and Analysis of Financial Condition and Results of Operations—Key Operating Metrics—Paid Downloads” for more information as to how we define and calculate paid downloads.</w:t>
      </w:r>
    </w:p>
    <w:p>
      <w:pPr>
        <w:spacing w:after="0" w:line="1" w:lineRule="exact"/>
        <w:rPr>
          <w:rFonts w:ascii="Times New Roman" w:cs="Times New Roman" w:eastAsia="Times New Roman" w:hAnsi="Times New Roman"/>
          <w:sz w:val="14"/>
          <w:szCs w:val="14"/>
          <w:color w:val="auto"/>
        </w:rPr>
      </w:pPr>
    </w:p>
    <w:p>
      <w:pPr>
        <w:ind w:left="340" w:right="20" w:firstLine="397"/>
        <w:spacing w:after="0" w:line="241" w:lineRule="auto"/>
        <w:tabs>
          <w:tab w:leader="none" w:pos="13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per download is the amount of content-related revenue recognized in a given period divided by the number of paid downloads in that period excluding revenue from custom content and the impact of revenue that is not derived from or associated with content licenses. See “Management’s Discussion and Analysis of Financial Condition and Results of Operations—Key Operating Metrics—Revenue per Download” for more information as to how we define and calculate revenue per download. Effective January 1, 2018 we adopted ASU 2014-09 using the modified retrospective approach. Historical revenue totals reflect those previously reported and have not been restated.</w:t>
      </w:r>
    </w:p>
    <w:p>
      <w:pPr>
        <w:spacing w:after="0" w:line="1" w:lineRule="exact"/>
        <w:rPr>
          <w:rFonts w:ascii="Times New Roman" w:cs="Times New Roman" w:eastAsia="Times New Roman" w:hAnsi="Times New Roman"/>
          <w:sz w:val="14"/>
          <w:szCs w:val="14"/>
          <w:color w:val="auto"/>
        </w:rPr>
      </w:pPr>
    </w:p>
    <w:p>
      <w:pPr>
        <w:ind w:left="340" w:right="20" w:firstLine="397"/>
        <w:spacing w:after="0" w:line="241" w:lineRule="auto"/>
        <w:tabs>
          <w:tab w:leader="none" w:pos="13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approved images (photographs, vectors and illustrations) and footage (in number of clips) in our library on shutterstock.com at the end of the period. This collection metric excludes content that is not uploaded directly to our site but is available for license by our customers through an application program interface, custom content and certain content that may be licensed for editorial use only. See “Management’s Discussion and Analysis of Financial Condition and Results of Operations—Key Operating Metrics—Content in our Collection” for more information as to how we define and calculate images and footage in our collection.</w:t>
      </w:r>
    </w:p>
    <w:p>
      <w:pPr>
        <w:spacing w:after="0" w:line="1" w:lineRule="exact"/>
        <w:rPr>
          <w:rFonts w:ascii="Times New Roman" w:cs="Times New Roman" w:eastAsia="Times New Roman" w:hAnsi="Times New Roman"/>
          <w:sz w:val="14"/>
          <w:szCs w:val="14"/>
          <w:color w:val="auto"/>
        </w:rPr>
      </w:pPr>
    </w:p>
    <w:p>
      <w:pPr>
        <w:ind w:left="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Information not available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and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405"/>
        <w:spacing w:after="0" w:line="273" w:lineRule="auto"/>
        <w:rPr>
          <w:sz w:val="20"/>
          <w:szCs w:val="20"/>
          <w:color w:val="auto"/>
        </w:rPr>
      </w:pPr>
      <w:r>
        <w:rPr>
          <w:rFonts w:ascii="Times New Roman" w:cs="Times New Roman" w:eastAsia="Times New Roman" w:hAnsi="Times New Roman"/>
          <w:sz w:val="17"/>
          <w:szCs w:val="17"/>
          <w:color w:val="auto"/>
        </w:rPr>
        <w:t>Shutterstock’s management uses these non-GAAP financial measures,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6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after excluding the impact of nonrecurring payments associated with long-term incentives related to our 2017 acquisition of Flashstock, and provides them with the same measures that management uses as the basis for making resource allocation decisions.</w:t>
      </w:r>
    </w:p>
    <w:p>
      <w:pPr>
        <w:spacing w:after="0" w:line="12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is presented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6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foreign currency transaction gains and losses, charges related to the impairment of a long-term investment asset, expenses related to long-term incentives and contingent consideration related to acquisitions, interest income and expense, income taxes and the gain on Sale of Webdam. We define adjusted EBITDA margin as the ratio of adjusted EBITDA to revenue.</w:t>
      </w: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8"/>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8"/>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71,766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20,108</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54,687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32,628</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41,359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45,652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19,946</w:t>
            </w:r>
          </w:p>
        </w:tc>
      </w:tr>
      <w:tr>
        <w:trPr>
          <w:trHeight w:val="213"/>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tcPr>
          <w:p>
            <w:pPr>
              <w:spacing w:after="0"/>
              <w:rPr>
                <w:sz w:val="18"/>
                <w:szCs w:val="18"/>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28,309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23,869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24,958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28,080</w:t>
            </w:r>
          </w:p>
        </w:tc>
      </w:tr>
      <w:tr>
        <w:trPr>
          <w:trHeight w:val="219"/>
        </w:trPr>
        <w:tc>
          <w:tcPr>
            <w:tcW w:w="43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2,940</w:t>
            </w:r>
          </w:p>
        </w:tc>
      </w:tr>
      <w:tr>
        <w:trPr>
          <w:trHeight w:val="213"/>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Pr>
          <w:p>
            <w:pPr>
              <w:spacing w:after="0"/>
              <w:rPr>
                <w:sz w:val="18"/>
                <w:szCs w:val="18"/>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17,757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11,426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13,354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11,869</w:t>
            </w:r>
          </w:p>
        </w:tc>
      </w:tr>
      <w:tr>
        <w:trPr>
          <w:trHeight w:val="21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Webdam</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(38,613)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154,934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96,314</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105,114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88,049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95,463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Adjusted EBITDA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3" w:lineRule="exact"/>
        <w:rPr>
          <w:sz w:val="20"/>
          <w:szCs w:val="20"/>
          <w:color w:val="auto"/>
        </w:rPr>
      </w:pPr>
    </w:p>
    <w:p>
      <w:pPr>
        <w:ind w:left="340" w:right="220" w:firstLine="397"/>
        <w:spacing w:after="0" w:line="282" w:lineRule="auto"/>
        <w:tabs>
          <w:tab w:leader="none" w:pos="130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adjustments, net is foreign currency transaction gains and losses, charges related to the impairment of a long-term investment asset, expenses related to long-term incentives and contingent consideration related to acquisitions, and interest income and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w:t>
      </w:r>
    </w:p>
    <w:p>
      <w:pPr>
        <w:spacing w:after="0" w:line="6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expenses related to long-term incentives and contingent consideration related to acquisitions, the gain on Sale of Webdam, charges related to the impairment of a long-term investment asset, the estimated tax impact of such adjustments, and a one-time tax expense due to the TCJA. We define adjusted net income per diluted common share as adjusted net income divided by weighted average diluted shares.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8"/>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32,628</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28,080</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non-cash equity-based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(10,048)</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amortization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acquisition-related amortization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0" w:type="dxa"/>
            <w:vAlign w:val="bottom"/>
          </w:tcPr>
          <w:p>
            <w:pPr>
              <w:spacing w:after="0"/>
              <w:rPr>
                <w:sz w:val="1"/>
                <w:szCs w:val="1"/>
                <w:color w:val="auto"/>
              </w:rPr>
            </w:pPr>
          </w:p>
        </w:tc>
      </w:tr>
      <w:tr>
        <w:trPr>
          <w:trHeight w:val="165"/>
        </w:trPr>
        <w:tc>
          <w:tcPr>
            <w:tcW w:w="4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Acquisition-related long-term incentives and contingent</w:t>
            </w:r>
          </w:p>
        </w:tc>
        <w:tc>
          <w:tcPr>
            <w:tcW w:w="2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consideration</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Tax effect of acquisition-related long-term incentives and contingent</w:t>
            </w:r>
          </w:p>
        </w:tc>
        <w:tc>
          <w:tcPr>
            <w:tcW w:w="2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consideration</w:t>
            </w: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Webdam</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gain on Sale of Webdam</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 long-term investment asset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impairment of long-term investment asset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One-time effect of the Tax Cuts and Jobs Act on the provision for</w:t>
            </w:r>
          </w:p>
        </w:tc>
        <w:tc>
          <w:tcPr>
            <w:tcW w:w="2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income taxes</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95,152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43,737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55,663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40,844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55,235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35,861</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300" w:hanging="563"/>
        <w:spacing w:after="0"/>
        <w:tabs>
          <w:tab w:leader="none" w:pos="1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related to long-term incentives and contingent consideration related to the Webdam, PremiumBeat and Flashstock acquisitions.</w:t>
      </w:r>
    </w:p>
    <w:p>
      <w:pPr>
        <w:spacing w:after="0" w:line="109" w:lineRule="exact"/>
        <w:rPr>
          <w:rFonts w:ascii="Times New Roman" w:cs="Times New Roman" w:eastAsia="Times New Roman" w:hAnsi="Times New Roman"/>
          <w:sz w:val="14"/>
          <w:szCs w:val="14"/>
          <w:color w:val="auto"/>
        </w:rPr>
      </w:pPr>
    </w:p>
    <w:p>
      <w:pPr>
        <w:ind w:left="340" w:right="160" w:firstLine="397"/>
        <w:spacing w:after="0" w:line="282" w:lineRule="auto"/>
        <w:tabs>
          <w:tab w:leader="none" w:pos="13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approximately $3.7 million of non-cash charges related to a remeasurement of deferred tax assets related to the change in U.S. tax rates from 35% to 21% and approximately $0.8 million of cash charges related to a one-time U.S. transition tax on unrepatriated foreign earnings.</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65" w:lineRule="exact"/>
        <w:rPr>
          <w:sz w:val="20"/>
          <w:szCs w:val="20"/>
          <w:color w:val="auto"/>
        </w:rPr>
      </w:pPr>
    </w:p>
    <w:p>
      <w:pPr>
        <w:jc w:val="both"/>
        <w:ind w:right="460" w:firstLine="405"/>
        <w:spacing w:after="0" w:line="312" w:lineRule="auto"/>
        <w:rPr>
          <w:sz w:val="20"/>
          <w:szCs w:val="20"/>
          <w:color w:val="auto"/>
        </w:rPr>
      </w:pPr>
      <w:r>
        <w:rPr>
          <w:rFonts w:ascii="Times New Roman" w:cs="Times New Roman" w:eastAsia="Times New Roman" w:hAnsi="Times New Roman"/>
          <w:sz w:val="17"/>
          <w:szCs w:val="17"/>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8"/>
        </w:trPr>
        <w:tc>
          <w:tcPr>
            <w:tcW w:w="4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34"/>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46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Reported revenue (in thousands)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666,686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650,523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623,250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557,111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494,317</w:t>
            </w:r>
          </w:p>
        </w:tc>
      </w:tr>
      <w:tr>
        <w:trPr>
          <w:trHeight w:val="214"/>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r>
      <w:tr>
        <w:trPr>
          <w:trHeight w:val="21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r>
      <w:tr>
        <w:trPr>
          <w:trHeight w:val="26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E-commerce reported revenue (in thousands)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412,521</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392,241</w:t>
            </w:r>
          </w:p>
        </w:tc>
        <w:tc>
          <w:tcPr>
            <w:tcW w:w="1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365,730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332,376</w:t>
            </w:r>
          </w:p>
        </w:tc>
        <w:tc>
          <w:tcPr>
            <w:tcW w:w="1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318,916</w:t>
            </w:r>
          </w:p>
        </w:tc>
      </w:tr>
      <w:tr>
        <w:trPr>
          <w:trHeight w:val="21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r>
      <w:tr>
        <w:trPr>
          <w:trHeight w:val="214"/>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 on a constant currency basis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r>
      <w:tr>
        <w:trPr>
          <w:trHeight w:val="96"/>
        </w:trPr>
        <w:tc>
          <w:tcPr>
            <w:tcW w:w="4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reported revenue (in thousands)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254,165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258,282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254,809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208,713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164,384</w:t>
            </w:r>
          </w:p>
        </w:tc>
      </w:tr>
      <w:tr>
        <w:trPr>
          <w:trHeight w:val="21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39 %</w:t>
            </w:r>
          </w:p>
        </w:tc>
      </w:tr>
      <w:tr>
        <w:trPr>
          <w:trHeight w:val="212"/>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 on a constant currency basis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42 %</w:t>
            </w:r>
          </w:p>
        </w:tc>
      </w:tr>
    </w:tbl>
    <w:p>
      <w:pPr>
        <w:spacing w:after="0" w:line="70" w:lineRule="exact"/>
        <w:rPr>
          <w:sz w:val="20"/>
          <w:szCs w:val="20"/>
          <w:color w:val="auto"/>
        </w:rPr>
      </w:pPr>
    </w:p>
    <w:p>
      <w:pPr>
        <w:ind w:left="560" w:hanging="147"/>
        <w:spacing w:after="0"/>
        <w:tabs>
          <w:tab w:leader="none" w:pos="56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2016 - 2018 reported revenue also includes amounts from Webdam, which was sold in February 2018. Webdam revenues are predominantly denominated in US Dollars.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60"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We define free cash flow as our cash provided by operating activities, adjusted for capital expenditures and content acquisition, and, with respect to the twelve months ended December 31, 2020, a payment associated with long-term incentives related to our 2017 acquisition of Flashstock.</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each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8"/>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8"/>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102,646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108,037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100,723</w:t>
            </w: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(39,959)</w:t>
            </w:r>
          </w:p>
        </w:tc>
      </w:tr>
      <w:tr>
        <w:trPr>
          <w:trHeight w:val="21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Content acquisitions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w:t>
            </w:r>
          </w:p>
        </w:tc>
      </w:tr>
      <w:tr>
        <w:trPr>
          <w:trHeight w:val="213"/>
        </w:trPr>
        <w:tc>
          <w:tcPr>
            <w:tcW w:w="4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related to long-term incentives related to acquisitions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20" w:type="dxa"/>
            <w:vAlign w:val="bottom"/>
            <w:tcBorders>
              <w:top w:val="single" w:sz="8" w:color="CCEEFF"/>
              <w:bottom w:val="single" w:sz="8" w:color="CCEEFF"/>
            </w:tcBorders>
            <w:shd w:val="clear" w:color="auto" w:fill="CCEEFF"/>
          </w:tcPr>
          <w:p>
            <w:pPr>
              <w:ind w:left="40"/>
              <w:spacing w:after="0" w:line="213" w:lineRule="exact"/>
              <w:rPr>
                <w:sz w:val="20"/>
                <w:szCs w:val="20"/>
                <w:color w:val="auto"/>
              </w:rPr>
            </w:pPr>
            <w:r>
              <w:rPr>
                <w:rFonts w:ascii="Times New Roman" w:cs="Times New Roman" w:eastAsia="Times New Roman" w:hAnsi="Times New Roman"/>
                <w:sz w:val="16"/>
                <w:szCs w:val="16"/>
                <w:color w:val="auto"/>
              </w:rPr>
              <w:t>Free Cash Flow</w:t>
            </w:r>
            <w:r>
              <w:rPr>
                <w:rFonts w:ascii="Times New Roman" w:cs="Times New Roman" w:eastAsia="Times New Roman" w:hAnsi="Times New Roman"/>
                <w:sz w:val="21"/>
                <w:szCs w:val="21"/>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60" w:firstLine="413"/>
        <w:spacing w:after="0" w:line="26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2017, we adopted Accounting Standard Update 2016-09 (“ASU 2016-09”) which changed the way we report the excess tax benefit related to the exercise and vesting of equity-based compensation awards in the statement of cash flows. As a result of this adoption, we have reclassified amounts that were reported prior to adoption. As a result of this reclassification, free cash flow reported decreased by $0.4 million for the year ended December 31, 2016, from amounts previously reported.</w:t>
      </w:r>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filing. 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 in Item 1A above for additional discussion of the risks and uncertainties that could cause our actual results to differ materially from those expressed or implied in our forward-looking statements.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a discussion as to how COVID-19 has affected our business, see “COVID-19 Update” below.</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4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Shutterstock is a leading global creative platform offering full-service solutions, high-quality content, and tools for brands, businesses and media companies. Our platform brings together users and contributors of content by providing readily-searchable content that our customers pay to license and by compensating contributors as their content is licensed.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content licensed by our customers includes:</w:t>
      </w:r>
    </w:p>
    <w:p>
      <w:pPr>
        <w:spacing w:after="0" w:line="158" w:lineRule="exact"/>
        <w:rPr>
          <w:sz w:val="20"/>
          <w:szCs w:val="20"/>
          <w:color w:val="auto"/>
        </w:rPr>
      </w:pPr>
    </w:p>
    <w:p>
      <w:pPr>
        <w:ind w:left="820" w:right="140" w:hanging="326"/>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53" w:lineRule="exact"/>
        <w:rPr>
          <w:rFonts w:ascii="Times New Roman" w:cs="Times New Roman" w:eastAsia="Times New Roman" w:hAnsi="Times New Roman"/>
          <w:sz w:val="18"/>
          <w:szCs w:val="18"/>
          <w:color w:val="auto"/>
        </w:rPr>
      </w:pPr>
    </w:p>
    <w:p>
      <w:pPr>
        <w:ind w:left="820" w:right="600" w:hanging="326"/>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3D Models - following our acquisition of TurboSquid, Inc. on February 1, 2021, we now offer 3D models, used in industries such as advertising, media &amp; video production, gaming, retail, education, design and architecture.</w:t>
      </w:r>
    </w:p>
    <w:p>
      <w:pPr>
        <w:spacing w:after="0" w:line="8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For customers seeking specialized solutions, we also create custom, on-brand content by matching our global contributor network to the unique needs of our customers. This solution allows us to offer customers a fast and scalable way to produce cost-effective content that is in line with the visual footprint of their brand.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11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Over 2.0 million active, paying customers contributed to our revenue in 2020. As of December 31, 2020, more than 1.6 million approved contributors made their images, footage and music tracks available in our collection, which has grown to more than 360 million images and more than 21 million footage clips as of December 31, 2020. This makes our collection of content one of the largest of its kind, and we delivered 180.0 million paid downloads to our customers across all of our brands during the year ended December 31, 2020.</w:t>
      </w:r>
    </w:p>
    <w:p>
      <w:pPr>
        <w:spacing w:after="0" w:line="11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Through our platform, we generate revenue by licensing content to our customers. During the year ended December 31, 2020, 62% of our revenue and the majority of our content licenses came from our E-commerce sales channel. The majority of our customers license content directly through our self-service web properties, including our Shutterstock.com, bigstock.com and premiumbeat.com websites.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102" w:lineRule="exact"/>
        <w:rPr>
          <w:sz w:val="20"/>
          <w:szCs w:val="20"/>
          <w:color w:val="auto"/>
        </w:rPr>
      </w:pPr>
    </w:p>
    <w:p>
      <w:pPr>
        <w:ind w:right="240" w:firstLine="405"/>
        <w:spacing w:after="0" w:line="255" w:lineRule="auto"/>
        <w:rPr>
          <w:sz w:val="20"/>
          <w:szCs w:val="20"/>
          <w:color w:val="auto"/>
        </w:rPr>
      </w:pPr>
      <w:r>
        <w:rPr>
          <w:rFonts w:ascii="Times New Roman" w:cs="Times New Roman" w:eastAsia="Times New Roman" w:hAnsi="Times New Roman"/>
          <w:sz w:val="18"/>
          <w:szCs w:val="18"/>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our API platform as well as access to Shutterstock Editorial, which includes our library of editorial images and videos and Shutterstock Studios, our offering which provides custom, high-quality content matched with production tools and services. Our Enterprise sales channel provided approximately 38% of our revenue in 2020.</w:t>
      </w: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As the use cases for our creative solutions expand, we believe our customers are seeking alternative means to consume our offerings. As a result, we have seen strong growth in customers purchasing monthly subscription products. Our monthly subscriptions provide for a fixed number of content licenses that may be downloaded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11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addition to content sourced through direct submission to our e-commerce platform, we also obtain all types of content through exclusive distribution agreements with strategic partners or through the direct acquisition of content, content libraries or archives. In certain cases, we enter into arrangements with contributors or strategic partners whereby we guarantee a minimum royalty, in exchange for exclusive rights to distribute content when we believe such exclusivity provides us with a distinct competitive advantage. When we license content that has been obtained through direct acquisition, we pay no royalties. In recent years, we have made a number of enhancements to our content libraries through the direct acquisition of content and through entering into several such agreements and partnerships.</w:t>
      </w:r>
    </w:p>
    <w:p>
      <w:pPr>
        <w:spacing w:after="0" w:line="120" w:lineRule="exact"/>
        <w:rPr>
          <w:sz w:val="20"/>
          <w:szCs w:val="20"/>
          <w:color w:val="auto"/>
        </w:rPr>
      </w:pPr>
    </w:p>
    <w:p>
      <w:pPr>
        <w:ind w:right="220" w:firstLine="405"/>
        <w:spacing w:after="0" w:line="242" w:lineRule="auto"/>
        <w:rPr>
          <w:sz w:val="20"/>
          <w:szCs w:val="20"/>
          <w:color w:val="auto"/>
        </w:rPr>
      </w:pPr>
      <w:r>
        <w:rPr>
          <w:rFonts w:ascii="Times New Roman" w:cs="Times New Roman" w:eastAsia="Times New Roman" w:hAnsi="Times New Roman"/>
          <w:sz w:val="18"/>
          <w:szCs w:val="18"/>
          <w:color w:val="auto"/>
        </w:rPr>
        <w:t>An important driver of our growth is customer acquisition, which we achieve primarily through online marketing efforts and directly through our sales force. Online marketing includes paid search, online display advertising, print advertising, trade shows, email marketing, direct mail, affiliate marketing, public relations, social media and partnerships. Over the past several years, our investments in marketing have represented a significant percentage of revenue. This spend considers, among other things, the blended average customer lifetime value across our various purchase options so we can manage customer acquisition costs and aim to achieve targeted returns.</w:t>
      </w:r>
    </w:p>
    <w:p>
      <w:pPr>
        <w:spacing w:after="0" w:line="10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believe that another important driver of growth is the quality of the user experience we provide on our websites, especially the efficiency and speed with which our search interfaces and algorithms help customers find and download the content that they need, the degree to which our websites have been localized for our global user base, the degree to which we make use of the large quantity of data we collect about image, footage and music and search patterns, and the security of user information on our platform. To this end, we have invested aggressively in product development and cloud-based hosting infrastructure, and we intend to continue to invest in these areas, to the extent that we can improve the customer experience and increase the efficiency with which we deploy new products and features.</w:t>
      </w:r>
    </w:p>
    <w:p>
      <w:pPr>
        <w:spacing w:after="0" w:line="120"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We continue to have operating income and positive operating cash flows. In 2020, our net income was $71.8 million and net cash from operating activities was $165.1 million. In the same period, adjusted EBITDA, adjusted EBITDA margin, adjusted net income, and free cash flow were $154.9 million, 23.2%, $95.2 million and $144.2 million,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Part II, Item 6 of this Annual Report on Form 10-K under the heading “Selected Financial Data—Non-GAAP Financial Measures.”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December 2019, a novel coronavirus disease (“COVID-19”) was initially reported and on March 11, 2020, the World Health Organization characterized COVID-19 as a pandemic. Our operations have been impacted by office closures globally and restrictions on employee travel and in-person meetings, however, we have generally been able to deliver our services remotely. The economic uncertainty caused by COVID-19 has had an impact on our customers and their ability to spend marketing budgets on our products, which has resulted in an unfavorable impact, to varying degrees geographically, on our revenue growth and number of paid downloads for the twelve months ended December 31, 2020. See Item 1A. Risk Factors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62" w:lineRule="exact"/>
        <w:rPr>
          <w:sz w:val="20"/>
          <w:szCs w:val="20"/>
          <w:color w:val="auto"/>
        </w:rPr>
      </w:pPr>
    </w:p>
    <w:p>
      <w:pPr>
        <w:jc w:val="both"/>
        <w:ind w:right="380" w:firstLine="405"/>
        <w:spacing w:after="0" w:line="289" w:lineRule="auto"/>
        <w:rPr>
          <w:sz w:val="20"/>
          <w:szCs w:val="20"/>
          <w:color w:val="auto"/>
        </w:rPr>
      </w:pPr>
      <w:r>
        <w:rPr>
          <w:rFonts w:ascii="Times New Roman" w:cs="Times New Roman" w:eastAsia="Times New Roman" w:hAnsi="Times New Roman"/>
          <w:sz w:val="17"/>
          <w:szCs w:val="17"/>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years ended December 31, 2020, 2019 and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34"/>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Subscribers (end of period)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Subscriber revenue (in millions)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r>
      <w:tr>
        <w:trPr>
          <w:trHeight w:val="60"/>
        </w:trPr>
        <w:tc>
          <w:tcPr>
            <w:tcW w:w="7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revenue per customer (trailing twelve months)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0"/>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 Information not available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2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and growth driven by our monthly recurring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trailing twelve month period by customers. We define customers as total active, paying customers that contributed to total revenue over the trailing twelve month period. Changes in our average revenue per customer will be driven by changes in the mix of our subscription-based products and the pricing in our transactional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21"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custom content and downloads of content that are offered to customers for no charge, including our free image of the week.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2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custom content and revenue that is not derived from or associated with content licenses.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8" w:name="page49"/>
    <w:bookmarkEnd w:id="4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20" w:firstLine="405"/>
        <w:spacing w:after="0" w:line="257" w:lineRule="auto"/>
        <w:rPr>
          <w:sz w:val="20"/>
          <w:szCs w:val="20"/>
          <w:color w:val="auto"/>
        </w:rPr>
      </w:pPr>
      <w:r>
        <w:rPr>
          <w:rFonts w:ascii="Times New Roman" w:cs="Times New Roman" w:eastAsia="Times New Roman" w:hAnsi="Times New Roman"/>
          <w:sz w:val="18"/>
          <w:szCs w:val="18"/>
          <w:color w:val="auto"/>
        </w:rPr>
        <w:t>The majority of our revenue is earned from licensing content. Content licenses are generally purchased by our customers on a monthly or annual subscription basis, whereby a customer pays for a predetermined quantity of content that may be downloaded over a specific period of time, or, on a transactional basis, whereby a customer pays for individual content licenses at the time of download. Prior to the Sale of Webdam, we also</w:t>
      </w:r>
    </w:p>
    <w:p>
      <w:pPr>
        <w:spacing w:after="0" w:line="1" w:lineRule="exact"/>
        <w:rPr>
          <w:sz w:val="20"/>
          <w:szCs w:val="20"/>
          <w:color w:val="auto"/>
        </w:rPr>
      </w:pPr>
    </w:p>
    <w:p>
      <w:pPr>
        <w:ind w:right="940"/>
        <w:spacing w:after="0" w:line="260" w:lineRule="auto"/>
        <w:rPr>
          <w:sz w:val="20"/>
          <w:szCs w:val="20"/>
          <w:color w:val="auto"/>
        </w:rPr>
      </w:pPr>
      <w:r>
        <w:rPr>
          <w:rFonts w:ascii="Times New Roman" w:cs="Times New Roman" w:eastAsia="Times New Roman" w:hAnsi="Times New Roman"/>
          <w:sz w:val="18"/>
          <w:szCs w:val="18"/>
          <w:color w:val="auto"/>
        </w:rPr>
        <w:t>earned revenue from licensing hosted software services through Webdam’s cloud-based tools for businesses, which were purchased as part of a subscription.</w:t>
      </w:r>
    </w:p>
    <w:p>
      <w:pPr>
        <w:spacing w:after="0" w:line="73"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We recognize revenue upon the satisfaction of performance obligations, which occurs when (i) content is downloaded by a customer or (ii) hosted software services are provisioned and available to a customer. For content licenses, we recognize revenue on both our subscription-based and transaction-based products when content is downloaded, at which time the license is provided. In addition, management estimates expected unused licenses for subscription-based products and recognizes the estimated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Revenue associated with hosted software services is recognized ratably over the term of the license. We expense contract acquisition costs as incurred, to the extent that the amortization period would otherwise be one year or less.</w:t>
      </w:r>
    </w:p>
    <w:p>
      <w:pPr>
        <w:spacing w:after="0" w:line="8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our customers purchase products by making an electronic payment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75"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7"/>
          <w:szCs w:val="17"/>
          <w:color w:val="auto"/>
        </w:rPr>
        <w:t>We recognize revenue gross of contributor royalties because we are the principal in the transaction as we are the party responsible for the performance obligation and control the product or service before transferring it to the customer. We also license content to customers through third-party resellers. Third-party resellers sell our products directly to customers as the principal in those transactions. Accordingly, we recognize revenue net of costs paid to resellers.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6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infrastructure and hosting costs related to maintaining our creative platform and cloud-based software platform, depreciation and amortization of capitalized internal-use software, content and technology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2" w:lineRule="exact"/>
        <w:rPr>
          <w:sz w:val="20"/>
          <w:szCs w:val="20"/>
          <w:color w:val="auto"/>
        </w:rPr>
      </w:pPr>
    </w:p>
    <w:p>
      <w:pPr>
        <w:ind w:right="1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expenses also include associated employee compensation, including non-cash equity-based compensation, bonuses and benefits, and commissions as well as allocated facility and other supporting overhead costs.</w:t>
      </w:r>
    </w:p>
    <w:p>
      <w:pPr>
        <w:spacing w:after="0" w:line="106" w:lineRule="exact"/>
        <w:rPr>
          <w:sz w:val="20"/>
          <w:szCs w:val="20"/>
          <w:color w:val="auto"/>
        </w:rPr>
      </w:pPr>
    </w:p>
    <w:p>
      <w:pPr>
        <w:ind w:right="1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10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w:t>
      </w: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administrative expenses include outside legal, tax and accounting services, bad debt expense, insurance, facilities costs, other supporting overhead costs and depreciation and amortization expense.</w:t>
      </w:r>
    </w:p>
    <w:p>
      <w:pPr>
        <w:spacing w:after="0" w:line="79"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Other income / (expense), net consists of non-operating costs such as foreign currency transaction gains and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income and expense and an impairment related to a long-term investment asset.</w:t>
      </w:r>
    </w:p>
    <w:p>
      <w:pPr>
        <w:spacing w:after="0" w:line="9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compute income taxes using the asset and liability method, under which deferred tax assets and liabilities are determined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50" w:name="page51"/>
    <w:bookmarkEnd w:id="50"/>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8"/>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8"/>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650,523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623,250</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267,671</w:t>
            </w: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166,448</w:t>
            </w: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58,897</w:t>
            </w: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97,782</w:t>
            </w:r>
          </w:p>
        </w:tc>
      </w:tr>
      <w:tr>
        <w:trPr>
          <w:trHeight w:val="207"/>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581,420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630,368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590,798</w:t>
            </w:r>
          </w:p>
        </w:tc>
      </w:tr>
      <w:tr>
        <w:trPr>
          <w:trHeight w:val="212"/>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32,452</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Webdam</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38,613</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r>
      <w:tr>
        <w:trPr>
          <w:trHeight w:val="20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66,113</w:t>
            </w: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w:t>
            </w:r>
          </w:p>
        </w:tc>
      </w:tr>
      <w:tr>
        <w:trPr>
          <w:trHeight w:val="212"/>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54,687</w:t>
            </w:r>
          </w:p>
        </w:tc>
      </w:tr>
      <w:tr>
        <w:trPr>
          <w:trHeight w:val="21"/>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21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9"/>
        </w:trPr>
        <w:tc>
          <w:tcPr>
            <w:tcW w:w="7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9"/>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3"/>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9"/>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7"/>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19"/>
        </w:trPr>
        <w:tc>
          <w:tcPr>
            <w:tcW w:w="7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07"/>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Webdam</w:t>
            </w: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9"/>
        </w:trPr>
        <w:tc>
          <w:tcPr>
            <w:tcW w:w="7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2"/>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
        </w:trPr>
        <w:tc>
          <w:tcPr>
            <w:tcW w:w="7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1" w:name="page52"/>
    <w:bookmarkEnd w:id="51"/>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2020 and December 31, 2019</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r>
      <w:tr>
        <w:trPr>
          <w:trHeight w:val="188"/>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18"/>
                <w:szCs w:val="18"/>
                <w:color w:val="auto"/>
              </w:rPr>
            </w:pPr>
          </w:p>
        </w:tc>
      </w:tr>
      <w:tr>
        <w:trPr>
          <w:trHeight w:val="22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666,686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650,523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9"/>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(18,603)</w:t>
            </w:r>
          </w:p>
        </w:tc>
        <w:tc>
          <w:tcPr>
            <w:tcW w:w="100" w:type="dxa"/>
            <w:vAlign w:val="bottom"/>
          </w:tcPr>
          <w:p>
            <w:pPr>
              <w:spacing w:after="0"/>
              <w:rPr>
                <w:sz w:val="18"/>
                <w:szCs w:val="18"/>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(11,178)</w:t>
            </w:r>
          </w:p>
        </w:tc>
        <w:tc>
          <w:tcPr>
            <w:tcW w:w="100" w:type="dxa"/>
            <w:vAlign w:val="bottom"/>
          </w:tcPr>
          <w:p>
            <w:pPr>
              <w:spacing w:after="0"/>
              <w:rPr>
                <w:sz w:val="18"/>
                <w:szCs w:val="18"/>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59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630,368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(48,948)</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323</w:t>
            </w:r>
          </w:p>
        </w:tc>
      </w:tr>
      <w:tr>
        <w:trPr>
          <w:trHeight w:val="21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w:t>
            </w:r>
          </w:p>
        </w:tc>
      </w:tr>
      <w:tr>
        <w:trPr>
          <w:trHeight w:val="21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12,949</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269</w:t>
            </w:r>
          </w:p>
        </w:tc>
      </w:tr>
      <w:tr>
        <w:trPr>
          <w:trHeight w:val="237"/>
        </w:trPr>
        <w:tc>
          <w:tcPr>
            <w:tcW w:w="5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Revenue increased by $16.2 million, or 2%, to $666.7 million in 2020 as compared to 2019. Foreign currency fluctuations did not have a significant impact on revenues in 2020, as compared to 2019. Our revenue growth in 2020 is primarily driven by our subscription business. From 2019 to 2020, subscribers grew by 45% to 281,000 and subscriber revenue grew by 12% to $265.3 million. During 2020, the majority of our subscriber revenue growth is attributed to our E-commerce sales channel.</w:t>
      </w:r>
    </w:p>
    <w:p>
      <w:pPr>
        <w:spacing w:after="0" w:line="11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E-commerce revenues increased by 5%, to $412.5 million in 2020 as compared to 2019. Foreign currency fluctuations did not have a significant impact on E-commerce revenues in 2020, as compared to 2019. During 2020, growth in our E-commerce sales channel was primarily driven by increased subscriber revenue.</w:t>
      </w:r>
    </w:p>
    <w:p>
      <w:pPr>
        <w:spacing w:after="0" w:line="9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Enterprise revenues decreased by 2%, to $254.2 million in 2020 as compared to 2019. Foreign currency fluctuations did not have a significant impact on Enterprise revenues in 2020, as compared to 2019. During 2020, the Company identified and implemented certain changes to improve performance, updated product offerings and made further platform investments. We believe these enhancements impacted our Enterprise sales operations at the end of 2020 and is one of the drivers of the increased deferred revenue balance as of December 31, 2020.</w:t>
      </w:r>
    </w:p>
    <w:p>
      <w:pPr>
        <w:spacing w:after="0" w:line="11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In addition, we believe our revenue for the year ended December 31, 2020 was unfavorably affected by the global COVID-19 pandemic and its impact on our customers and their ability to spend marketing budgets on our products.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years ended December 31, 2020 and 2019, we delivered 180.0 million and 187.8 million paid downloads, respectively, and our revenue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download increased to $3.68 for the year ended December 31, 2020, from $3.43 for the year ended December 31, 2019.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the 4% decrease in the number of paid downloads compared to 2019, is due to lower customer utilization of our products. We believe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decline in usage during 2020, compared to 2019, is partially attributable to COVID-19.</w:t>
      </w:r>
    </w:p>
    <w:p>
      <w:pPr>
        <w:spacing w:after="0" w:line="9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$8.4 million, or 4%, to $236.6 million, revenue from Europe increased by $3.3 million, or 2%, to $220.7 million and revenue from outside Europe and North America increased by $4.5 million, or 2%, to $209.4 million, in the year ended December 31, 2020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6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decreased by $18.6 million, or 7%, to $259.6 million in 2020 as compared to 2019, due to lower royalty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procurement costs and depreciation and amortization expense, partially offset by higher costs associated with website hosting, hardware and software licenses as well as increased credit card fees. In addition, cost of revenue includes severance charges of $1.2 million for the year ended December 31, 2020. The reduction in royalty expense was driven by the 4% decline in paid downloads as well as a modification in the way we compensate contributors. We expect that our cost of revenue will fluctuate in line with changes in revenue and paid downloads.</w:t>
      </w:r>
    </w:p>
    <w:p>
      <w:pPr>
        <w:spacing w:after="0" w:line="102"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$22.5 million, or 12%, to $159.2 million in 2020 as compared to 2019.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of revenue, sales and marketing expenses decreased to 24% for the year ended December 31, 2020, from 28% for 2019. This decrease was primarily driven by a $21.1 million decline in marketing spend as we focused resources on more efficient customer acquisition and improved marketing return on investment. In addition, travel and related expense costs declined by $2.2 million due to travel restrictions resulting from COVID-19. These declines were partially offset by $2.3 million in higher employee-related costs. For the year ended December 31, 2020, sales and marketing expense includes severance charges of $1.7 million. We expect sales and marketing expenses to fluctuate as we optimize our sales channels and invest in new customer acquisition, products and geographies.</w:t>
      </w:r>
    </w:p>
    <w:p>
      <w:pPr>
        <w:spacing w:after="0" w:line="115"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decreased by $11.2 million, or 20%, to $46.0 million in 2020 as compared to 2019.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driven by a $7.6 million reduction in software and other IT-related costs for the year ended December 31, 2020, compared to the prior year. In addition, employee and consulting related expenses decreased by $1.4 million in 2020 as compared to 2019. For the year ended December 31, 2020, product and development expense includes severance charges of $1.1 million.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11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$3.3 million, or 3%, to $116.6 million in 2020 as compared to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primarily driven by (i) higher non-cash compensation expense of $5.6 million, attributable to certain performance-based awards; (ii) higher employee-related costs of $4.2 million in 2020 as compared to 2019; and (iii) an increase in bad debt expense of $2.5 million in 2020 compared to 2019. These increases were partially offset by (i) a reduction in expense of $3.4 million, associated with the 2019 accrual of long-term incentives, related to our 2017 acquisition of Flashstock; (ii) lower depreciation and amortization expense of $3.2 million, driven by the recognition of $1.5 million of accelerated amortization expense in 2019 in conjunction with the Company’s re-branding of its Editorial product, in addition to lower depreciation driven by assets which became fully depreciated in prior periods; and (iii) lower professional and consulting fees of $1.6 million in 2020 compared to 2019. For the years ended December 31, 2020 and 2019, general and administrative expenses include severance charges of $1.4 million and $1.3 million, respectively.</w:t>
      </w:r>
    </w:p>
    <w:p>
      <w:pPr>
        <w:spacing w:after="0" w:line="107" w:lineRule="exact"/>
        <w:rPr>
          <w:sz w:val="20"/>
          <w:szCs w:val="20"/>
          <w:color w:val="auto"/>
        </w:rPr>
      </w:pPr>
    </w:p>
    <w:p>
      <w:pPr>
        <w:ind w:right="4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During 2020, $3.1 million of other income related to favorable foreign currency fluctuations, in addition to $1.2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income.</w:t>
      </w:r>
    </w:p>
    <w:p>
      <w:pPr>
        <w:spacing w:after="0" w:line="9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2019, $4.2 million of other income consisted of interest income, in addition to $0.5 million related to 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106"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by $12.9 million, or 269%, to $17.8 million in 2020 as compared to 2019. The increase in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was primarily driven by the increase in pre-tax income from $24.9 million in 2019 to $89.5 million in 2020. Our effective tax rates for the years ended December 31, 2020 and 2019 were approximately 19.8% and 19.3%, respectively.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2020 effective tax rate includes certain discrete items and the net effect of these discrete items increased the effective tax rate for 2020 by 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these discrete items, the effective tax rate would have been 19.0% for 2020.</w:t>
      </w:r>
    </w:p>
    <w:p>
      <w:pPr>
        <w:spacing w:after="0" w:line="13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2019 effective tax rate includes discrete items, the most significant of which relate to a discrete tax benefit for the release of reserves for uncertain tax positions due to a lapse in the statute of limitations, the effects of the foreign-derived intangible income deduction and the U.S. Research and Development tax credit claimed on the Company’s 2018 tax return, which was completed in 2019. The net effect of these discrete items decreased our effective tax rate for 2019 by 5.2%. Excluding these discrete items, the 2019 effective tax rate would have been 24.5%.</w:t>
      </w:r>
    </w:p>
    <w:p>
      <w:pPr>
        <w:spacing w:after="0" w:line="11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2019 and December 31, 2018</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r>
      <w:tr>
        <w:trPr>
          <w:trHeight w:val="188"/>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18"/>
                <w:szCs w:val="18"/>
                <w:color w:val="auto"/>
              </w:rPr>
            </w:pPr>
          </w:p>
        </w:tc>
      </w:tr>
      <w:tr>
        <w:trPr>
          <w:trHeight w:val="22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650,523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9"/>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10,505</w:t>
            </w:r>
          </w:p>
        </w:tc>
        <w:tc>
          <w:tcPr>
            <w:tcW w:w="10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5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tcPr>
          <w:p>
            <w:pPr>
              <w:spacing w:after="0"/>
              <w:rPr>
                <w:sz w:val="18"/>
                <w:szCs w:val="18"/>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59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630,368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590,798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39,570</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Webdam</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(41,197)</w:t>
            </w:r>
          </w:p>
        </w:tc>
        <w:tc>
          <w:tcPr>
            <w:tcW w:w="100" w:type="dxa"/>
            <w:vAlign w:val="bottom"/>
          </w:tcPr>
          <w:p>
            <w:pPr>
              <w:spacing w:after="0"/>
              <w:rPr>
                <w:sz w:val="17"/>
                <w:szCs w:val="17"/>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r>
      <w:tr>
        <w:trPr>
          <w:trHeight w:val="216"/>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5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54,687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3" w:lineRule="exact"/>
        <w:rPr>
          <w:sz w:val="20"/>
          <w:szCs w:val="20"/>
          <w:color w:val="auto"/>
        </w:rPr>
      </w:pPr>
    </w:p>
    <w:p>
      <w:pPr>
        <w:ind w:left="420"/>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Not meaningful. See “Other (expense) / income, net” and “Gain on Sale of Webdam”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Revenue increased by $27.3 million, or 4%, to $650.5 million in 2019 as compared to 2018. Excluding the impact of foreign currency fluctuations, revenue increased 6% from 2018 to 2019. The increase was partially offset by the absence of revenue from Webdam, which contributed $2.7 million for the period from January 1, 2018 through February 26, 2018. The Company completed the Sale of Webdam in February 2018.</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E-commerce revenues increased by 7%, to $392.2 million in 2019 as compared to 2018. On a constant currency basis, the Company’s E-commerce revenues increased by approximately 9% in 2019 as compared to 2018. The Company’s Enterprise revenues increased by 1%, to $258.3 million in 2019 as compared to 2018. On a constant currency basis, the Company’s Enterprise revenues increased by approximately 3% in 2019 as compared to 2018. The Company faced headwinds in its Enterprise sales channel which resulted in the implementation of changes, including sales force optimization and compensation plan revisions.</w:t>
      </w:r>
    </w:p>
    <w:p>
      <w:pPr>
        <w:spacing w:after="0" w:line="10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During 2019, we continued to grow our customer base and continued with initiatives focused on broadening our product offerings and adding functionality to our creative platform, enhancing our workflow tools and increasing sales and marketing efforts to attract more users and promote increased customer engagement across our platform. As a result of these initiatives, there was a 5% increase in the number of paid downloads compared to 2018. Changes in our product mix drove a 1% increase in revenue per download as compared to the prior year. In 2019 and 2018, we delivered 188 million and 180 million paid downloads, respectively, and our revenue per download increased to $3.43 from $3.40, respectively.</w:t>
      </w:r>
    </w:p>
    <w:p>
      <w:pPr>
        <w:spacing w:after="0" w:line="116"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revenue growth by region is as follows: revenue from outside Europe and North America increased by $20.2 million, or 11%, to $204.9 million, revenue from Europe increased by $9.8 million, or 5%, to $217.4 million and revenue from North America increased by $2.7 million, or 1%, to $228.2 million in 2019 compared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6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$10.5 million, or 4%, to $278.2 million in 2019 as compared to 2018. Royalty expense,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incurred as content is downloaded, increased $3.8 million, or 2%, as compared to 2018. Depreciation and amortization expense increased by $4.7 million as compared to 2018, to $40.5 million in 2019, driven primarily by the depreciation of our capitalized internal-use software. We expect that our cost of revenue will increase in absolute dollars in the foreseeable future to the extent our revenue grows. We expect that our cost of revenue will fluctuate in line with changes in revenue and paid downloads.</w:t>
      </w:r>
    </w:p>
    <w:p>
      <w:pPr>
        <w:spacing w:after="0" w:line="10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$15.3 million, or 9%, to $181.7 million in 2019 as compared to 2018.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brand and performance advertising, the largest component of our sales and marketing expenses, increased by $10.8 million, or 12%, in 2019 compared to 2018, as a result of increased spending on affiliate, search advertising and other new channels. Employee-related expenses increased by $2.3 million, as compared to the same period in the prior year, driven by an increase in sales and marketing headcount to support new initiatives. As a percent of revenue, for 2019, sales and marketing expenses increased slightly from the same period in 2018, primarily driven by the increase in customer acquisition costs. As we continue to invest in new customer acquisition, products and geographies, we expect sales and marketing expenses to increase in absolute dollars in the foreseeable future.</w:t>
      </w:r>
    </w:p>
    <w:p>
      <w:pPr>
        <w:spacing w:after="0" w:line="115"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decreased by $1.7 million, or 3%, to $57.2 million in 2019 as compared to 2018.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driven by an approximately $5.5 million reduction in employee related costs, net of capitalized labor. The decline was partially offset by an increase of $4.0 million in software and other technology used to support our product development initiatives in 2019, as compared to 2018. We expect product development expenses, of which a portion will be capitalized, to continue in the foreseeable future, as we pursue opportunities to invest in developing new products and internal tools and enhancing the functionality of our existing products and technologies.</w:t>
      </w:r>
    </w:p>
    <w:p>
      <w:pPr>
        <w:spacing w:after="0" w:line="11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$15.5 million, or 16%, to $113.2 million in 2019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This increase was driven by (i) higher employee-related costs of $9.9 million in 2019 as compared to 2018, primarily driven by increased headcount associated with ensuring the stability and security of the Company’s technology infrastructure; (ii) severance charges of approximately $2.2 million incurred in 2019; (iii) higher software and other IT-related costs of $5.0 million in 2019, as compared to 2018, related primarily to enhancements to our corporate and technology infrastructure; and (iv) higher professional and consulting fees of $1.4 million, as compared to 2018. These increases were partially offset by a $1.1 million reduction in bad debt expense in 2019 as compared to 2018. In addition, depreciation and amortization expense in 2019 decreased $0.4 million, including the impact of $1.5 million of accelerated amortization expense recorded in connection with the Company’s re-branding of its Editorial product. We expect to continue to incur general and administrative expenses to support our global operational growth and enhancements to support our reporting and planning functions.</w:t>
      </w:r>
    </w:p>
    <w:p>
      <w:pPr>
        <w:spacing w:after="0" w:line="10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Sale of Webdam. </w:t>
      </w:r>
      <w:r>
        <w:rPr>
          <w:rFonts w:ascii="Times New Roman" w:cs="Times New Roman" w:eastAsia="Times New Roman" w:hAnsi="Times New Roman"/>
          <w:sz w:val="18"/>
          <w:szCs w:val="18"/>
          <w:color w:val="auto"/>
        </w:rPr>
        <w:t>On February 26, 2018, the Company completed the Sale of Webdam, for an aggregate purchase price of $49.1 million.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received, net of $4.6 million in transaction costs paid, was $44.3 million, inclusive of $2.5 million received during 2019 from the release of escrowed funds. During 2018, management recognized a pre-tax gain on the sale of approximately $38.6 million, which represents the excess of the net purchase price over the net assets transferred, less transaction costs.</w:t>
      </w:r>
    </w:p>
    <w:p>
      <w:pPr>
        <w:spacing w:after="0" w:line="11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During 2019, approximately $4.2 million of other income consisted of interest income, in addition to $0.5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foreign currency fluctuations. During 2018, we recorded a charge of $5.9 million as a result of the impairment of a long-term investment asset. Additionally, during 2018, we recorded an expense of approximately $1.8 million related to unfavorable foreign currency fluctuations, offset by approximately $2.7 million of interest income. As we increase the volume of business transacted in foreign currencies resulting from international expansion and as currency rates fluctuate, we expect foreign currency gains and losses to continue to fluctuate.</w:t>
      </w:r>
    </w:p>
    <w:p>
      <w:pPr>
        <w:spacing w:after="0" w:line="11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by $6.6 million to $4.8 million in 2019 as compared to 2018. The decrease in 2019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was primarily driven by the absence of $11.0 million of tax expense associated with the gain on Sale of Webdam, recorded in 2018, partially offset by $3.1 million of expense related to certain provisions of the TCJA and a $1.0 million valuation allowance related to certain foreign net operating loss carryforwards. Our effective tax rates for the years ended December 31, 2019 and 2018 were approximately 19.3% and 17.3%, respectively.</w:t>
      </w:r>
    </w:p>
    <w:p>
      <w:pPr>
        <w:spacing w:after="0" w:line="10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2019 effective tax rate includes discrete items, the most significant of which relate to a discrete tax benefit for the release of reserves for uncertain tax positions due to a lapse in the statute of limitations, the effects of the foreign-derived intangible income deduction and the U.S. Research and Development tax credit claimed on the Company’s 2018 tax return,which was completed in 2019. The net effect of these discrete items decreased the effective tax rate for 2019 by 5.2%. Excluding these discrete items, the effective tax rate would have been 24.5% for 2019.</w:t>
      </w: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405"/>
        <w:spacing w:after="0" w:line="281" w:lineRule="auto"/>
        <w:rPr>
          <w:sz w:val="20"/>
          <w:szCs w:val="20"/>
          <w:color w:val="auto"/>
        </w:rPr>
      </w:pPr>
      <w:r>
        <w:rPr>
          <w:rFonts w:ascii="Times New Roman" w:cs="Times New Roman" w:eastAsia="Times New Roman" w:hAnsi="Times New Roman"/>
          <w:sz w:val="17"/>
          <w:szCs w:val="17"/>
          <w:color w:val="auto"/>
        </w:rPr>
        <w:t>The 2018 effective tax rate includes discrete items, the most significant of which relate to the gain on the Sale of Webdam, partially offset by discrete tax benefits relating to the impairment of a long-term investment asset, the release of reserves for uncertain tax positions due to a lapse in the statute of limitations and the effect of the U.S. Research and Development tax credit claimed on our 2017 tax return, which was completed in 2018. The net effect of these discrete items increased our effective tax rate for 2018 by 6.2%. Excluding these discrete items, the 2018 effective tax rate would have been 11.1%.</w:t>
      </w:r>
    </w:p>
    <w:p>
      <w:pPr>
        <w:spacing w:after="0" w:line="83"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we had cash and cash equivalents totaling $428.6 million, which primarily consisted of bank balances and money market funds. Since inception, we have financed our operations primarily through cash flows generated from operations.</w:t>
      </w:r>
    </w:p>
    <w:p>
      <w:pPr>
        <w:spacing w:after="0" w:line="94"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content acquisition, business combinations that enhance our strategic position, cash dividend payments and share purchases under our share repurchase program. We plan to finance our operations and capital expenses largely through cash generated by our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Offering</w:t>
      </w:r>
    </w:p>
    <w:p>
      <w:pPr>
        <w:spacing w:after="0" w:line="6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August 14, 2020, we completed an offering (the “Stock Offering”), whereby 2,580,000 shares of our common stock were sold to the public at a price to the public of $48.50 per share. We sold 516,000 shares of common stock in the Stock Offering and our Founder and Executive Chairman of the Board sold 2,064,000 shares of common stock in the Stock Offering. We received net proceeds from the shares sold, of approximately $23.2 million, after deducting underwriting discounts and commissions and offering expenses payable. We did not receive any proceeds from the shares sold by the Company’s Founder and Executive Chairman of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declared and paid cash dividends of $0.68 per share of common stock, or $24.4 million during the year ended December 31, 2020.</w:t>
      </w:r>
    </w:p>
    <w:p>
      <w:pPr>
        <w:spacing w:after="0" w:line="144"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On January 12, 2021, our Board of Directors declared a quarterly cash dividend of $0.21 per share of outstanding common stock payable on March 18, 2021 to stockholders of record at the close of business on March 4, 2021. The Company currently expects to continue to pay comparable cash dividends on a quarterly basis in the future.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75"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On August 1, 2018, the Board of Directors declared a Special Dividend of $3.00 per share. The Special Dividend was paid on August 29, 2018 to stockholders of record at the close of business on August 15, 2018. The aggregate payment made in connection with this dividend was approximately $104.9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6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In 2020, we invested $5.0 million in preferred shares of an entity with a creative production and analytics platform. These preferred shares do not have a readily determinable fair value, and provide us less than a 2% fully diluted ownership interest.</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2018, we invested $15 million in convertible preferred shares issued by ZCool Technologies Limited (“ZCool”), which is equivalent to a 25% fully diluted equity ownership interest, to further expand our presence in fast-growing markets. ZCool’s primary business is the operation of an e-commerce platform in China whereby customers can pay to license content contributed by creative professionals. ZCool and its affiliates have been the exclusive distributor of Shutterstock content in China since 2014.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Digital Asset Management Business</w:t>
      </w:r>
    </w:p>
    <w:p>
      <w:pPr>
        <w:spacing w:after="0" w:line="65"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On February 26, 2018, we completed the Sale of Webdam for an aggregate purchase price of $49.1 million. Total cash received, net of $4.6 million transaction costs paid, was $44.3 million, inclusive of $2.5 million received during the year ended December 31, 2019, from the release of funds from escrow. During 2018,we recognized a pre-tax gain on sale of approximately $38.6 million, which represents the excess of the net purchase price over the net assets transferred, less transaction costs.</w:t>
      </w: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65"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81"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2020, we have repurchased approximately 2,558,000 shares of our common stock under the share repurchase program at an average per-share cost of $39.09. As of December 31, 2020, we have $100 million of repurchase capacity remaining under this program. We did not repurchase any shares under the share repurchase program in 2020.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6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Effective October 1, 2016, we implemented a practice of net share settlement upon the vesting of restricted stock units (“RSUs”) to cover any required withholding taxes by retaining the number of shares with a value equal to the amount of the tax and remitting an equal amount of cash to the appropriate taxing authorities, rather than our previous approach of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share-based compensation programs on stockholders.</w:t>
      </w:r>
    </w:p>
    <w:p>
      <w:pPr>
        <w:spacing w:after="0" w:line="7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shares with an aggregate value of $4.5 million were withheld upon vesting of RSUs and paid in connection with related remittance to taxing authorities. In addition, $1.2 million of proceeds were received during 2020 from the issuance of common stock in connection with the exercise of 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2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72"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See Note 15 of the Notes to Consolidated Financial Statements included in Part II, Item 8 of this Annual Report on Form 10-K for information regarding our existing capital commitments as of December 31,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data for 2020, 2019 and 2018,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8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102,202</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(12,827)</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(109,739)</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6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8"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$165.1 million for the year ended December 31, 2020, compared to $102.6 million for the year ended December 31, 2019. In the year ended December 31, 2020, operating cash flows were favorably impacted from our increased operating income, partially offset by $7.8 million in one-time payments associated with</w:t>
      </w:r>
    </w:p>
    <w:p>
      <w:pPr>
        <w:spacing w:after="0" w:line="200" w:lineRule="exact"/>
        <w:rPr>
          <w:sz w:val="20"/>
          <w:szCs w:val="20"/>
          <w:color w:val="auto"/>
        </w:rPr>
      </w:pPr>
    </w:p>
    <w:p>
      <w:pPr>
        <w:spacing w:after="0" w:line="3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long-term incentives related to our 2017 acquisition of Flashstock, and changes in the timing of payments pertaining to operating expenses, which can cause operating cash flow to fluctuate from period to period.</w:t>
      </w:r>
    </w:p>
    <w:p>
      <w:pPr>
        <w:spacing w:after="0" w:line="81" w:lineRule="exact"/>
        <w:rPr>
          <w:sz w:val="20"/>
          <w:szCs w:val="20"/>
          <w:color w:val="auto"/>
        </w:rPr>
      </w:pPr>
    </w:p>
    <w:p>
      <w:pPr>
        <w:ind w:right="1560" w:firstLine="405"/>
        <w:spacing w:after="0" w:line="430"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was $102.6 million in 2019, which remained flat compared to $102.2 million in 2018. </w:t>
      </w:r>
      <w:r>
        <w:rPr>
          <w:rFonts w:ascii="Times New Roman" w:cs="Times New Roman" w:eastAsia="Times New Roman" w:hAnsi="Times New Roman"/>
          <w:sz w:val="18"/>
          <w:szCs w:val="18"/>
          <w:i w:val="1"/>
          <w:iCs w:val="1"/>
          <w:color w:val="auto"/>
        </w:rPr>
        <w:t>Investing Activities</w:t>
      </w:r>
    </w:p>
    <w:p>
      <w:pPr>
        <w:spacing w:after="0" w:line="1"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Our investing activities have consisted primarily of capital expenditures for internal-use software and website development costs and purchases of software and equipment. Our investing activities have also included content acquisitions, as well as investments, acquisitions and disposals. Capital expenditures include internal-use software and website development costs and purchases of software equipment as well as capitalization of leasehold improvements. Capital expenditures are primarily attributable to investments in internally developed software. We continue to invest significantly in product development and hosting infrastructure to enhance our customer experience and increase the efficiency with which we deploy new products and features. Cash used in investing activities totaled $35.3 million, $27.2 million and $12.8 million for the years ended December 31, 2020, 2019 and 2018, respectively.</w:t>
      </w:r>
    </w:p>
    <w:p>
      <w:pPr>
        <w:spacing w:after="0" w:line="121"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2020 was $35.3 million, consisting primarily of capital expenditures of $25.6 million for internal-use software and website development costs and purchases of software and equipment, an investment of $5.0 million in a creative production and analytics platform, $3.0 million paid to acquire the rights to distribute certain digital content and $1.9 million associated with the acquisition of AI driven music technology.</w:t>
      </w:r>
    </w:p>
    <w:p>
      <w:pPr>
        <w:spacing w:after="0" w:line="99"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2019, mostly consisted of capital expenditures and content acquisitions of $26.1 million and $3.3 million, respectively, partially offset by $2.5 million net cash received from escrowed funds related to the Sale of Webdam.</w:t>
      </w:r>
    </w:p>
    <w:p>
      <w:pPr>
        <w:spacing w:after="0" w:line="94"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2018 mostly consisted of $34.9 million of capital expenditures and our $15.0 million investment in ZCool, partially offset by $41.8 million net cash received from the Sale of Webdam.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financing activities have consisted primarily of payments associated with cash dividends and cash paid in settlement of tax withholding obligations related to employee stock-based compensation awards in addition to proceeds from our Stock Offering and proceeds received in connection with the exercise of stock options. Cash used in financing activities totaled $4.6 million, $1.7 million and $109.7 million for the years ended December 31, 2020, 2019 and 2018, respectively.</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used in financing activities during 2020 primarily consisted of $24.4 million related to the payment of the quarterly cash dividends and</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$4.5 million paid in settlement of tax withholding obligations related to employee stock-based compensation awards. These amounts were partially offset by $23.2 million of proceeds from our Stock Offering, after deducting underwriting discounts, commissions and offering expenses paid and approximately $1.2 million in proceeds received in connection with the exercise of stock options.</w:t>
      </w:r>
    </w:p>
    <w:p>
      <w:pPr>
        <w:spacing w:after="0" w:line="11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2019 primarily consisted of $7.1 million, paid in settlement of tax withholding obligations related to employee stock-based compensation awards, partially offset by approximately $5.4 million of proceeds received in connection with the exercise of stock options.</w:t>
      </w:r>
    </w:p>
    <w:p>
      <w:pPr>
        <w:spacing w:after="0" w:line="10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2018 primarily consisted of $104.9 million related to the payment of the Special Dividend and $7.3 million, paid in settlement of tax withholding obligations related to employee stock-based compensation awards, partially offset by proceeds of approximately $2.5 million in proceeds received in connection with the exercise of stock options.</w:t>
      </w: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8" w:name="page59"/>
    <w:bookmarkEnd w:id="5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lease real estate under operating lease agreements that expire on various dates during the period from 2021 through 2029. We do not have any material capital lease obligations, and our property, equipment and software have been purchased primarily with cash. We do not anticipate any difficulties in renewing those leases that expire within the next several years or in leasing other space or hosting facilities, if required. We enter into unconditional purchase obligations related to contracts for cloud-based services, infrastructure and other business services as well as minimum royalty guarantees in connection with certain content licenses. Our future minimum payments under non-cancelable operating leases and purchase obligations are as follows as of December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143"/>
              <w:spacing w:after="0" w:line="134"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1 - 3 Years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183"/>
              <w:spacing w:after="0" w:line="13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8"/>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25,651</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obligations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26,838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25,651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March 21, 2013, we entered into an operating lease agreement to lease our headquarters in New York City, which was amended in January 2016, which we refer to as the ESB Lease. The ESB Lease will expire in 2029, and the aggregate undiscounted future minimum lease payments, are approximately $56.3 million. We are also party to a letter of credit as a security deposit for this leased facility, which was reduced from $2.6 million to $1.7 million in February 2020. As of March 31, 2020, the Company is no longer required to provide cash collateral for its letter of credit, and, accordingly, these funds are no longer restricted.</w:t>
      </w:r>
    </w:p>
    <w:p>
      <w:pPr>
        <w:spacing w:after="0" w:line="11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also enter into license agreements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to the extent such damages or losses arise as a result of the modifications made by the customer, or the context in which content is used. Our license agreements entered into with customers limit our indemnification obligations at amounts ranging from $10,000 to $250,000, with certain exceptions for which our indemnification obligations are uncapped.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2020,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200" w:lineRule="exact"/>
        <w:rPr>
          <w:sz w:val="20"/>
          <w:szCs w:val="20"/>
          <w:color w:val="auto"/>
        </w:rPr>
      </w:pPr>
    </w:p>
    <w:p>
      <w:pPr>
        <w:spacing w:after="0" w:line="3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firstLine="405"/>
        <w:spacing w:after="0" w:line="312"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our revenue recognition, allowance for doubtful accounts and accounting for income taxes have the greatest potential impact on our financial statements. Therefore, we consider these to be our critical accounting policies and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majority of our revenues are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Prior to the Sale of Webdam, we also earned revenue from licensing hosted software services through Webdam’s cloud-based tools for businesses, which were purchased as part of a subscription.</w:t>
      </w:r>
    </w:p>
    <w:p>
      <w:pPr>
        <w:spacing w:after="0" w:line="7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recognize revenues upon the satisfaction of performance obligations, which generally occurs when (i) content is downloaded by a customer or (ii) hosted software services are provisioned and available to a customer. For content licenses, we recognize revenues on both a subscription-based and transaction-based products when content is downloaded, at which time the license is provided. In addition, we estimate expected unused licenses for subscription-based products and recognize the estimated revenue associated with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Revenue associated with hosted software services is recognized ratably over the term of the license. We expense contract acquisition costs as incurred, to the extent that the amortization period would otherwise be one year or less.</w:t>
      </w:r>
    </w:p>
    <w:p>
      <w:pPr>
        <w:spacing w:after="0" w:line="111"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our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w:t>
      </w:r>
    </w:p>
    <w:p>
      <w:pPr>
        <w:spacing w:after="0" w:line="1"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Collectability for customers who pay on credit terms allowing for payment beyond the date at which service commences, is based on a credit evaluation for certain new customers and transaction history with existing customers.</w:t>
      </w:r>
    </w:p>
    <w:p>
      <w:pPr>
        <w:spacing w:after="0" w:line="11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recognize revenue gross of contributor royalties because we are the principal in the transaction as we are the party responsible for the performance obligation and we control the product or service before transferring it to the customer. We also license content to customers through third-party resellers. Third-party resellers sell our products directly to customers as the principal in those transactions. Accordingly, we recognize revenue net of costs paid to resellers.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accounts receivable consists of customer obligations due under normal trade terms, carried at their fair value less an allowance for doubtful accounts, if required. We determine our allowance for doubtful accounts based on an evaluation of the aging of our accounts receivable and on a customer-by-customer basis where appropriate. Our reserve analysis contemplates our historical loss rate on receivables, specific customer situations and the economic environments in which we operate.</w:t>
      </w:r>
    </w:p>
    <w:p>
      <w:pPr>
        <w:spacing w:after="0" w:line="99"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 xml:space="preserve">Historically, the Company used an incurred loss model to calculate its allowance for doubtful accounts. Upon the adoption of ASU 2016-13, </w:t>
      </w:r>
      <w:r>
        <w:rPr>
          <w:rFonts w:ascii="Times New Roman" w:cs="Times New Roman" w:eastAsia="Times New Roman" w:hAnsi="Times New Roman"/>
          <w:sz w:val="18"/>
          <w:szCs w:val="18"/>
          <w:i w:val="1"/>
          <w:iCs w:val="1"/>
          <w:color w:val="auto"/>
        </w:rPr>
        <w:t xml:space="preserve">Financial Instruments - Credit Losses (Topic 326): Measurement of Credit Losses of Financial Instruments </w:t>
      </w:r>
      <w:r>
        <w:rPr>
          <w:rFonts w:ascii="Times New Roman" w:cs="Times New Roman" w:eastAsia="Times New Roman" w:hAnsi="Times New Roman"/>
          <w:sz w:val="18"/>
          <w:szCs w:val="18"/>
          <w:color w:val="auto"/>
        </w:rPr>
        <w:t>(“ASU 2016-13”) on January 1,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shifted to a current expected credit loss model.</w:t>
      </w:r>
    </w:p>
    <w:p>
      <w:pPr>
        <w:spacing w:after="0" w:line="10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2020 and 2019, we had an allowance for doubtful accounts of $4.9 million and $3.6 million, respectively. Fluctuations in our allowance for doubtful accounts are primarily attributable to changes in the aging profile of our gross accounts receivable balances and specific customer situations arising during the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may be due. We record an income tax liability for the difference, if any,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a quarterly basis, we assess the realizability of deferred tax assets, based on the available evidence including a history of taxable income, estimates of future taxable income and planning strategies and a valuation allowance is recorded to the extent that it is not more likely than not that the deferred tax assets will be realized. Significant management judgment is required in determining the provision for income taxes and deferred tax assets and liabilities. In the event that actual results differ from these estimates, we will adjust these estimates in future periods which may result in a change in the effective tax rate in a future period.</w:t>
      </w:r>
    </w:p>
    <w:p>
      <w:pPr>
        <w:spacing w:after="0" w:line="10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Except as required under U.S. tax laws, we do not provide for U.S. taxes on the undistributed earnings of our foreign subsidiaries. With the enactment of the TCJA, we are required to treat the undistributed earnings and profits of our foreign subsidiaries accumulated through a measurement period that should not extend more than one year beyond the date of the enactment of the TCJA as if they were repatriated to the U.S., and pay a current U.S. tax amount as a result of such “deemed” repatriation. We do not record provisions for potential deferred U.S. income taxes or foreign withholding taxes that otherwise may be payable if we were to repatriate such earnings, since we do not intend to repatriate such amounts.</w:t>
      </w:r>
    </w:p>
    <w:p>
      <w:pPr>
        <w:spacing w:after="0" w:line="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January 2018, the FASB released guidance on the accounting for tax on the global intangible low-taxed income (“GILTI”) provisions of the TCJA. The GILTI provisions impose a tax on foreign income in excess of a deemed return on tangible assets of foreign corporations. In the first quarter of 2018, we elected to treat any potential GILTI inclusions as a period cost. We continue to assess the impacts of the TCJA on future fiscal years and monitor the Internal Revenue Service guidance intended to interpret the provisions of the TCJA.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6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Business combinations are recorded at fair value and allocated to the assets acquired and liabilities assumed in the transaction. Fair values are based on the exit price (i.e., the price that would be received to sell an asset or transfer a liability in an orderly transaction between market participants at the measurement date). We evaluate several factors, which may include market data for similar assets and expected future cash flows discounted at risk adjusted rates and replacement cost for the assets to determine an appropriate exit price when evaluating the fair value of our assets. Other assets and liabilities acquired in a business combination are recorded based on the fair value of the assets acquired and liabilities assumed at acquisition date. Changes to these factors could affect the measurement and allocation of fair value.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included in Part II, Item 8 of this Annual Report on Form 10-K for a full description of recent accounting pronouncements, which is incorporated herein by reference.</w:t>
      </w:r>
    </w:p>
    <w:p>
      <w:pPr>
        <w:spacing w:after="0" w:line="200" w:lineRule="exact"/>
        <w:rPr>
          <w:sz w:val="20"/>
          <w:szCs w:val="20"/>
          <w:color w:val="auto"/>
        </w:rPr>
      </w:pPr>
    </w:p>
    <w:p>
      <w:pPr>
        <w:spacing w:after="0" w:line="26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6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36%, 35% and 35% in 2020, 2019 and 2018,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2020, we estimate that a 10% change in the exchange rate of the U.S. dollar against all foreign currency denominated revenues would impact our revenue by approximately 3%.</w:t>
      </w:r>
    </w:p>
    <w:p>
      <w:pPr>
        <w:spacing w:after="0" w:line="10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The net impacts of foreign currency transactions on our financial statements were gains of $2.4 million and $0.2 million in 2020 and 2019, respectively, and a loss of $2.2 million in 2018. Translation adjustments resulting from converting the foreign subsidiaries’ financial statements into U.S. dollars are recorded as a component of accumulated other comprehensive income (loss) in stockholders’ equity. We do not currently enter into derivatives or other financial instruments in order to hedge our foreign currency exchange risk, but we may do so in the future.</w:t>
      </w: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U.S. Dollars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Originating</w:t>
            </w:r>
          </w:p>
        </w:tc>
        <w:tc>
          <w:tcPr>
            <w:tcW w:w="12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Originating</w:t>
            </w:r>
          </w:p>
        </w:tc>
        <w:tc>
          <w:tcPr>
            <w:tcW w:w="10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Originating</w:t>
            </w: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9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138,128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122,287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133,341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117,852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124,732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105,327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49,402</w:t>
            </w:r>
          </w:p>
        </w:tc>
        <w:tc>
          <w:tcPr>
            <w:tcW w:w="3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48,307</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49,561</w:t>
            </w:r>
          </w:p>
        </w:tc>
        <w:tc>
          <w:tcPr>
            <w:tcW w:w="300" w:type="dxa"/>
            <w:vAlign w:val="bottom"/>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36,965</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44,393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429,526</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421,404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404,564</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666,686</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650,523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300" w:hanging="563"/>
        <w:spacing w:after="0"/>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62"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have any long-term borrowings as of December 31,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on pages F-2 through F-32 of this Annual Report on Form 10-K.</w:t>
      </w: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12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2020, our Chief Executive Officer and Chief Financial Officer concluded that, as of such date, our disclosure controls and procedures were effective at a reasonable assurance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our financial reporting and the preparation of financial statements for external purposes in accordance with generally accepted accounting principles.</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Management assessed our internal control over financial reporting as of December 31, 2020. Management based its assessment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(2013) issued by the Committee of Sponsoring Organizations of the Treadway Commission.</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December 31, 2020.</w:t>
      </w:r>
    </w:p>
    <w:p>
      <w:pPr>
        <w:spacing w:after="0" w:line="15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the consolidated financial statements included in this Annual Report on Form 10-K and, as part of the audit, has issued a report on the effectiveness of our internal control over financial reporting as of December 31, 2020, which begins on page F-2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three months ended December 31, 2020 that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12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The design of a control system must reflect that there are resource constraints, and the benefits of controls must be considered relative to their costs.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Officers and Corporate Governance</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2021 Annual Meeting of Stockholders to be filed with the SEC, within 120 days after the end of the fiscal year ended December 31, 2020.</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w:t>
      </w:r>
    </w:p>
    <w:p>
      <w:pPr>
        <w:spacing w:after="0" w:line="200" w:lineRule="exact"/>
        <w:rPr>
          <w:sz w:val="20"/>
          <w:szCs w:val="20"/>
          <w:color w:val="auto"/>
        </w:rPr>
      </w:pPr>
    </w:p>
    <w:p>
      <w:pPr>
        <w:spacing w:after="0" w:line="2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2021 Annual Meeting of Stockholders to be filed with the SEC, within 120 days after the end of the fiscal year ended December 31, 2020.</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2021 Annual Meeting of Stockholders to be filed with the SEC, within 120 days after the end of the fiscal year ended December 31, 2020.</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2021 Annual Meeting of Stockholders to be filed with the SEC, within 120 days after the end of the fiscal year ended December 31, 2020.</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2021 Annual Meeting of Stockholders to be filed with the SEC, within 120 days after the end of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7" w:lineRule="exact"/>
        <w:rPr>
          <w:sz w:val="20"/>
          <w:szCs w:val="20"/>
          <w:color w:val="auto"/>
        </w:rPr>
      </w:pPr>
    </w:p>
    <w:p>
      <w:pPr>
        <w:ind w:left="1300" w:hanging="563"/>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following documents are included as part of this Annual Report on Form 10-K:</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80" w:type="dxa"/>
            <w:vAlign w:val="bottom"/>
          </w:tcPr>
          <w:p>
            <w:pPr>
              <w:spacing w:after="0"/>
              <w:rPr>
                <w:rFonts w:ascii="Times New Roman" w:cs="Times New Roman" w:eastAsia="Times New Roman" w:hAnsi="Times New Roman"/>
                <w:sz w:val="16"/>
                <w:szCs w:val="16"/>
                <w:u w:val="single" w:color="auto"/>
                <w:color w:val="0000FF"/>
              </w:rPr>
            </w:pPr>
            <w:hyperlink w:anchor="page65">
              <w:r>
                <w:rPr>
                  <w:rFonts w:ascii="Times New Roman" w:cs="Times New Roman" w:eastAsia="Times New Roman" w:hAnsi="Times New Roman"/>
                  <w:sz w:val="16"/>
                  <w:szCs w:val="16"/>
                  <w:u w:val="single" w:color="auto"/>
                  <w:color w:val="0000FF"/>
                </w:rPr>
                <w:t>Report of Independent Registered Public Accounting Firm</w:t>
              </w:r>
            </w:hyperlink>
          </w:p>
        </w:tc>
        <w:tc>
          <w:tcPr>
            <w:tcW w:w="3800" w:type="dxa"/>
            <w:vAlign w:val="bottom"/>
          </w:tcPr>
          <w:p>
            <w:pPr>
              <w:ind w:left="3580"/>
              <w:spacing w:after="0"/>
              <w:rPr>
                <w:rFonts w:ascii="Times New Roman" w:cs="Times New Roman" w:eastAsia="Times New Roman" w:hAnsi="Times New Roman"/>
                <w:sz w:val="16"/>
                <w:szCs w:val="16"/>
                <w:u w:val="single" w:color="auto"/>
                <w:color w:val="0000FF"/>
                <w:w w:val="89"/>
              </w:rPr>
            </w:pPr>
            <w:hyperlink w:anchor="page65">
              <w:r>
                <w:rPr>
                  <w:rFonts w:ascii="Times New Roman" w:cs="Times New Roman" w:eastAsia="Times New Roman" w:hAnsi="Times New Roman"/>
                  <w:sz w:val="16"/>
                  <w:szCs w:val="16"/>
                  <w:u w:val="single" w:color="auto"/>
                  <w:color w:val="0000FF"/>
                  <w:w w:val="89"/>
                </w:rPr>
                <w:t>F-2</w:t>
              </w:r>
            </w:hyperlink>
          </w:p>
        </w:tc>
      </w:tr>
      <w:tr>
        <w:trPr>
          <w:trHeight w:val="216"/>
        </w:trPr>
        <w:tc>
          <w:tcPr>
            <w:tcW w:w="7380" w:type="dxa"/>
            <w:vAlign w:val="bottom"/>
          </w:tcPr>
          <w:p>
            <w:pPr>
              <w:spacing w:after="0"/>
              <w:rPr>
                <w:rFonts w:ascii="Times New Roman" w:cs="Times New Roman" w:eastAsia="Times New Roman" w:hAnsi="Times New Roman"/>
                <w:sz w:val="16"/>
                <w:szCs w:val="16"/>
                <w:u w:val="single" w:color="auto"/>
                <w:color w:val="0000FF"/>
              </w:rPr>
            </w:pPr>
            <w:hyperlink w:anchor="page67">
              <w:r>
                <w:rPr>
                  <w:rFonts w:ascii="Times New Roman" w:cs="Times New Roman" w:eastAsia="Times New Roman" w:hAnsi="Times New Roman"/>
                  <w:sz w:val="16"/>
                  <w:szCs w:val="16"/>
                  <w:u w:val="single" w:color="auto"/>
                  <w:color w:val="0000FF"/>
                </w:rPr>
                <w:t>Consolidated Balance Sheets</w:t>
              </w:r>
            </w:hyperlink>
          </w:p>
        </w:tc>
        <w:tc>
          <w:tcPr>
            <w:tcW w:w="3800" w:type="dxa"/>
            <w:vAlign w:val="bottom"/>
          </w:tcPr>
          <w:p>
            <w:pPr>
              <w:ind w:left="3580"/>
              <w:spacing w:after="0"/>
              <w:rPr>
                <w:rFonts w:ascii="Times New Roman" w:cs="Times New Roman" w:eastAsia="Times New Roman" w:hAnsi="Times New Roman"/>
                <w:sz w:val="16"/>
                <w:szCs w:val="16"/>
                <w:u w:val="single" w:color="auto"/>
                <w:color w:val="0000FF"/>
                <w:w w:val="89"/>
              </w:rPr>
            </w:pPr>
            <w:hyperlink w:anchor="page67">
              <w:r>
                <w:rPr>
                  <w:rFonts w:ascii="Times New Roman" w:cs="Times New Roman" w:eastAsia="Times New Roman" w:hAnsi="Times New Roman"/>
                  <w:sz w:val="16"/>
                  <w:szCs w:val="16"/>
                  <w:u w:val="single" w:color="auto"/>
                  <w:color w:val="0000FF"/>
                  <w:w w:val="89"/>
                </w:rPr>
                <w:t>F-4</w:t>
              </w:r>
            </w:hyperlink>
          </w:p>
        </w:tc>
      </w:tr>
      <w:tr>
        <w:trPr>
          <w:trHeight w:val="216"/>
        </w:trPr>
        <w:tc>
          <w:tcPr>
            <w:tcW w:w="7380" w:type="dxa"/>
            <w:vAlign w:val="bottom"/>
          </w:tcPr>
          <w:p>
            <w:pPr>
              <w:spacing w:after="0"/>
              <w:rPr>
                <w:rFonts w:ascii="Times New Roman" w:cs="Times New Roman" w:eastAsia="Times New Roman" w:hAnsi="Times New Roman"/>
                <w:sz w:val="16"/>
                <w:szCs w:val="16"/>
                <w:u w:val="single" w:color="auto"/>
                <w:color w:val="0000FF"/>
              </w:rPr>
            </w:pPr>
            <w:hyperlink w:anchor="page68">
              <w:r>
                <w:rPr>
                  <w:rFonts w:ascii="Times New Roman" w:cs="Times New Roman" w:eastAsia="Times New Roman" w:hAnsi="Times New Roman"/>
                  <w:sz w:val="16"/>
                  <w:szCs w:val="16"/>
                  <w:u w:val="single" w:color="auto"/>
                  <w:color w:val="0000FF"/>
                </w:rPr>
                <w:t>Consolidated Statements of Operations</w:t>
              </w:r>
            </w:hyperlink>
          </w:p>
        </w:tc>
        <w:tc>
          <w:tcPr>
            <w:tcW w:w="3800" w:type="dxa"/>
            <w:vAlign w:val="bottom"/>
          </w:tcPr>
          <w:p>
            <w:pPr>
              <w:ind w:left="3580"/>
              <w:spacing w:after="0"/>
              <w:rPr>
                <w:rFonts w:ascii="Times New Roman" w:cs="Times New Roman" w:eastAsia="Times New Roman" w:hAnsi="Times New Roman"/>
                <w:sz w:val="16"/>
                <w:szCs w:val="16"/>
                <w:u w:val="single" w:color="auto"/>
                <w:color w:val="0000FF"/>
                <w:w w:val="89"/>
              </w:rPr>
            </w:pPr>
            <w:hyperlink w:anchor="page68">
              <w:r>
                <w:rPr>
                  <w:rFonts w:ascii="Times New Roman" w:cs="Times New Roman" w:eastAsia="Times New Roman" w:hAnsi="Times New Roman"/>
                  <w:sz w:val="16"/>
                  <w:szCs w:val="16"/>
                  <w:u w:val="single" w:color="auto"/>
                  <w:color w:val="0000FF"/>
                  <w:w w:val="89"/>
                </w:rPr>
                <w:t>F-5</w:t>
              </w:r>
            </w:hyperlink>
          </w:p>
        </w:tc>
      </w:tr>
      <w:tr>
        <w:trPr>
          <w:trHeight w:val="216"/>
        </w:trPr>
        <w:tc>
          <w:tcPr>
            <w:tcW w:w="7380" w:type="dxa"/>
            <w:vAlign w:val="bottom"/>
          </w:tcPr>
          <w:p>
            <w:pPr>
              <w:spacing w:after="0"/>
              <w:rPr>
                <w:rFonts w:ascii="Times New Roman" w:cs="Times New Roman" w:eastAsia="Times New Roman" w:hAnsi="Times New Roman"/>
                <w:sz w:val="16"/>
                <w:szCs w:val="16"/>
                <w:u w:val="single" w:color="auto"/>
                <w:color w:val="0000FF"/>
              </w:rPr>
            </w:pPr>
            <w:hyperlink w:anchor="page69">
              <w:r>
                <w:rPr>
                  <w:rFonts w:ascii="Times New Roman" w:cs="Times New Roman" w:eastAsia="Times New Roman" w:hAnsi="Times New Roman"/>
                  <w:sz w:val="16"/>
                  <w:szCs w:val="16"/>
                  <w:u w:val="single" w:color="auto"/>
                  <w:color w:val="0000FF"/>
                </w:rPr>
                <w:t>Consolidated Statements of Comprehensive Income</w:t>
              </w:r>
            </w:hyperlink>
          </w:p>
        </w:tc>
        <w:tc>
          <w:tcPr>
            <w:tcW w:w="3800" w:type="dxa"/>
            <w:vAlign w:val="bottom"/>
          </w:tcPr>
          <w:p>
            <w:pPr>
              <w:ind w:left="3580"/>
              <w:spacing w:after="0"/>
              <w:rPr>
                <w:rFonts w:ascii="Times New Roman" w:cs="Times New Roman" w:eastAsia="Times New Roman" w:hAnsi="Times New Roman"/>
                <w:sz w:val="16"/>
                <w:szCs w:val="16"/>
                <w:u w:val="single" w:color="auto"/>
                <w:color w:val="0000FF"/>
                <w:w w:val="89"/>
              </w:rPr>
            </w:pPr>
            <w:hyperlink w:anchor="page69">
              <w:r>
                <w:rPr>
                  <w:rFonts w:ascii="Times New Roman" w:cs="Times New Roman" w:eastAsia="Times New Roman" w:hAnsi="Times New Roman"/>
                  <w:sz w:val="16"/>
                  <w:szCs w:val="16"/>
                  <w:u w:val="single" w:color="auto"/>
                  <w:color w:val="0000FF"/>
                  <w:w w:val="89"/>
                </w:rPr>
                <w:t>F-6</w:t>
              </w:r>
            </w:hyperlink>
          </w:p>
        </w:tc>
      </w:tr>
      <w:tr>
        <w:trPr>
          <w:trHeight w:val="216"/>
        </w:trPr>
        <w:tc>
          <w:tcPr>
            <w:tcW w:w="7380" w:type="dxa"/>
            <w:vAlign w:val="bottom"/>
          </w:tcPr>
          <w:p>
            <w:pPr>
              <w:spacing w:after="0"/>
              <w:rPr>
                <w:rFonts w:ascii="Times New Roman" w:cs="Times New Roman" w:eastAsia="Times New Roman" w:hAnsi="Times New Roman"/>
                <w:sz w:val="16"/>
                <w:szCs w:val="16"/>
                <w:u w:val="single" w:color="auto"/>
                <w:color w:val="0000FF"/>
              </w:rPr>
            </w:pPr>
            <w:hyperlink w:anchor="page70">
              <w:r>
                <w:rPr>
                  <w:rFonts w:ascii="Times New Roman" w:cs="Times New Roman" w:eastAsia="Times New Roman" w:hAnsi="Times New Roman"/>
                  <w:sz w:val="16"/>
                  <w:szCs w:val="16"/>
                  <w:u w:val="single" w:color="auto"/>
                  <w:color w:val="0000FF"/>
                </w:rPr>
                <w:t>Consolidated Statements of Stockholders’ Equity</w:t>
              </w:r>
            </w:hyperlink>
          </w:p>
        </w:tc>
        <w:tc>
          <w:tcPr>
            <w:tcW w:w="3800" w:type="dxa"/>
            <w:vAlign w:val="bottom"/>
          </w:tcPr>
          <w:p>
            <w:pPr>
              <w:ind w:left="3580"/>
              <w:spacing w:after="0"/>
              <w:rPr>
                <w:rFonts w:ascii="Times New Roman" w:cs="Times New Roman" w:eastAsia="Times New Roman" w:hAnsi="Times New Roman"/>
                <w:sz w:val="16"/>
                <w:szCs w:val="16"/>
                <w:u w:val="single" w:color="auto"/>
                <w:color w:val="0000FF"/>
                <w:w w:val="89"/>
              </w:rPr>
            </w:pPr>
            <w:hyperlink w:anchor="page70">
              <w:r>
                <w:rPr>
                  <w:rFonts w:ascii="Times New Roman" w:cs="Times New Roman" w:eastAsia="Times New Roman" w:hAnsi="Times New Roman"/>
                  <w:sz w:val="16"/>
                  <w:szCs w:val="16"/>
                  <w:u w:val="single" w:color="auto"/>
                  <w:color w:val="0000FF"/>
                  <w:w w:val="89"/>
                </w:rPr>
                <w:t>F-7</w:t>
              </w:r>
            </w:hyperlink>
          </w:p>
        </w:tc>
      </w:tr>
      <w:tr>
        <w:trPr>
          <w:trHeight w:val="216"/>
        </w:trPr>
        <w:tc>
          <w:tcPr>
            <w:tcW w:w="7380" w:type="dxa"/>
            <w:vAlign w:val="bottom"/>
          </w:tcPr>
          <w:p>
            <w:pPr>
              <w:spacing w:after="0"/>
              <w:rPr>
                <w:rFonts w:ascii="Times New Roman" w:cs="Times New Roman" w:eastAsia="Times New Roman" w:hAnsi="Times New Roman"/>
                <w:sz w:val="16"/>
                <w:szCs w:val="16"/>
                <w:u w:val="single" w:color="auto"/>
                <w:color w:val="0000FF"/>
              </w:rPr>
            </w:pPr>
            <w:hyperlink w:anchor="page71">
              <w:r>
                <w:rPr>
                  <w:rFonts w:ascii="Times New Roman" w:cs="Times New Roman" w:eastAsia="Times New Roman" w:hAnsi="Times New Roman"/>
                  <w:sz w:val="16"/>
                  <w:szCs w:val="16"/>
                  <w:u w:val="single" w:color="auto"/>
                  <w:color w:val="0000FF"/>
                </w:rPr>
                <w:t>Consolidated Statements of Cash Flows</w:t>
              </w:r>
            </w:hyperlink>
          </w:p>
        </w:tc>
        <w:tc>
          <w:tcPr>
            <w:tcW w:w="3800" w:type="dxa"/>
            <w:vAlign w:val="bottom"/>
          </w:tcPr>
          <w:p>
            <w:pPr>
              <w:ind w:left="3580"/>
              <w:spacing w:after="0"/>
              <w:rPr>
                <w:rFonts w:ascii="Times New Roman" w:cs="Times New Roman" w:eastAsia="Times New Roman" w:hAnsi="Times New Roman"/>
                <w:sz w:val="16"/>
                <w:szCs w:val="16"/>
                <w:color w:val="0000FF"/>
                <w:w w:val="89"/>
              </w:rPr>
            </w:pPr>
            <w:hyperlink w:anchor="page71">
              <w:r>
                <w:rPr>
                  <w:rFonts w:ascii="Times New Roman" w:cs="Times New Roman" w:eastAsia="Times New Roman" w:hAnsi="Times New Roman"/>
                  <w:sz w:val="16"/>
                  <w:szCs w:val="16"/>
                  <w:u w:val="single" w:color="auto"/>
                  <w:color w:val="0000FF"/>
                  <w:w w:val="89"/>
                </w:rPr>
                <w:t>F-</w:t>
              </w:r>
            </w:hyperlink>
            <w:r>
              <w:rPr>
                <w:rFonts w:ascii="Times New Roman" w:cs="Times New Roman" w:eastAsia="Times New Roman" w:hAnsi="Times New Roman"/>
                <w:sz w:val="16"/>
                <w:szCs w:val="16"/>
                <w:color w:val="000000"/>
                <w:w w:val="89"/>
              </w:rPr>
              <w:t>8</w:t>
            </w:r>
          </w:p>
        </w:tc>
      </w:tr>
      <w:tr>
        <w:trPr>
          <w:trHeight w:val="216"/>
        </w:trPr>
        <w:tc>
          <w:tcPr>
            <w:tcW w:w="7380" w:type="dxa"/>
            <w:vAlign w:val="bottom"/>
          </w:tcPr>
          <w:p>
            <w:pPr>
              <w:spacing w:after="0"/>
              <w:rPr>
                <w:rFonts w:ascii="Times New Roman" w:cs="Times New Roman" w:eastAsia="Times New Roman" w:hAnsi="Times New Roman"/>
                <w:sz w:val="16"/>
                <w:szCs w:val="16"/>
                <w:u w:val="single" w:color="auto"/>
                <w:color w:val="0000FF"/>
              </w:rPr>
            </w:pPr>
            <w:hyperlink w:anchor="page72">
              <w:r>
                <w:rPr>
                  <w:rFonts w:ascii="Times New Roman" w:cs="Times New Roman" w:eastAsia="Times New Roman" w:hAnsi="Times New Roman"/>
                  <w:sz w:val="16"/>
                  <w:szCs w:val="16"/>
                  <w:u w:val="single" w:color="auto"/>
                  <w:color w:val="0000FF"/>
                </w:rPr>
                <w:t>Notes to Consolidated Financial Statements</w:t>
              </w:r>
            </w:hyperlink>
          </w:p>
        </w:tc>
        <w:tc>
          <w:tcPr>
            <w:tcW w:w="3800" w:type="dxa"/>
            <w:vAlign w:val="bottom"/>
          </w:tcPr>
          <w:p>
            <w:pPr>
              <w:ind w:left="3580"/>
              <w:spacing w:after="0"/>
              <w:rPr>
                <w:rFonts w:ascii="Times New Roman" w:cs="Times New Roman" w:eastAsia="Times New Roman" w:hAnsi="Times New Roman"/>
                <w:sz w:val="16"/>
                <w:szCs w:val="16"/>
                <w:u w:val="single" w:color="auto"/>
                <w:color w:val="0000FF"/>
                <w:w w:val="89"/>
              </w:rPr>
            </w:pPr>
            <w:hyperlink w:anchor="page72">
              <w:r>
                <w:rPr>
                  <w:rFonts w:ascii="Times New Roman" w:cs="Times New Roman" w:eastAsia="Times New Roman" w:hAnsi="Times New Roman"/>
                  <w:sz w:val="16"/>
                  <w:szCs w:val="16"/>
                  <w:u w:val="single" w:color="auto"/>
                  <w:color w:val="0000FF"/>
                  <w:w w:val="89"/>
                </w:rPr>
                <w:t>F-9</w:t>
              </w:r>
            </w:hyperlink>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p>
      <w:pPr>
        <w:spacing w:after="0" w:line="162"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included in the consolidated financial statements or notes thereto.</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Exhibit Index, which immediately precedes the signature page of this Annual Report on Form 10-K.</w:t>
      </w:r>
    </w:p>
    <w:p>
      <w:pPr>
        <w:spacing w:after="0" w:line="200" w:lineRule="exact"/>
        <w:rPr>
          <w:sz w:val="20"/>
          <w:szCs w:val="20"/>
          <w:color w:val="auto"/>
        </w:rPr>
      </w:pPr>
    </w:p>
    <w:p>
      <w:pPr>
        <w:spacing w:after="0" w:line="3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866140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Shutterstock,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Shutterstock, Inc. and its subsidiaries (the “Company”) as of December 31, 2020 and 2019, and the related consolidated statements of operations, of comprehensive income, of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Principles</w:t>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changed the manner in which it accounts for leases in 2019 and the manner in which it accounts for revenues from contracts with customers in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6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described in Notes 1 and 8 to the consolidated financial statements, 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recognizes revenue upon the satisfaction of performance obligations, which generally occurs when content is downloaded by a customer. The Company recognizes revenue on both its subscription-based and transaction-based products when content is downloaded, at which time the license is provided. For the year ended December 31, 2020, the Company’s total revenue was $666.7 million.</w:t>
      </w:r>
    </w:p>
    <w:p>
      <w:pPr>
        <w:spacing w:after="0" w:line="2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are the significant audit effort in performing procedures and evaluating audit evidence related to content license arrangements and customer download activity.</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completeness, accuracy and existence of revenue recognized. These procedures also included, among others, evaluating the completeness, accuracy and existence of revenue recognized on a sample basis by inspecting content license arrangements and evaluating the appropriateness of the revenue recognized based on the terms of each arrangement and customer download activity.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303,261</w:t>
            </w: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of $4,942 and $3,579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47,016</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26,703</w:t>
            </w:r>
          </w:p>
        </w:tc>
        <w:tc>
          <w:tcPr>
            <w:tcW w:w="0" w:type="dxa"/>
            <w:vAlign w:val="bottom"/>
          </w:tcPr>
          <w:p>
            <w:pPr>
              <w:spacing w:after="0"/>
              <w:rPr>
                <w:sz w:val="1"/>
                <w:szCs w:val="1"/>
                <w:color w:val="auto"/>
              </w:rPr>
            </w:pPr>
          </w:p>
        </w:tc>
      </w:tr>
      <w:tr>
        <w:trPr>
          <w:trHeight w:val="207"/>
        </w:trPr>
        <w:tc>
          <w:tcPr>
            <w:tcW w:w="86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489,070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376,980</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58,834</w:t>
            </w:r>
          </w:p>
        </w:tc>
        <w:tc>
          <w:tcPr>
            <w:tcW w:w="0" w:type="dxa"/>
            <w:vAlign w:val="bottom"/>
          </w:tcPr>
          <w:p>
            <w:pPr>
              <w:spacing w:after="0"/>
              <w:rPr>
                <w:sz w:val="1"/>
                <w:szCs w:val="1"/>
                <w:color w:val="auto"/>
              </w:rPr>
            </w:pPr>
          </w:p>
        </w:tc>
      </w:tr>
      <w:tr>
        <w:trPr>
          <w:trHeight w:val="213"/>
        </w:trPr>
        <w:tc>
          <w:tcPr>
            <w:tcW w:w="8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45,453</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26,669</w:t>
            </w:r>
          </w:p>
        </w:tc>
        <w:tc>
          <w:tcPr>
            <w:tcW w:w="0" w:type="dxa"/>
            <w:vAlign w:val="bottom"/>
          </w:tcPr>
          <w:p>
            <w:pPr>
              <w:spacing w:after="0"/>
              <w:rPr>
                <w:sz w:val="1"/>
                <w:szCs w:val="1"/>
                <w:color w:val="auto"/>
              </w:rPr>
            </w:pPr>
          </w:p>
        </w:tc>
      </w:tr>
      <w:tr>
        <w:trPr>
          <w:trHeight w:val="213"/>
        </w:trPr>
        <w:tc>
          <w:tcPr>
            <w:tcW w:w="8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88,974</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14,387</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19,215</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729,644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630,512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53,864</w:t>
            </w:r>
          </w:p>
        </w:tc>
        <w:tc>
          <w:tcPr>
            <w:tcW w:w="0" w:type="dxa"/>
            <w:vAlign w:val="bottom"/>
          </w:tcPr>
          <w:p>
            <w:pPr>
              <w:spacing w:after="0"/>
              <w:rPr>
                <w:sz w:val="1"/>
                <w:szCs w:val="1"/>
                <w:color w:val="auto"/>
              </w:rPr>
            </w:pPr>
          </w:p>
        </w:tc>
      </w:tr>
      <w:tr>
        <w:trPr>
          <w:trHeight w:val="213"/>
        </w:trPr>
        <w:tc>
          <w:tcPr>
            <w:tcW w:w="8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25,193</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141,922</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18,811</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245,894</w:t>
            </w:r>
          </w:p>
        </w:tc>
        <w:tc>
          <w:tcPr>
            <w:tcW w:w="0" w:type="dxa"/>
            <w:vAlign w:val="bottom"/>
          </w:tcPr>
          <w:p>
            <w:pPr>
              <w:spacing w:after="0"/>
              <w:rPr>
                <w:sz w:val="1"/>
                <w:szCs w:val="1"/>
                <w:color w:val="auto"/>
              </w:rPr>
            </w:pPr>
          </w:p>
        </w:tc>
      </w:tr>
      <w:tr>
        <w:trPr>
          <w:trHeight w:val="213"/>
        </w:trPr>
        <w:tc>
          <w:tcPr>
            <w:tcW w:w="8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47,313</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9,160</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307,719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302,367</w:t>
            </w:r>
          </w:p>
        </w:tc>
        <w:tc>
          <w:tcPr>
            <w:tcW w:w="0" w:type="dxa"/>
            <w:vAlign w:val="bottom"/>
          </w:tcPr>
          <w:p>
            <w:pPr>
              <w:spacing w:after="0"/>
              <w:rPr>
                <w:sz w:val="1"/>
                <w:szCs w:val="1"/>
                <w:color w:val="auto"/>
              </w:rPr>
            </w:pPr>
          </w:p>
        </w:tc>
      </w:tr>
      <w:tr>
        <w:trPr>
          <w:trHeight w:val="19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8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Common stock, $0.01 par value; 200,000 shares authorized; 38,803 and 38,055 shares issued and 36,245 and 35,497 shares</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outstanding as of December 31, 2020 and December 31, 2019, respectively</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312,824</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Treasury stock, at cost; 2,558 shares as of December 31, 2020 and December 31, 2019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(100,027)</w:t>
            </w:r>
          </w:p>
        </w:tc>
        <w:tc>
          <w:tcPr>
            <w:tcW w:w="0" w:type="dxa"/>
            <w:vAlign w:val="bottom"/>
          </w:tcPr>
          <w:p>
            <w:pPr>
              <w:spacing w:after="0"/>
              <w:rPr>
                <w:sz w:val="1"/>
                <w:szCs w:val="1"/>
                <w:color w:val="auto"/>
              </w:rPr>
            </w:pP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168,305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121,187</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328,145</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729,644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630,512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623,250</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267,671</w:t>
            </w:r>
          </w:p>
        </w:tc>
        <w:tc>
          <w:tcPr>
            <w:tcW w:w="0" w:type="dxa"/>
            <w:vAlign w:val="bottom"/>
          </w:tcPr>
          <w:p>
            <w:pPr>
              <w:spacing w:after="0"/>
              <w:rPr>
                <w:sz w:val="1"/>
                <w:szCs w:val="1"/>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166,448</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58,897</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116,568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97,782</w:t>
            </w: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581,420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630,368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590,798</w:t>
            </w:r>
          </w:p>
        </w:tc>
        <w:tc>
          <w:tcPr>
            <w:tcW w:w="0" w:type="dxa"/>
            <w:vAlign w:val="bottom"/>
          </w:tcPr>
          <w:p>
            <w:pPr>
              <w:spacing w:after="0"/>
              <w:rPr>
                <w:sz w:val="1"/>
                <w:szCs w:val="1"/>
                <w:color w:val="auto"/>
              </w:rPr>
            </w:pPr>
          </w:p>
        </w:tc>
      </w:tr>
      <w:tr>
        <w:trPr>
          <w:trHeight w:val="20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85,266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32,452</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Webdam</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38,613</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66,113</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11,426</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9" w:name="page70"/>
    <w:bookmarkEnd w:id="69"/>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8"/>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71,766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54,687</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(1,461)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(2,914)</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(1,461)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(2,914)</w:t>
            </w: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70,305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20,359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51,773</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80" w:type="dxa"/>
            <w:vAlign w:val="bottom"/>
          </w:tcPr>
          <w:p>
            <w:pPr>
              <w:spacing w:after="0"/>
              <w:rPr>
                <w:sz w:val="10"/>
                <w:szCs w:val="10"/>
                <w:color w:val="auto"/>
              </w:rPr>
            </w:pPr>
          </w:p>
        </w:tc>
        <w:tc>
          <w:tcPr>
            <w:tcW w:w="1540" w:type="dxa"/>
            <w:vAlign w:val="bottom"/>
            <w:gridSpan w:val="5"/>
          </w:tcPr>
          <w:p>
            <w:pPr>
              <w:ind w:left="36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580" w:type="dxa"/>
            <w:vAlign w:val="bottom"/>
            <w:gridSpan w:val="4"/>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860" w:type="dxa"/>
            <w:vAlign w:val="bottom"/>
            <w:gridSpan w:val="3"/>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0" w:type="dxa"/>
            <w:vAlign w:val="bottom"/>
          </w:tcPr>
          <w:p>
            <w:pPr>
              <w:spacing w:after="0"/>
              <w:rPr>
                <w:sz w:val="4"/>
                <w:szCs w:val="4"/>
                <w:color w:val="auto"/>
              </w:rPr>
            </w:pPr>
          </w:p>
        </w:tc>
        <w:tc>
          <w:tcPr>
            <w:tcW w:w="700" w:type="dxa"/>
            <w:vAlign w:val="bottom"/>
            <w:gridSpan w:val="2"/>
            <w:vMerge w:val="restart"/>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line="20" w:lineRule="exact"/>
              <w:rPr>
                <w:sz w:val="1"/>
                <w:szCs w:val="1"/>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6"/>
        </w:trPr>
        <w:tc>
          <w:tcPr>
            <w:tcW w:w="40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6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0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272,657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145,139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314,585</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Cumulative Effect of Accounting Change (See Note 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6,178</w:t>
            </w:r>
          </w:p>
        </w:tc>
        <w:tc>
          <w:tcPr>
            <w:tcW w:w="0" w:type="dxa"/>
            <w:vAlign w:val="bottom"/>
          </w:tcPr>
          <w:p>
            <w:pPr>
              <w:spacing w:after="0"/>
              <w:rPr>
                <w:sz w:val="1"/>
                <w:szCs w:val="1"/>
                <w:color w:val="auto"/>
              </w:rPr>
            </w:pPr>
          </w:p>
        </w:tc>
      </w:tr>
      <w:tr>
        <w:trPr>
          <w:trHeight w:val="18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272,657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151,317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320,763</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23,869</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Special Dividend</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(104,925)</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54,687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54,687</w:t>
            </w:r>
          </w:p>
        </w:tc>
        <w:tc>
          <w:tcPr>
            <w:tcW w:w="0" w:type="dxa"/>
            <w:vAlign w:val="bottom"/>
          </w:tcPr>
          <w:p>
            <w:pPr>
              <w:spacing w:after="0"/>
              <w:rPr>
                <w:sz w:val="1"/>
                <w:szCs w:val="1"/>
                <w:color w:val="auto"/>
              </w:rPr>
            </w:pPr>
          </w:p>
        </w:tc>
      </w:tr>
      <w:tr>
        <w:trPr>
          <w:trHeight w:val="18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37,618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291,710</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101,079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286,667</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22,815</w:t>
            </w:r>
          </w:p>
        </w:tc>
        <w:tc>
          <w:tcPr>
            <w:tcW w:w="0" w:type="dxa"/>
            <w:vAlign w:val="bottom"/>
          </w:tcPr>
          <w:p>
            <w:pPr>
              <w:spacing w:after="0"/>
              <w:rPr>
                <w:sz w:val="1"/>
                <w:szCs w:val="1"/>
                <w:color w:val="auto"/>
              </w:rPr>
            </w:pPr>
          </w:p>
        </w:tc>
      </w:tr>
      <w:tr>
        <w:trPr>
          <w:trHeight w:val="135"/>
        </w:trPr>
        <w:tc>
          <w:tcPr>
            <w:tcW w:w="40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5,359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(7,061)</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20,108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20,108</w:t>
            </w:r>
          </w:p>
        </w:tc>
        <w:tc>
          <w:tcPr>
            <w:tcW w:w="0" w:type="dxa"/>
            <w:vAlign w:val="bottom"/>
          </w:tcPr>
          <w:p>
            <w:pPr>
              <w:spacing w:after="0"/>
              <w:rPr>
                <w:sz w:val="1"/>
                <w:szCs w:val="1"/>
                <w:color w:val="auto"/>
              </w:rPr>
            </w:pPr>
          </w:p>
        </w:tc>
      </w:tr>
      <w:tr>
        <w:trPr>
          <w:trHeight w:val="18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38,055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312,824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121,187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328,145</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Cumulative Effect of Accounting Change (See Note 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8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 2020</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38,055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312,824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120,940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327,898</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28,309</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23,153</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(24,401)</w:t>
            </w:r>
          </w:p>
        </w:tc>
        <w:tc>
          <w:tcPr>
            <w:tcW w:w="0" w:type="dxa"/>
            <w:vAlign w:val="bottom"/>
          </w:tcPr>
          <w:p>
            <w:pPr>
              <w:spacing w:after="0"/>
              <w:rPr>
                <w:sz w:val="1"/>
                <w:szCs w:val="1"/>
                <w:color w:val="auto"/>
              </w:rPr>
            </w:pPr>
          </w:p>
        </w:tc>
      </w:tr>
      <w:tr>
        <w:trPr>
          <w:trHeight w:val="189"/>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71,766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71,766</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38,803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360,939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168,305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421,925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740" w:top="121" w:right="759" w:bottom="1440" w:gutter="0" w:footer="0" w:header="0"/>
        </w:sectPr>
      </w:pPr>
    </w:p>
    <w:bookmarkStart w:id="71" w:name="page72"/>
    <w:bookmarkEnd w:id="71"/>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8"/>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71,766</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54,687</w:t>
            </w:r>
          </w:p>
        </w:tc>
      </w:tr>
      <w:tr>
        <w:trPr>
          <w:trHeight w:val="18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45,652</w:t>
            </w:r>
          </w:p>
        </w:tc>
      </w:tr>
      <w:tr>
        <w:trPr>
          <w:trHeight w:val="18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23,869</w:t>
            </w:r>
          </w:p>
        </w:tc>
      </w:tr>
      <w:tr>
        <w:trPr>
          <w:trHeight w:val="18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Sale of Webdam</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(38,613)</w:t>
            </w: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impairment of long-term investment</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5,881</w:t>
            </w:r>
          </w:p>
        </w:tc>
      </w:tr>
      <w:tr>
        <w:trPr>
          <w:trHeight w:val="18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Bad debt expense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189"/>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and non-current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other current and non-current liabilities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6,388</w:t>
            </w:r>
          </w:p>
        </w:tc>
      </w:tr>
      <w:tr>
        <w:trPr>
          <w:trHeight w:val="189"/>
        </w:trPr>
        <w:tc>
          <w:tcPr>
            <w:tcW w:w="7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incentives related to acquisitions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Contributor royalties payable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r>
      <w:tr>
        <w:trPr>
          <w:trHeight w:val="189"/>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w:t>
            </w:r>
          </w:p>
        </w:tc>
      </w:tr>
      <w:tr>
        <w:trPr>
          <w:trHeight w:val="18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165,072</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102,646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102,202</w:t>
            </w:r>
          </w:p>
        </w:tc>
      </w:tr>
      <w:tr>
        <w:trPr>
          <w:trHeight w:val="129"/>
        </w:trPr>
        <w:tc>
          <w:tcPr>
            <w:tcW w:w="7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(34,890)</w:t>
            </w:r>
          </w:p>
        </w:tc>
      </w:tr>
      <w:tr>
        <w:trPr>
          <w:trHeight w:val="18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Business and asset acquisitions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r>
      <w:tr>
        <w:trPr>
          <w:trHeight w:val="189"/>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Webdam, net</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41,804</w:t>
            </w:r>
          </w:p>
        </w:tc>
      </w:tr>
      <w:tr>
        <w:trPr>
          <w:trHeight w:val="18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 term investments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89"/>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content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w:t>
            </w:r>
          </w:p>
        </w:tc>
      </w:tr>
      <w:tr>
        <w:trPr>
          <w:trHeight w:val="18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Security deposit release / (payment)</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2"/>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(35,310)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(12,827)</w:t>
            </w:r>
          </w:p>
        </w:tc>
      </w:tr>
      <w:tr>
        <w:trPr>
          <w:trHeight w:val="129"/>
        </w:trPr>
        <w:tc>
          <w:tcPr>
            <w:tcW w:w="7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8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r>
      <w:tr>
        <w:trPr>
          <w:trHeight w:val="18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related to settlement of employee taxes related to RSU vesting</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r>
      <w:tr>
        <w:trPr>
          <w:trHeight w:val="189"/>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cash dividends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(104,925)</w:t>
            </w:r>
          </w:p>
        </w:tc>
      </w:tr>
      <w:tr>
        <w:trPr>
          <w:trHeight w:val="183"/>
        </w:trPr>
        <w:tc>
          <w:tcPr>
            <w:tcW w:w="7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(109,739)</w:t>
            </w:r>
          </w:p>
        </w:tc>
      </w:tr>
      <w:tr>
        <w:trPr>
          <w:trHeight w:val="88"/>
        </w:trPr>
        <w:tc>
          <w:tcPr>
            <w:tcW w:w="7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8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r>
      <w:tr>
        <w:trPr>
          <w:trHeight w:val="182"/>
        </w:trPr>
        <w:tc>
          <w:tcPr>
            <w:tcW w:w="7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increase / (decrease) in cash, cash equivalents and restricted cash</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(22,576)</w:t>
            </w:r>
          </w:p>
        </w:tc>
      </w:tr>
      <w:tr>
        <w:trPr>
          <w:trHeight w:val="18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305,874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233,465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256,041</w:t>
            </w:r>
          </w:p>
        </w:tc>
      </w:tr>
      <w:tr>
        <w:trPr>
          <w:trHeight w:val="18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428,574</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305,874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233,465</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7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8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Information:</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2" w:name="page73"/>
    <w:bookmarkEnd w:id="7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48" w:lineRule="exact"/>
        <w:rPr>
          <w:sz w:val="20"/>
          <w:szCs w:val="20"/>
          <w:color w:val="auto"/>
        </w:rPr>
      </w:pPr>
    </w:p>
    <w:p>
      <w:pPr>
        <w:jc w:val="both"/>
        <w:ind w:right="460" w:firstLine="405"/>
        <w:spacing w:after="0" w:line="266" w:lineRule="auto"/>
        <w:rPr>
          <w:sz w:val="20"/>
          <w:szCs w:val="20"/>
          <w:color w:val="auto"/>
        </w:rPr>
      </w:pPr>
      <w:r>
        <w:rPr>
          <w:rFonts w:ascii="Times New Roman" w:cs="Times New Roman" w:eastAsia="Times New Roman" w:hAnsi="Times New Roman"/>
          <w:sz w:val="18"/>
          <w:szCs w:val="18"/>
          <w:color w:val="auto"/>
        </w:rPr>
        <w:t>Shutterstock (the “Company” or “Shutterstock”) is a leading creative platform offering full-service solutions, high-quality content, and tools for brands, businesses and media companies. The Company’s platform brings together users and contributors of content by providing readily-searchable content that our customers pay to license and by compensating contributors as their content is licensed.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content licensed by the Company’s customers includes:</w:t>
      </w:r>
    </w:p>
    <w:p>
      <w:pPr>
        <w:spacing w:after="0" w:line="158" w:lineRule="exact"/>
        <w:rPr>
          <w:sz w:val="20"/>
          <w:szCs w:val="20"/>
          <w:color w:val="auto"/>
        </w:rPr>
      </w:pPr>
    </w:p>
    <w:p>
      <w:pPr>
        <w:ind w:left="820" w:right="120" w:hanging="32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53" w:lineRule="exact"/>
        <w:rPr>
          <w:rFonts w:ascii="Times New Roman" w:cs="Times New Roman" w:eastAsia="Times New Roman" w:hAnsi="Times New Roman"/>
          <w:sz w:val="18"/>
          <w:szCs w:val="18"/>
          <w:color w:val="auto"/>
        </w:rPr>
      </w:pPr>
    </w:p>
    <w:p>
      <w:pPr>
        <w:ind w:left="820" w:right="580" w:hanging="32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17" w:lineRule="exact"/>
        <w:rPr>
          <w:rFonts w:ascii="Times New Roman" w:cs="Times New Roman" w:eastAsia="Times New Roman" w:hAnsi="Times New Roman"/>
          <w:sz w:val="18"/>
          <w:szCs w:val="18"/>
          <w:color w:val="auto"/>
        </w:rPr>
      </w:pPr>
    </w:p>
    <w:p>
      <w:pPr>
        <w:ind w:left="820" w:right="240" w:hanging="326"/>
        <w:spacing w:after="0" w:line="312" w:lineRule="auto"/>
        <w:tabs>
          <w:tab w:leader="none" w:pos="8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3D Models - following the Company’s acquisition of TurboSquid, Inc. on February 1, 2021, Shutterstock now offer 3D models, used in industries such as advertising, media &amp; video production, gaming, retail, education, design and architecture. See Note 17 Subsequent Events.</w:t>
      </w:r>
    </w:p>
    <w:p>
      <w:pPr>
        <w:spacing w:after="0" w:line="5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licenses content to its customers. Contributors upload their content to the Company’s web properties in exchange for royalty payments based on customer download activity. The Company also offered digital asset management services through its cloud-based digital asset management platform (“Webdam”). As discussed in Note 3, on February 26, 2018, the Company completed a sale transaction, pursuant to which the buyer in the transaction acquired certain assets and assumed certain contracts and liabilities which constituted the Company’s digital asset management business (the “Sale of Webdam”).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68" w:lineRule="exact"/>
        <w:rPr>
          <w:sz w:val="20"/>
          <w:szCs w:val="20"/>
          <w:color w:val="auto"/>
        </w:rPr>
      </w:pPr>
    </w:p>
    <w:p>
      <w:pPr>
        <w:ind w:right="1600" w:firstLine="405"/>
        <w:spacing w:after="0" w:line="430" w:lineRule="auto"/>
        <w:rPr>
          <w:sz w:val="20"/>
          <w:szCs w:val="20"/>
          <w:color w:val="auto"/>
        </w:rPr>
      </w:pPr>
      <w:r>
        <w:rPr>
          <w:rFonts w:ascii="Times New Roman" w:cs="Times New Roman" w:eastAsia="Times New Roman" w:hAnsi="Times New Roman"/>
          <w:sz w:val="18"/>
          <w:szCs w:val="18"/>
          <w:color w:val="auto"/>
        </w:rPr>
        <w:t xml:space="preserve">Certain immaterial changes in presentation have been made to conform the prior period presentation to current period reporting.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73" w:name="page74"/>
    <w:bookmarkEnd w:id="7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Financial instruments that are exposed to concentration of credit risk consist primarily of cash and cash equivalents and accounts receivable balances.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held with financial institutions of high quality. Balances may exceed the amount of insurance provided on such deposits.</w:t>
      </w:r>
    </w:p>
    <w:p>
      <w:pPr>
        <w:spacing w:after="0" w:line="12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revenues are derived from customers who license content using electronic payments at the time of a transaction. The Company’s accounts receivable are primarily from enterprise customers who require invoicing. The Company performs initial and ongoing credit reviews on these customers, which involve consideration of the customers’ financial information, their location, and other factors to assess the customers’ ability to pay. The Company also performs ongoing financial condition evaluations for its existing customers. As of December 31, 2020 and 2019, no single customer accounted for or exceeded 10% of accounts receivable.</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Additionally, no single customer accounted for or exceeded 10% of revenue for the years ended December 31, 2020, 2019 or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represents the Company’s cash, cash equivalents and restricted cash as of December 31, 2020 and 2019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220" w:type="dxa"/>
            <w:vAlign w:val="bottom"/>
          </w:tcPr>
          <w:p>
            <w:pPr>
              <w:spacing w:after="0"/>
              <w:rPr>
                <w:sz w:val="16"/>
                <w:szCs w:val="16"/>
                <w:color w:val="auto"/>
              </w:rPr>
            </w:pPr>
          </w:p>
        </w:tc>
        <w:tc>
          <w:tcPr>
            <w:tcW w:w="19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r>
      <w:tr>
        <w:trPr>
          <w:trHeight w:val="215"/>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428,574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303,261</w:t>
            </w:r>
          </w:p>
        </w:tc>
      </w:tr>
      <w:tr>
        <w:trPr>
          <w:trHeight w:val="21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2,613</w:t>
            </w:r>
          </w:p>
        </w:tc>
      </w:tr>
      <w:tr>
        <w:trPr>
          <w:trHeight w:val="237"/>
        </w:trPr>
        <w:tc>
          <w:tcPr>
            <w:tcW w:w="6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428,574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305,874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(i) cash on hand and bank deposits and (ii) money market accounts.</w:t>
      </w:r>
    </w:p>
    <w:p>
      <w:pPr>
        <w:spacing w:after="0" w:line="11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2020, the Company was no longer required to provide cash collateral for its letter of credit for its New York City headquarters, and, accordingly, these funds are no longer restricted. Restricted cash is included as a component of other assets on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The Company records its financial assets and liabilities at fair value. Fair value is determined as the price that would be received to sell an asset or paid to transfer a liability in an orderly transaction between market participants at the reporting date. Fair value is estimated by applying inputs which are classified into the following levels of a three-tier hierarchy as follows: Level 1 - quoted prices (unadjusted) in active markets for identical assets or liabilities; Level 2- inputs other than quoted prices included within Level 1 that are either directly or indirectly observable; and Level 3 - unobservable inputs in which little or no market activity exists, therefore requiring an entity to develop its own assumptions regarding what market participants would use in pricing.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6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99"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Historically, the Company used an incurred loss model to calculate its allowance for doubtful accounts. Upon the adoption of ASU 2016-13, </w:t>
      </w:r>
      <w:r>
        <w:rPr>
          <w:rFonts w:ascii="Times New Roman" w:cs="Times New Roman" w:eastAsia="Times New Roman" w:hAnsi="Times New Roman"/>
          <w:sz w:val="18"/>
          <w:szCs w:val="18"/>
          <w:i w:val="1"/>
          <w:iCs w:val="1"/>
          <w:color w:val="auto"/>
        </w:rPr>
        <w:t xml:space="preserve">Financial Instruments - Credit Losses (Topic 326): Measurement of Credit Losses of Financial Instruments </w:t>
      </w:r>
      <w:r>
        <w:rPr>
          <w:rFonts w:ascii="Times New Roman" w:cs="Times New Roman" w:eastAsia="Times New Roman" w:hAnsi="Times New Roman"/>
          <w:sz w:val="18"/>
          <w:szCs w:val="18"/>
          <w:color w:val="auto"/>
        </w:rPr>
        <w:t>(“ASU 2016-13”) on January 1,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shifted to a current expected credit loss model.</w:t>
      </w: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74" w:name="page75"/>
    <w:bookmarkEnd w:id="74"/>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allowance for doubtful accounts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8"/>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342"/>
              <w:spacing w:after="0"/>
              <w:rPr>
                <w:sz w:val="20"/>
                <w:szCs w:val="20"/>
                <w:color w:val="auto"/>
              </w:rPr>
            </w:pPr>
            <w:r>
              <w:rPr>
                <w:rFonts w:ascii="Times New Roman" w:cs="Times New Roman" w:eastAsia="Times New Roman" w:hAnsi="Times New Roman"/>
                <w:sz w:val="16"/>
                <w:szCs w:val="16"/>
                <w:color w:val="auto"/>
              </w:rPr>
              <w:t>3,579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w:t>
            </w: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bad debt expense</w:t>
            </w:r>
          </w:p>
        </w:tc>
        <w:tc>
          <w:tcPr>
            <w:tcW w:w="280" w:type="dxa"/>
            <w:vAlign w:val="bottom"/>
          </w:tcPr>
          <w:p>
            <w:pPr>
              <w:spacing w:after="0"/>
              <w:rPr>
                <w:sz w:val="18"/>
                <w:szCs w:val="18"/>
                <w:color w:val="auto"/>
              </w:rPr>
            </w:pPr>
          </w:p>
        </w:tc>
        <w:tc>
          <w:tcPr>
            <w:tcW w:w="920" w:type="dxa"/>
            <w:vAlign w:val="bottom"/>
          </w:tcPr>
          <w:p>
            <w:pPr>
              <w:jc w:val="center"/>
              <w:ind w:left="342"/>
              <w:spacing w:after="0"/>
              <w:rPr>
                <w:sz w:val="20"/>
                <w:szCs w:val="20"/>
                <w:color w:val="auto"/>
              </w:rPr>
            </w:pPr>
            <w:r>
              <w:rPr>
                <w:rFonts w:ascii="Times New Roman" w:cs="Times New Roman" w:eastAsia="Times New Roman" w:hAnsi="Times New Roman"/>
                <w:sz w:val="16"/>
                <w:szCs w:val="16"/>
                <w:color w:val="auto"/>
              </w:rPr>
              <w:t>2,580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r>
      <w:tr>
        <w:trPr>
          <w:trHeight w:val="219"/>
        </w:trPr>
        <w:tc>
          <w:tcPr>
            <w:tcW w:w="73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Less: write-offs, net of recoveries and other adjustments</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342"/>
              <w:spacing w:after="0"/>
              <w:rPr>
                <w:sz w:val="20"/>
                <w:szCs w:val="20"/>
                <w:color w:val="auto"/>
              </w:rPr>
            </w:pPr>
            <w:r>
              <w:rPr>
                <w:rFonts w:ascii="Times New Roman" w:cs="Times New Roman" w:eastAsia="Times New Roman" w:hAnsi="Times New Roman"/>
                <w:sz w:val="16"/>
                <w:szCs w:val="16"/>
                <w:color w:val="auto"/>
              </w:rPr>
              <w:t>4,942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4,697</w:t>
            </w:r>
          </w:p>
        </w:tc>
      </w:tr>
      <w:tr>
        <w:trPr>
          <w:trHeight w:val="21"/>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1 - Other adjustments includes the adoption of ASU 2016-13, which increased the allowance for doubtful accounts by $0.3M.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2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Company establishes a chargeback allowance and sales refund reserve allowance based on factors surrounding historical credit card chargeback trends, historical sales refund trends and other information. As of December 31, 2020 and December 31, 2019, the Company’s combined allowance for chargebacks and sales refunds was $0.5 million, and $0.3 million, respectively, which is included as a component of other current liabilities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Generally, the useful lives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660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6"/>
                <w:szCs w:val="16"/>
                <w:color w:val="auto"/>
              </w:rPr>
              <w:t>3 years</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660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7 years</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660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6"/>
                <w:szCs w:val="16"/>
                <w:color w:val="auto"/>
              </w:rPr>
              <w:t>3 years</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660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Shorter of expected useful life or lease term</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 Use Software</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 capitalizes the qualifying costs of computer software developed for internal use, which are incurred during the application development stage, and amortizes them over the software’s estimated useful life. Costs incurred in the preliminary and post-implementation stages of the Company’s products are expensed as incurred. The amounts capitalized include employee’s payroll and payroll-related costs directly associated with the development activities as well as external direct costs of services used in developing internal-use software. The Company’s policy is to amortize capitalized costs using the straight-line method over the estimated useful life, which is currently three years, beginning when the software is substantially complete and ready for its intended use.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Long-lived assets, inclusive of definite-lived intangible assets,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undiscounted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long-lived asset impairment charges in 2020, 2019 or 2018.</w:t>
      </w: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5" w:name="page76"/>
    <w:bookmarkEnd w:id="7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4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w:t>
      </w:r>
    </w:p>
    <w:p>
      <w:pPr>
        <w:spacing w:after="0" w:line="10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 2020, the Company’s goodwill balance was allocated to a single reporting unit. Since inception through December 31, 2020, the Company has not had any impairment of goodwill.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Prior to the Sale of Webdam, the Company also earned revenue from licensing hosted software services through Webdam’s cloud-based tools for businesses, which were purchased as part of a subscription.</w:t>
      </w:r>
    </w:p>
    <w:p>
      <w:pPr>
        <w:spacing w:after="0" w:line="7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which generally occurs when (i) content is downloaded by a customer or (ii) hosted software services are provisioned and available to a customer. For content licenses, the Company recognizes revenue on both its subscription-based and transaction-based products when content is downloaded,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Revenue associated with hosted software services is recognized ratably over the term of the license. The Company expenses contract acquisition costs as incurred, to the extent that the amortization period would otherwise be one year or less.</w:t>
      </w:r>
    </w:p>
    <w:p>
      <w:pPr>
        <w:spacing w:after="0" w:line="12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0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1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on January 1, 2018 using the modified retrospective approach, and prior period amounts were not restated. The effect of adoption of this guidance on the Consolidated Balance Sheet as of January 1, 2018 was to reduce (i) prepaid expenses and other current assets by $3.7 million and (ii) deferred revenues by $9.9 million, with an offsetting $6.2 million increase in 2018 opening retained earnings.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cost of revenue includes royalties paid to contributors, credit card processing fees, content reviewer costs, customer service expenses, infrastructure and hosting costs, content personnel salaries, non-cash equity-based compensation, amortization of content and technology intangible assets, and depreciation of network equipment, which are the direct costs related to providing content and service to customers. Additionally, the Company includes an allocation of overhead costs primarily related to payroll, insurance, and facilities expenses based on headcount.</w:t>
      </w:r>
    </w:p>
    <w:p>
      <w:pPr>
        <w:spacing w:after="0" w:line="200" w:lineRule="exact"/>
        <w:rPr>
          <w:sz w:val="20"/>
          <w:szCs w:val="20"/>
          <w:color w:val="auto"/>
        </w:rPr>
      </w:pPr>
    </w:p>
    <w:p>
      <w:pPr>
        <w:spacing w:after="0" w:line="3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76" w:name="page77"/>
    <w:bookmarkEnd w:id="7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 Royalties and Internal Sales Commissions</w:t>
      </w:r>
    </w:p>
    <w:p>
      <w:pPr>
        <w:spacing w:after="0" w:line="14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Company expenses contributor royalties in the period a customer download occurs and includes the corresponding contributor royalties in cost of revenue. Contributor royalties are generally paid monthly. The Company advances certain contributor royalties which are initially deferred and expensed based on the contractual royalty rate at the time of customer download or when the Company determines future recovery is not probable. For the years ended December 31, 2020, 2019 and 2018, the Company deferred $3.6 million, $8.4 million and $6.2 million, respectively, in royalty advances and amortized $5.5 million, $9.2 million and $6.1 million, respectively, in royalty advance expense which is included in cost of revenue. As of December 31, 2020, the balance of deferred contributor royalties was not significant. As of December 31, 2019, the Company has deferred contributor royalties of $1.9 million, which is included in prepaid expenses and other current assets in the Consolidated Balance Sheets.</w:t>
      </w:r>
    </w:p>
    <w:p>
      <w:pPr>
        <w:spacing w:after="0" w:line="12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Internal sales commissions are generally paid in the month following collection or invoicing of the commissioned receivable and is reported in sales and marketing expense on the Consolidated Statements of Operations. The Company expenses contract acquisition costs, including internal sales commissions, as incurred, to the extent that the amortization period would otherwise be one year or less.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6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expenses product development costs as incurred, except for costs that are capitalized for certain internal software development projects. Product development costs are primarily comprised of development personnel salaries, non-cash equity-based compensation, software and other IT equipment costs as well as allocated facility costs and related overhead.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expenses the cost of advertising and promoting its products as incurred. Such costs totaled $81.2 million, $102.3 million and</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$91.5 million for the years ended December 31, 2020, 2019 and 2018, respectively, which are included in sales and marketing expense in the Consolidated Statements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Company records rent expense on a straight-line basis over the term of the related lease. In accordance with FASB ASU 2016-02, Leases (Topic 842), as amended (“ASC 842”), which the Company adopted effective January 1, 2019, the Company first determines if an arrangement contains a lease and the classification of that lease, if applicable, at inception. This standard requires the recognition of right-of-use (“ROU”) assets and lease liabilities for the Company’s operating leases. For contracts with lease and non-lease components, the Company has elected not to allocate the contract consideration, and to account for the lease and non-lease components as a single lease component. The Company has also elected not to recognize a lease liability or ROU asset for leases with a term of 12 months or less, and recognize lease payments for those short-term leases on a straight-line basis over the lease term in the Consolidated Statements of Operations. Operating leases are included in ROU assets, other current liabilities and lease liabilities (net of current portion) on the Consolidated Balance Sheets.</w:t>
      </w:r>
    </w:p>
    <w:p>
      <w:pPr>
        <w:spacing w:after="0" w:line="124"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ROU assets and lease liabilities are recognized at the lease commencement date based on the present value of lease payments over the lease term. The implicit rate within the Company’s leases is generally not determinable and therefore the incremental borrowing rate at the lease commencement date is utilized to determine the present value of lease payments. The determination of the incremental borrowing rate requires judgment. Management determines the incremental borrowing rate for each lease using the Company’s estimated borrowing rate, adjusted for various factors including level of collateralization, term and currency to align with the terms of the lease. The ROU asset also includes any lease prepayments, offset by lease incentives. Certain of the Company’s leases include options to extend or terminate the lease. An option to extend the lease is considered in connection with determining the ROU asset and lease liability when the Company is reasonably certain that the option will be exercised. An option to terminate is considered unless the Company is reasonably certain the option will not be exercised.</w:t>
      </w:r>
    </w:p>
    <w:p>
      <w:pPr>
        <w:spacing w:after="0" w:line="200" w:lineRule="exact"/>
        <w:rPr>
          <w:sz w:val="20"/>
          <w:szCs w:val="20"/>
          <w:color w:val="auto"/>
        </w:rPr>
      </w:pPr>
    </w:p>
    <w:p>
      <w:pPr>
        <w:spacing w:after="0" w:line="3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77" w:name="page78"/>
    <w:bookmarkEnd w:id="7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4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Company grants Restricted Stock Units, Performance-based Restricted Stock Units (“PRSUs” and, collectively with Restricted Stock Units, “RSUs”) and Stock Options to directors and officers and certain other employees of the Company. All awards are granted pursuant to the 2012 Omnibus Equity Incentive Plan (the “2012 Plan”), which is discussed further in Note 9, Equity-Based Compensation.</w:t>
      </w:r>
    </w:p>
    <w:p>
      <w:pPr>
        <w:spacing w:after="0" w:line="10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non-cash equity-based compensation expense for all stock-based awards granted to employees based on estimated fair values. The value portion of the award that is ultimately expected to vest is recognized as expense over the requisite service period. Forfeitures are accounted for as they occur.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Compensation expense related to awards with a market condition is recognized over the requisite service period regardless of the achievement of the market condition. Compensation expense related to awards with a performance condition is recognized over the requisite service period based on the expected levels of achievement. To the extent that the expected levels of achievement change, stock-based compensation expense is adjusted and recorded in the Consolidated Statements of Operations and the remaining unrecognized stock-based compensation is recognized over the remaining requisite service period.</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uses the closing price of the Company’s common stock on the date of grant to determine the fair value of RSUs. The Company uses the Black Scholes option pricing model, to determine the fair value of stock options on the date of grant. The Monte Carlo simulation model is used if the award has a market condition.</w:t>
      </w:r>
    </w:p>
    <w:p>
      <w:pPr>
        <w:spacing w:after="0" w:line="95"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determination of the grant date fair value using an option-pricing model and simulation model requires judgment as well as assumptions regarding a number of other complex and subjective variables. These variables include the Company’s closing market price at the grant date, the expected stock price volatility over the expected term of the awards, awards’ exercise and cancellation behaviors, risk-free interest rates, and expected dividends, which are estimated as follows:</w:t>
      </w:r>
    </w:p>
    <w:p>
      <w:pPr>
        <w:spacing w:after="0" w:line="112" w:lineRule="exact"/>
        <w:rPr>
          <w:sz w:val="20"/>
          <w:szCs w:val="20"/>
          <w:color w:val="auto"/>
        </w:rPr>
      </w:pPr>
    </w:p>
    <w:p>
      <w:pPr>
        <w:ind w:left="900" w:right="140" w:hanging="244"/>
        <w:spacing w:after="0" w:line="266" w:lineRule="auto"/>
        <w:tabs>
          <w:tab w:leader="none" w:pos="8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The grant date fair value for stock-based awards is based on the closing price of the Company’s common stock on the NYSE on the date of grant and fair value for all other purposes related to stock-based awards shall be the closing price of the Company’s common stock on the NYSE on the relevant date.</w:t>
      </w:r>
    </w:p>
    <w:p>
      <w:pPr>
        <w:spacing w:after="0" w:line="67" w:lineRule="exact"/>
        <w:rPr>
          <w:rFonts w:ascii="Times New Roman" w:cs="Times New Roman" w:eastAsia="Times New Roman" w:hAnsi="Times New Roman"/>
          <w:sz w:val="18"/>
          <w:szCs w:val="18"/>
          <w:color w:val="auto"/>
        </w:rPr>
      </w:pPr>
    </w:p>
    <w:p>
      <w:pPr>
        <w:ind w:left="900" w:right="60" w:hanging="244"/>
        <w:spacing w:after="0" w:line="266" w:lineRule="auto"/>
        <w:tabs>
          <w:tab w:leader="none" w:pos="8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The expected term is estimated using the simplified method allowed under Securities and Exchange Commission (“SEC”) guidance. In certain cases for market based awards, the Company’s expected term is based on a combination of historical data and estimates of the period of time the award will be outstanding.</w:t>
      </w:r>
    </w:p>
    <w:p>
      <w:pPr>
        <w:spacing w:after="0" w:line="6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The volatility is estimated based on historical price volatility of the Company’s common stock.</w:t>
      </w:r>
    </w:p>
    <w:p>
      <w:pPr>
        <w:spacing w:after="0" w:line="117" w:lineRule="exact"/>
        <w:rPr>
          <w:rFonts w:ascii="Times New Roman" w:cs="Times New Roman" w:eastAsia="Times New Roman" w:hAnsi="Times New Roman"/>
          <w:sz w:val="18"/>
          <w:szCs w:val="18"/>
          <w:color w:val="auto"/>
        </w:rPr>
      </w:pPr>
    </w:p>
    <w:p>
      <w:pPr>
        <w:ind w:left="900" w:right="40" w:hanging="244"/>
        <w:spacing w:after="0" w:line="282" w:lineRule="auto"/>
        <w:tabs>
          <w:tab w:leader="none" w:pos="8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The risk-free interest rate is based on the yields of U.S. Treasury securities with maturities similar to the expected term of each award group.</w:t>
      </w:r>
    </w:p>
    <w:p>
      <w:pPr>
        <w:spacing w:after="0" w:line="53" w:lineRule="exact"/>
        <w:rPr>
          <w:rFonts w:ascii="Times New Roman" w:cs="Times New Roman" w:eastAsia="Times New Roman" w:hAnsi="Times New Roman"/>
          <w:sz w:val="18"/>
          <w:szCs w:val="18"/>
          <w:color w:val="auto"/>
        </w:rPr>
      </w:pPr>
    </w:p>
    <w:p>
      <w:pPr>
        <w:ind w:left="900" w:right="380" w:hanging="244"/>
        <w:spacing w:after="0" w:line="282" w:lineRule="auto"/>
        <w:tabs>
          <w:tab w:leader="none" w:pos="8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The Company determines the dividend yield based on management’s expectations of future dividends. The Company has historically used an expected dividend yield of zero for options granted.</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If any of the assumptions used in the Black-Scholes pricing model or Monte Carlo simulation model changes significantly, the fair value for future awards may differ materially compared with the awards granted previously. The awards granted pursuant to the 2012 Plan are subject to a time-based vesting requirement and certain award grants may also include market based or performance based vesting conditions. While each PRSU corresponds to one target share of the Company’s stock, the number of shares that may eventually vest will be between 0% and 150% of a recipient’s target shares, depending on both the recipient’s continued service with the Company and the extent to which performance goals will have been achieved. Stock option awards granted under the 2012 Plan vest over three or four years while the majority of the restricted stock units granted under the 2012 Plan vest over three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4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offers a 401(k) defined contribution plan and provides for discretionary employer matching contributions. All matching contributions are recognized as an expense in the Statement of Operations, as incurred. The Company recorded employer matching contributions of $3.8 million, $3.7 million and $3.2 million for the years ended December 31, 2020, 2019 and 2018, respectively.</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78" w:name="page79"/>
    <w:bookmarkEnd w:id="7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Company’s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9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for the difference, if any,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a quarterly basis, the Company assesses the realizability of deferred tax assets, based on the available evidence including a history of taxable income, estimates of future taxable income and planning strategies and a valuation allowance is recorded to the extent that it is not more likely than not that the deferred tax assets will be realized.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16"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Except as required under U.S. tax laws, the Company does not provide for U.S. taxes on the undistributed earnings and profits of its foreign subsidiaries. With the enactment of the TCJA, the Company is required to treat the undistributed earnings and profits of its foreign subsidiaries accumulated through a measurement period that should not extend more than one year beyond the date of the enactment of the TCJA as if they were repatriated to the U.S., and pay a current U.S. tax amount as a result of such “deemed” repatriation. The Company has not recorded any provision for potential deferred U.S. income taxes or foreign withholding taxes that otherwise may be payable if it were to repatriate such earnings, since the Company does not intend to repatriate such amounts.</w:t>
      </w:r>
    </w:p>
    <w:p>
      <w:pPr>
        <w:spacing w:after="0" w:line="7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January 2018, the FASB released guidance on the accounting for tax on the global intangible low-taxed income (“GILTI”) provisions of the TCJA. The GILTI provisions impose a tax on foreign income in excess of a deemed return on tangible assets of foreign corporations. In the first quarter of 2018, the Company elected to treat any potential GILTI inclusions as a period cost. The Company continues to assess the impacts of the TCJA on future fiscal years and is monitoring the Internal Revenue Service guidance intended to interpret the provisions of the TCJA.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Non-income Taxes</w:t>
      </w:r>
    </w:p>
    <w:p>
      <w:pPr>
        <w:spacing w:after="0" w:line="14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non-income taxes, including value added taxes, sales taxes and royalty withholding taxes. Where appropriate, the Company has made accruals for these taxes, which are reflected in the Company’s consolidated financial statements. These accruals are subject to statute of limitations requirements and review by governmental authorities.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accounts for treasury stock under the cost method and is included as a component of stockholders’ equity. Treasury stock held by the Company may be reissued in the future. The Company’s policy is to account for reissued shares as a reduction of Treasury stock on a first-in, first-out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Basic net income per share is computed by dividing the net income attributable to common stockholders by the weighted average number of common shares outstanding during the period. Any potential issuance of common shares, including those that are contingent and do not participate in dividends, is excluded from basic weighted average number of common shares outstanding.</w:t>
      </w:r>
    </w:p>
    <w:p>
      <w:pPr>
        <w:spacing w:after="0" w:line="6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Diluted net income per share is computed by dividing the net income attributable to common stockholders by the weighted average common shares outstanding and all potential common shares, if they are dilutive.</w:t>
      </w: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79" w:name="page80"/>
    <w:bookmarkEnd w:id="79"/>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the Company has identified one operating segment, which has also been determined to be the Company’s primary reportable business segment. Prior to the Sale of Webdam on February 26, 2018, the Company had also identified a non-reportable segment which was classified in the Other Category, included the Company’s digital asset management operating segment and failed to meet the quantitative or qualitative thresholds for separate segment reporting. Operating segments are defined as components of an enterprise for which separate financial information is available and is evaluated regularly by the Company’s chief operating decision maker (“CODM”), or decision-making group, in deciding how to allocate resources and in assessing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Company records a liability for contingent consideration at the date of a business combination and reassesses the fair value of the liability each period until it is settled. Upon settlement of these liabilities, the portion of the contingent consideration payment that is attributable to the initial amount recorded as part of the business combination is classified as a cash flow from financing activities and the portion of the settlement that is attributable to subsequent changes in the fair value of the contingent consideration is classified as a cash flow from operating activities in the Consolidated Statement of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generally the respective local currency. Monetary assets and liabilities that are denominated in currencies other than each entity’s functional currency are remeasured into the functional currency at the period-end exchange rates and result in transactional gains and losses. The net impact of foreign currency transactional gains and losses on the Company’s results of operations were gains of $2.4 million and $0.2 million in 2020 and 2019, respectively, and a loss of $2.2 million in 2018. Translation adjustments resulting from converting the foreign subsidiaries financial statements into U.S. dollars using the period-end exchange rates for balance sheet accounts and the period average exchange rate for the Statements of Operations are recorded as a component of accumulated other comprehensive income / (loss) within stockholders’ equity.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 Updates</w:t>
      </w:r>
    </w:p>
    <w:p>
      <w:pPr>
        <w:spacing w:after="0" w:line="14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which as amended, replaces the current incurred loss impairment methodology with a methodology that reflects expected credit losses. The ASU is intended to provide financial statement users with more decision-useful information about the expected credit losses on financial instruments and other commitments to extend credit held by a reporting entity at each reporting date. Adoption of this guidance was required, prospectively, for annual periods beginning after December 15, 2019, with early adoption permitted for annual periods beginning after December 15, 2018. The Company adopted ASU 2016-13, as amended, effective January 1, 2020 using the modified retrospective method and recorded a cumulative-effect adjustment of $0.2 million, net of tax, in retained earnings as of January 1, 2020.</w:t>
      </w:r>
    </w:p>
    <w:p>
      <w:pPr>
        <w:spacing w:after="0" w:line="118"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Measurements</w:t>
      </w:r>
      <w:r>
        <w:rPr>
          <w:rFonts w:ascii="Times New Roman" w:cs="Times New Roman" w:eastAsia="Times New Roman" w:hAnsi="Times New Roman"/>
          <w:sz w:val="18"/>
          <w:szCs w:val="18"/>
          <w:color w:val="auto"/>
        </w:rPr>
        <w:t xml:space="preserve"> (“ASU 2018-13”), which eliminates, adds and modifies certain disclosure requirements for fair value measurements as part of the FASB’s disclosure framework project. Adoption of this guidance was required for fiscal years and interim periods within those fiscal years, beginning after December 15, 2019. The Company adopted ASU 2018-13, effective January 1, 2020. The impact of adoption of this standard on the consolidated financial statements, including accounting policies, processes and systems, was not material.</w:t>
      </w:r>
    </w:p>
    <w:p>
      <w:pPr>
        <w:spacing w:after="0" w:line="11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Is a Service Contract </w:t>
      </w:r>
      <w:r>
        <w:rPr>
          <w:rFonts w:ascii="Times New Roman" w:cs="Times New Roman" w:eastAsia="Times New Roman" w:hAnsi="Times New Roman"/>
          <w:sz w:val="18"/>
          <w:szCs w:val="18"/>
          <w:color w:val="auto"/>
        </w:rPr>
        <w:t>(“ASU 2018-15”), which aligns the requirements for capitalizing implementation costs in a cloud computing arrangement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requirements for capitalizing implementation costs incurred for an internal-use software license. Adoption of this guidance was required for fiscal years beginning after December 15, 2019 and interim periods within those fiscal years and early adoption is permitted. Entities are permitted to choose to adopt the new guidance (1) prospectively for eligible costs incurred on or after the date this guidance is first applied or (2) retrospectively. The Company adopted ASU 2018-15 on a prospective basis, effective January 1, 2020. The adoption of this standard is not expected to have a significant impact on our consolidated financial statements.</w:t>
      </w: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0" w:name="page81"/>
    <w:bookmarkEnd w:id="80"/>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 Updates</w:t>
      </w:r>
    </w:p>
    <w:p>
      <w:pPr>
        <w:spacing w:after="0" w:line="14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Adoption of ASU 2019-12 is not expected to have a material effect on the Company’s consolidated financial statements. The Company is finalizing its evaluation of the impact of this new standard on the consolidated financial statements.</w:t>
      </w:r>
    </w:p>
    <w:p>
      <w:pPr>
        <w:spacing w:after="0" w:line="200" w:lineRule="exact"/>
        <w:rPr>
          <w:sz w:val="20"/>
          <w:szCs w:val="20"/>
          <w:color w:val="auto"/>
        </w:rPr>
      </w:pPr>
    </w:p>
    <w:p>
      <w:pPr>
        <w:spacing w:after="0" w:line="251" w:lineRule="exact"/>
        <w:rPr>
          <w:sz w:val="20"/>
          <w:szCs w:val="20"/>
          <w:color w:val="auto"/>
        </w:rPr>
      </w:pPr>
    </w:p>
    <w:p>
      <w:pPr>
        <w:ind w:right="6260" w:firstLine="8"/>
        <w:spacing w:after="0" w:line="401" w:lineRule="auto"/>
        <w:tabs>
          <w:tab w:leader="none" w:pos="25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Other Long-term Investments Fair Value Measurements</w:t>
      </w: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no assets or liabilities requiring fair value hierarchy disclosures as of December 31, 2020 and 2019, except as noted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Money Market Accounts</w:t>
      </w:r>
    </w:p>
    <w:p>
      <w:pPr>
        <w:spacing w:after="0" w:line="6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Cash equivalents include money market accounts and are classified as a level 1 measurement based on quoted prices in active markets for identical assets that the reporting entity can access at the measurement date. As of December 31, 2020, the Company had a balance of $250.0 million in money market accounts. The Company did not have any money market accounts as of December 31, 2019.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6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carrying amounts of cash, accounts receivable, restricted cash, accounts payable and accrued expenses approximate fair value because of the short-term nature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6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2020 and 2019, the Company’s Long-Term Investments totaled $20.0 million and $15.0 million, respectively, which is reported within other assets on the Consolidated Balance Sheets. The Company uses the measurement alternative for equity investments with no readily determinable fair value and are reported at cost, adjusted for impairments or any observable price changes in ordinary transactions with identical or similar investments.</w:t>
      </w:r>
    </w:p>
    <w:p>
      <w:pPr>
        <w:spacing w:after="0" w:line="9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evaluates the carrying value of its Long-Term Investments for impairment, which includes an assessment of revenue growth, earnings performance, working capital and the general market conditions. As of December 31, 2020,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ZCool Technologies Limited (“ZCool”)</w:t>
      </w:r>
    </w:p>
    <w:p>
      <w:pPr>
        <w:spacing w:after="0" w:line="160"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2018, the Company invested $15.0 million in convertible preferred shares issued by ZCool (the “Preferred Shares”), which is equivalent to a 25% fully diluted equity ownership interest. ZCool’s primary business is the operation of an e-commerce platform in China whereby customers can pay to license content contributed by creative professionals. ZCool and its affiliates have been the exclusive distributor of Shutterstock content in China since 2014.</w:t>
      </w:r>
    </w:p>
    <w:p>
      <w:pPr>
        <w:spacing w:after="0" w:line="72" w:lineRule="exact"/>
        <w:rPr>
          <w:sz w:val="20"/>
          <w:szCs w:val="20"/>
          <w:color w:val="auto"/>
        </w:rPr>
      </w:pPr>
    </w:p>
    <w:p>
      <w:pPr>
        <w:jc w:val="both"/>
        <w:ind w:right="140" w:firstLine="405"/>
        <w:spacing w:after="0" w:line="312" w:lineRule="auto"/>
        <w:rPr>
          <w:sz w:val="20"/>
          <w:szCs w:val="20"/>
          <w:color w:val="auto"/>
        </w:rPr>
      </w:pPr>
      <w:r>
        <w:rPr>
          <w:rFonts w:ascii="Times New Roman" w:cs="Times New Roman" w:eastAsia="Times New Roman" w:hAnsi="Times New Roman"/>
          <w:sz w:val="17"/>
          <w:szCs w:val="17"/>
          <w:color w:val="auto"/>
        </w:rPr>
        <w:t>ZCool is a variable interest entity that is not consolidated because the Company is not the primary beneficiary. The Preferred Shares are not deemed to be in-substance common stock and are accounted for using the measurement alternative for equity investments with no readily determinable fair value.</w:t>
      </w:r>
    </w:p>
    <w:p>
      <w:pPr>
        <w:spacing w:after="0" w:line="200" w:lineRule="exact"/>
        <w:rPr>
          <w:sz w:val="20"/>
          <w:szCs w:val="20"/>
          <w:color w:val="auto"/>
        </w:rPr>
      </w:pPr>
    </w:p>
    <w:p>
      <w:pPr>
        <w:spacing w:after="0" w:line="3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81" w:name="page82"/>
    <w:bookmarkEnd w:id="81"/>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6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 2020, the Company invested $5.0 million in preferred shares of an entity with a creative production and analytics platform. These preferred shares do not have a readily determinable fair value, and give the Company less than a 2% fully diluted ownership interest.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Lending Facility and Note Receivable</w:t>
      </w:r>
    </w:p>
    <w:p>
      <w:pPr>
        <w:spacing w:after="0" w:line="6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2016, as amended in 2017, the Company entered into a multi-part investment with SilverHub Media Limited (“SHM”), an unrelated third-party contributor, which resulted in the Company investing $5.9 million into SHM. During 2018, the Company determined that its investment in SHM experienced an other-than-temporary impairment and therefore, the Company recorded a $5.9 million impairment charge in order to reduce the fair value of the Company’s investment in SHM to zero. This charge was recorded in Other income / (expense), net in the Consolidated Statements of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Webdam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Digital Asset Management Business</w:t>
      </w:r>
    </w:p>
    <w:p>
      <w:pPr>
        <w:spacing w:after="0" w:line="6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February 26, 2018, the Company completed the Sale of Webdam for an aggregate purchase price of $49.1 million. Total cash received, net of $4.6 million transaction costs paid, was $44.3 million, inclusive of $2.5 million received during the year ended December 31, 2019, from the release of escrowed funds. During 2018, the Company recognized a pre-tax gain on sale of approximately $38.6 million, which represents the excess of the net purchase price over the net assets transferred, less transaction costs.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8"/>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165,950</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19,203</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222,758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195,352</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(171,852)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(136,518)</w:t>
            </w:r>
          </w:p>
        </w:tc>
      </w:tr>
      <w:tr>
        <w:trPr>
          <w:trHeight w:val="212"/>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50,906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58,834</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amounted to $35.6 million, $42.9 million and $40.1 million, for the years ended December 31, 2020, 2019 and 2018, respectively. Of these amounts, $31.6 million, $38.1 million and $34.0 million are included in cost of revenue for the years ended December 31, 2020, 2019 and 2018, respectively, and $4.0 million, $4.8 million and $6.1 million are included in general and administrative expense for the years ended December 31, 2020, 2019 and 2018, respectively.</w:t>
      </w:r>
    </w:p>
    <w:p>
      <w:pPr>
        <w:spacing w:after="0" w:line="9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based on the nature of the asset. There was no loss on disposal for the years ended December 31, 2020, 2019 and 2018,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6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capitalized costs related to the development of internal-use software of $25.1 million, $23.6 million and $27.7 million for the years ended December 31, 2020, 2019 and 2018, respectively. Capitalized amounts are included as a component of property and equipment under computer equipment and software. During 2020, 2019 and 2018, the Company invested significantly in its product development and hosting infrastructure to enhance its customer experience and increase the efficiency with which management deploys new products and features.</w:t>
      </w:r>
    </w:p>
    <w:p>
      <w:pPr>
        <w:spacing w:after="0" w:line="72"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$28.9 million, $30.3 million and $24.9 million for the years ended December 31, 2020, 2019 and 2018, respectively. Depreciation expense related to capitalized internal-use software is included in cost of revenue in the Consolidated Statement of Operations.</w:t>
      </w:r>
    </w:p>
    <w:p>
      <w:pPr>
        <w:spacing w:after="0" w:line="200" w:lineRule="exact"/>
        <w:rPr>
          <w:sz w:val="20"/>
          <w:szCs w:val="20"/>
          <w:color w:val="auto"/>
        </w:rPr>
      </w:pPr>
    </w:p>
    <w:p>
      <w:pPr>
        <w:spacing w:after="0" w:line="3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2" w:name="page83"/>
    <w:bookmarkEnd w:id="8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Company had capitalized internal-use software of $38.0 million and $41.8 million, respectively, net of accumulated depreciation, which was included in property and equipment, net.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goodwill balance for the year ended December 31, 2020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1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2019</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88,974</w:t>
            </w:r>
          </w:p>
        </w:tc>
      </w:tr>
      <w:tr>
        <w:trPr>
          <w:trHeight w:val="213"/>
        </w:trPr>
        <w:tc>
          <w:tcPr>
            <w:tcW w:w="9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3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2020, the Company’s goodwill balance was allocated to a single reporting unit. The Company performed its annual goodwill assessment as of October 1, 2020 and concluded that the fair value of its reporting unit was greater than its carrying amount, and therefore, no adjustment to the carrying value of goodwill was necessary. The Company utilized a qualitative assessment of its content business reporting unit to determine whether a quantitative assessment was necessary and determined there were no indicators of potential impairment.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impairments of goodwill in any of the periods presented in the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 of the following as of December 31, 2020 and 2019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8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74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82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140" w:type="dxa"/>
            <w:vAlign w:val="bottom"/>
          </w:tcPr>
          <w:p>
            <w:pPr>
              <w:spacing w:after="0"/>
              <w:rPr>
                <w:sz w:val="11"/>
                <w:szCs w:val="11"/>
                <w:color w:val="auto"/>
              </w:rPr>
            </w:pPr>
          </w:p>
        </w:tc>
        <w:tc>
          <w:tcPr>
            <w:tcW w:w="74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7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18,132</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8,435</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Contributor content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16,884</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9"/>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58,659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52,856</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26,669</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Amortization expense related to the intangible assets was $5.8 million, $7.0 million and $5.5 million for the years ended December 31, 2020, 2019 and 2018, respectively. Of these amounts, $3.4 million, $2.3 million and $1.7 million are included in cost of revenue for the years ended December 31, 2020, 2019 and 2018, respectively, and $2.4 million, $4.7 million and $3.8 million are included in general and administrative expense for the years ended December 31, 2020, 2019 and 2018, respectively.</w:t>
      </w:r>
    </w:p>
    <w:p>
      <w:pPr>
        <w:spacing w:after="0" w:line="112"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for the intangible assets for all periods presented. Estimated amortization expense for the next five years is: $5.7 million in 2021, $5.4 million in 2022, $5.1 million in 2023, $3.6 million in 2024, $2.1 million in 2025 and $3.9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3" w:name="page84"/>
    <w:bookmarkEnd w:id="8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8"/>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20,776</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15,332</w:t>
            </w: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w:t>
            </w:r>
          </w:p>
        </w:tc>
      </w:tr>
      <w:tr>
        <w:trPr>
          <w:trHeight w:val="21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9,099</w:t>
            </w:r>
          </w:p>
        </w:tc>
      </w:tr>
      <w:tr>
        <w:trPr>
          <w:trHeight w:val="237"/>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per share par value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4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11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2020, the Company has not issued and has no plans to issue any shares of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purchase an additional $100 million of its common stock. As of December 31, 2020, the Company has repurchased approximately 2,558,000 shares of its common stock under the share repurchase program at an average per-share cost of approximately $39.09. As of December 31, 2020, there is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$100 million of remaining authorization for purchases under the share repurchase program. During 2020, the Company did not repurchase any shares under the share repurchase program.</w:t>
      </w:r>
    </w:p>
    <w:p>
      <w:pPr>
        <w:spacing w:after="0" w:line="114" w:lineRule="exact"/>
        <w:rPr>
          <w:sz w:val="20"/>
          <w:szCs w:val="20"/>
          <w:color w:val="auto"/>
        </w:rPr>
      </w:pPr>
    </w:p>
    <w:p>
      <w:pPr>
        <w:ind w:right="60" w:firstLine="405"/>
        <w:spacing w:after="0" w:line="281" w:lineRule="auto"/>
        <w:rPr>
          <w:sz w:val="20"/>
          <w:szCs w:val="20"/>
          <w:color w:val="auto"/>
        </w:rPr>
      </w:pPr>
      <w:r>
        <w:rPr>
          <w:rFonts w:ascii="Times New Roman" w:cs="Times New Roman" w:eastAsia="Times New Roman" w:hAnsi="Times New Roman"/>
          <w:sz w:val="17"/>
          <w:szCs w:val="17"/>
          <w:color w:val="auto"/>
        </w:rPr>
        <w:t>The Company expects to fund repurchases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200" w:lineRule="exact"/>
        <w:rPr>
          <w:sz w:val="20"/>
          <w:szCs w:val="20"/>
          <w:color w:val="auto"/>
        </w:rPr>
      </w:pPr>
    </w:p>
    <w:p>
      <w:pPr>
        <w:spacing w:after="0" w:line="3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84" w:name="page85"/>
    <w:bookmarkEnd w:id="84"/>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Offering</w:t>
      </w:r>
    </w:p>
    <w:p>
      <w:pPr>
        <w:spacing w:after="0" w:line="14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August 14, 2020, the Company completed an offering (the “Stock Offering”), whereby 2,580,000 shares of its common stock were sold to the public at a price to the public of $48.50 per share. The Company sold 516,000 shares of common stock in the Stock Offering and the Company’s Founder and Executive Chairman of the Board sold 2,064,000 shares of common stock in the Stock Offering. The Company received net proceeds from the shares it sold, after deducting underwriting discounts and commissions and offering expenses payable by the Company, of approximately $23.2 million. The Company did not receive any proceeds from the shares sold by the Company’s Founder and Executive Chairman of the Board.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On February 11, 2020, the Board of Directors approved the initiation of a quarterly cash dividend. The Company declared and paid cash dividends totaling $0.68 per share of common stock, or $24.4 million, during the year ended December 31, 2020.</w:t>
      </w:r>
    </w:p>
    <w:p>
      <w:pPr>
        <w:spacing w:after="0" w:line="16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January 12, 2021, the Company’s Board of Directors declared a quarterly cash dividend of $0.21 per share of outstanding common stock payable on March 18, 2021 to stockholders of record at the close of business on March 4, 2021. Future declaration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8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On August 1, 2018, the Company’s Board of Directors declared a special cash dividend of $3.00 per share (the “Special Dividend”), which was paid on August 29, 2018 to stockholders of record at the close of business on August 15, 2018. The aggregate payment made in connection with the Special Dividend was $104.9 million.</w:t>
      </w:r>
    </w:p>
    <w:p>
      <w:pPr>
        <w:spacing w:after="0" w:line="17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Special Dividend, and in accordance with the terms of the Company’s Amended and Restated 2012 Omnibus Equity Incentive Plan (the “2012 Plan”), the Company adjusted outstanding equity awards in order to prevent dilution of such awards. Accordingly, the Company prevented dilution from the impact of the Special Dividend by adjusting the number of outstanding unvested RSUs and outstanding stock options, as well as the exercise price of such outstanding stock options, using a conversion ratio of 1.055, which was determined using a ratio of the closing and opening stock price of the Company’s common stock immediately prior to, and on, the ex-dividend date (the “Special Dividend Adjustment”).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distributes its content offerings through two primary channels:</w:t>
      </w:r>
    </w:p>
    <w:p>
      <w:pPr>
        <w:spacing w:after="0" w:line="11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the Company’s customers license content directly through the Company’s self-service web properties. E-commerce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have the flexibility to purchase a subscription-based plan that is paid on a monthly or annual basis or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75" w:lineRule="exact"/>
        <w:rPr>
          <w:sz w:val="20"/>
          <w:szCs w:val="20"/>
          <w:color w:val="auto"/>
        </w:rPr>
      </w:pPr>
    </w:p>
    <w:p>
      <w:pPr>
        <w:ind w:right="7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The Company also has a base of customers with unique content, licensing and workflow needs. These customers benefit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the Company’s content offerings, the Company has historically generated revenue through other channels:</w:t>
      </w:r>
    </w:p>
    <w:p>
      <w:pPr>
        <w:spacing w:after="0" w:line="115" w:lineRule="exact"/>
        <w:rPr>
          <w:sz w:val="20"/>
          <w:szCs w:val="20"/>
          <w:color w:val="auto"/>
        </w:rPr>
      </w:pPr>
    </w:p>
    <w:p>
      <w:pPr>
        <w:ind w:right="1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The Company’s Other sales channel previously included revenue from Webdam’s digital asset management offerings which provided tools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organizations manage, search, distribute and collaborate on creative and other brand-building activities. Effective February 26, 2018, the Company completed the Sale of Webdam. See Note 3 for further information on the Sale of Webdam.</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85" w:name="page86"/>
    <w:bookmarkEnd w:id="8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revenue by distribution channel for the years ended December 31, 2020, 2019 and 2018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23"/>
        </w:trPr>
        <w:tc>
          <w:tcPr>
            <w:tcW w:w="7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5"/>
        </w:trPr>
        <w:tc>
          <w:tcPr>
            <w:tcW w:w="7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365,730</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254,809</w:t>
            </w:r>
          </w:p>
        </w:tc>
      </w:tr>
      <w:tr>
        <w:trPr>
          <w:trHeight w:val="219"/>
        </w:trPr>
        <w:tc>
          <w:tcPr>
            <w:tcW w:w="72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2,711</w:t>
            </w: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666,686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650,523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623,250</w:t>
            </w:r>
          </w:p>
        </w:tc>
      </w:tr>
      <w:tr>
        <w:trPr>
          <w:trHeight w:val="20"/>
        </w:trPr>
        <w:tc>
          <w:tcPr>
            <w:tcW w:w="7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400" w:firstLine="397"/>
        <w:spacing w:after="0" w:line="282" w:lineRule="auto"/>
        <w:tabs>
          <w:tab w:leader="none" w:pos="130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discussed in Note 3, on February 26, 2018, the Company completed the Sale of Webdam. 2018 amounts include revenue earned during the period from January 1, 2018 through February 26, 2018.</w:t>
      </w:r>
    </w:p>
    <w:p>
      <w:pPr>
        <w:spacing w:after="0" w:line="5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December 31, 2020 deferred revenue balance will be earned as content is downloaded or upon the expiration of subscription-based products, and nearly all is expected to be earned within the next twelve months. $136.8 million of total revenue recognized for the year ended December 31, 2020 was reflected in deferred revenue as of January 1, 2020.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Equity-Based Compensation</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share-based payment awards including employee stock options and RSUs granted under the 2012 Plan based on the fair value of each award on the grant date.</w:t>
      </w:r>
    </w:p>
    <w:p>
      <w:pPr>
        <w:spacing w:after="0" w:line="81" w:lineRule="exact"/>
        <w:rPr>
          <w:sz w:val="20"/>
          <w:szCs w:val="20"/>
          <w:color w:val="auto"/>
        </w:rPr>
      </w:pPr>
    </w:p>
    <w:p>
      <w:pPr>
        <w:ind w:right="9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line item included in the Company’s Consolidated Statements of Operations for the years ended December 31, 2020, 2019 and 2018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8"/>
        </w:trPr>
        <w:tc>
          <w:tcPr>
            <w:tcW w:w="7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15,924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15,313</w:t>
            </w: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6" w:name="page87"/>
    <w:bookmarkEnd w:id="8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award type included in the Company’s Consolidated Statements of Operations for the years ended December 31, 2020, 2019 and 2018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r>
      <w:tr>
        <w:trPr>
          <w:trHeight w:val="188"/>
        </w:trPr>
        <w:tc>
          <w:tcPr>
            <w:tcW w:w="7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6,009</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17,860</w:t>
            </w:r>
          </w:p>
        </w:tc>
      </w:tr>
      <w:tr>
        <w:trPr>
          <w:trHeight w:val="237"/>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23,869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Omnibus Equity Incentive Plan</w:t>
      </w:r>
    </w:p>
    <w:p>
      <w:pPr>
        <w:spacing w:after="0" w:line="14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was initially 6,750,000 shares of common stock. The number of shares available for issuance under the 2012 Plan will be increased annually commencing January 1, 2013 by an amount equal to the lesser of 1,500,000 shares of common stock, 3% of the outstanding shares of common stock as of the last day of the immediately preceding fiscal year, or such other amount as determined by the Company’s Board of Directors. Any awards issued under the 2012 Plan that are forfeited by the participant will become available for future grant under the 2012 Plan. The number of shares of common stock available under the 2012 Plan was automatically increased by approximately 1,065,000 and 1,052,000 shares on January 1, 2020 and 2019, respectively, pursuant to the automatic increase provisions of the 2012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stock option awards and weighted average exercise price per option: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6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9"/>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2019</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w:t>
            </w: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Options 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Options 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w:t>
            </w:r>
          </w:p>
        </w:tc>
      </w:tr>
      <w:tr>
        <w:trPr>
          <w:trHeight w:val="21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Options canceled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43.70</w:t>
            </w: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977,033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55"/>
        </w:trPr>
        <w:tc>
          <w:tcPr>
            <w:tcW w:w="78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December 31, 2020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r>
    </w:tbl>
    <w:p>
      <w:pPr>
        <w:spacing w:after="0" w:line="200" w:lineRule="exact"/>
        <w:rPr>
          <w:sz w:val="20"/>
          <w:szCs w:val="20"/>
          <w:color w:val="auto"/>
        </w:rPr>
      </w:pPr>
    </w:p>
    <w:p>
      <w:pPr>
        <w:spacing w:after="0" w:line="3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Intrinsic value of stock options is calculated as the excess of market price of the Company’s common stock over the strike price of the stock options, multiplied by the number of stock options. The intrinsic value of the Company’s stock options is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195"/>
        </w:trPr>
        <w:tc>
          <w:tcPr>
            <w:tcW w:w="7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exercisable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vested and expected to vest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bl>
    <w:p>
      <w:pPr>
        <w:spacing w:after="0" w:line="11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for the years ended December 31, 2020, 2019 and 2018 was approximately $0.5 million, $1.1 million and $2.0 million, respectively.</w:t>
      </w:r>
    </w:p>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7" w:name="page88"/>
    <w:bookmarkEnd w:id="8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weighted average assumptions were used in the fair value calculation for the years ended December 31, 2020, 2019 and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7"/>
        </w:trPr>
        <w:tc>
          <w:tcPr>
            <w:tcW w:w="7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47.8 %</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2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Data: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fair value per share granted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18.05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23.64</w:t>
            </w:r>
          </w:p>
        </w:tc>
      </w:tr>
    </w:tbl>
    <w:p>
      <w:pPr>
        <w:spacing w:after="0" w:line="200" w:lineRule="exact"/>
        <w:rPr>
          <w:sz w:val="20"/>
          <w:szCs w:val="20"/>
          <w:color w:val="auto"/>
        </w:rPr>
      </w:pPr>
    </w:p>
    <w:p>
      <w:pPr>
        <w:spacing w:after="0" w:line="31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On April 24, 2014, the Company granted 500,000 stock options with a market-based condition to its Founder and Executive Chairman. The stock options have an exercise price of $80.94 per share and will not vest or become exercisable unless (i) the Founder and Executive Chairman remains continuously employed by the Company until the fifth anniversary of the date of grant and (ii) the average 90-day closing price of the Company’s common stock equals or exceeds $161.88 per share for any 90 consecutive calendar days during the period commencing on the fifth anniversary of the date of grant and ending on the tenth anniversary of the date of grant, inclusive provided that the Founder and Executive Chairman remains continuously employed by the Company until the date of satisfaction of such condition. The derived requisite service period was determined to be six years based on a valuation technique. The total fair value of the grant is $21.6 million and is being recognized over the derived requisite service period. In the event that the market condition remains unsatisfied upon completion of the requisite service period, no charge will be reversed. In conjunction with the Special Dividend Adjustment, the Company adjusted the number of stock options to approximately 527,000 from 500,000 and the exercise price of each option to $76.73, from $80.94 pursuant to the anti-dilution provisions of the 2012 Plan. The market-based conditions required for vesting remain unchanged.</w:t>
      </w:r>
    </w:p>
    <w:p>
      <w:pPr>
        <w:spacing w:after="0" w:line="12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the total unrecognized compensation charge related to 2012 Plan non-vested options is approximately $1.6 million, which is expected to be recognized through fiscal year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Awards (including PRSUs)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RSUs activity for the year ended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2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89"/>
        </w:trPr>
        <w:tc>
          <w:tcPr>
            <w:tcW w:w="85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at December 31, 2019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r>
      <w:tr>
        <w:trPr>
          <w:trHeight w:val="213"/>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 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w:t>
            </w:r>
          </w:p>
        </w:tc>
      </w:tr>
      <w:tr>
        <w:trPr>
          <w:trHeight w:val="21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Units 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w:t>
            </w:r>
          </w:p>
        </w:tc>
      </w:tr>
      <w:tr>
        <w:trPr>
          <w:trHeight w:val="213"/>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Units canceled or 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(288,838)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40.50</w:t>
            </w:r>
          </w:p>
        </w:tc>
      </w:tr>
      <w:tr>
        <w:trPr>
          <w:trHeight w:val="237"/>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at December 31, 2020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95"/>
        </w:trPr>
        <w:tc>
          <w:tcPr>
            <w:tcW w:w="8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deferred balance at December 31, 2020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1,452,245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r>
    </w:tbl>
    <w:p>
      <w:pPr>
        <w:spacing w:after="0" w:line="200" w:lineRule="exact"/>
        <w:rPr>
          <w:sz w:val="20"/>
          <w:szCs w:val="20"/>
          <w:color w:val="auto"/>
        </w:rPr>
      </w:pPr>
    </w:p>
    <w:p>
      <w:pPr>
        <w:spacing w:after="0" w:line="28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April 24, 2014, the Company granted 100,000 restricted stock units with a market-based condition to its Founder and Executive Chairman. The restricted stock units will vest only if (i) the reporting person remains continuously employed by the Company until the fifth anniversary of the date of grant and (ii) the average 90-day closing price of the Company's common stock equals or exceeds $161.88 for any 90 consecutive calendar days during the period commencing on the fifth anniversary of the date of grant and ending on the tenth anniversary of the date of grant, inclusive; provided that the reporting person remains continuously employed by the Company until the date of satisfaction of such condition. The derived requisite service period was determined to be six years based on a valuation technique. The total fair value of the grant is $5.8 million and is being recognized over the derived requisite service period. In the event that the market condition remains unsatisfied upon completion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88" w:name="page89"/>
    <w:bookmarkEnd w:id="8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of the requisite service period, no charge will be reversed. In conjunction with the Special Dividend Adjustment, the Company adjusted the number of restricted stock units to approximately 105,000 from 100,000, pursuant to the anti-dilution provisions of the 2012 Plan. The market-based conditions required for vesting remain unchanged.</w:t>
      </w:r>
    </w:p>
    <w:p>
      <w:pPr>
        <w:spacing w:after="0" w:line="9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the total unrecognized compensation charge related to the restricted stock units is approximately $30.0 million, which is expected to be recognized through fiscal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Income / (Expense), net</w:t>
      </w:r>
    </w:p>
    <w:p>
      <w:pPr>
        <w:spacing w:after="0" w:line="12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other income / (expense) activity included in the accompanying Consolidated Statements of Operations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 (loss)</w:t>
            </w:r>
          </w:p>
        </w:tc>
        <w:tc>
          <w:tcPr>
            <w:tcW w:w="92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rPr>
              <w:t>(1,807)</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 long-term investment asset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center"/>
              <w:ind w:left="501"/>
              <w:spacing w:after="0"/>
              <w:rPr>
                <w:sz w:val="20"/>
                <w:szCs w:val="20"/>
                <w:color w:val="auto"/>
              </w:rPr>
            </w:pPr>
            <w:r>
              <w:rPr>
                <w:rFonts w:ascii="Times New Roman" w:cs="Times New Roman" w:eastAsia="Times New Roman" w:hAnsi="Times New Roman"/>
                <w:sz w:val="16"/>
                <w:szCs w:val="16"/>
                <w:color w:val="auto"/>
              </w:rPr>
              <w:t>(5,881)</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2,736</w:t>
            </w:r>
          </w:p>
        </w:tc>
      </w:tr>
      <w:tr>
        <w:trPr>
          <w:trHeight w:val="209"/>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92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6"/>
                <w:szCs w:val="16"/>
                <w:color w:val="auto"/>
              </w:rPr>
              <w:t>(4,952)</w:t>
            </w:r>
          </w:p>
        </w:tc>
      </w:tr>
      <w:tr>
        <w:trPr>
          <w:trHeight w:val="21"/>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geographical breakdown of its income / (loss) before income taxes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88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68,596</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(2,483)</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66,113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consolidated provision for income taxes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11,287</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7,670</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provision (benefit):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9" w:name="page90"/>
    <w:bookmarkEnd w:id="89"/>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provision for income taxes differs from statutory income tax rate as follows:</w:t>
      </w:r>
    </w:p>
    <w:p>
      <w:pPr>
        <w:spacing w:after="0" w:line="21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income tax at federal statutory rate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local taxes, net of federal benefit</w:t>
            </w:r>
          </w:p>
        </w:tc>
        <w:tc>
          <w:tcPr>
            <w:tcW w:w="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Foreign-derived intangible income deduction</w:t>
            </w: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tax related to TCJA</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Non-deductible—other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r>
      <w:tr>
        <w:trPr>
          <w:trHeight w:val="232"/>
        </w:trPr>
        <w:tc>
          <w:tcPr>
            <w:tcW w:w="7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 of the Company’s temporary differences that give rise to deferred tax assets and liabilities are presented below (in thousands):</w:t>
      </w:r>
    </w:p>
    <w:p>
      <w:pPr>
        <w:spacing w:after="0" w:line="184"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9,806</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Non-income tax accruals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12,645</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6,508</w:t>
            </w:r>
          </w:p>
        </w:tc>
      </w:tr>
      <w:tr>
        <w:trPr>
          <w:trHeight w:val="212"/>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33,858</w:t>
            </w: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Valuation allowance</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212"/>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deferred tax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32,893</w:t>
            </w:r>
          </w:p>
        </w:tc>
      </w:tr>
    </w:tbl>
    <w:p>
      <w:pPr>
        <w:spacing w:after="0" w:line="1" w:lineRule="exact"/>
        <w:rPr>
          <w:sz w:val="20"/>
          <w:szCs w:val="20"/>
          <w:color w:val="auto"/>
        </w:rPr>
      </w:pPr>
    </w:p>
    <w:p>
      <w:pPr>
        <w:sectPr>
          <w:pgSz w:w="11900" w:h="16838" w:orient="portrait"/>
          <w:cols w:equalWidth="0" w:num="1">
            <w:col w:w="11240"/>
          </w:cols>
          <w:pgMar w:left="320" w:top="270"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Deferred tax liabilities: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Right-of-use 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deferred tax assets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ind w:left="920"/>
        <w:spacing w:after="0"/>
        <w:tabs>
          <w:tab w:leader="none" w:pos="2380" w:val="left"/>
        </w:tabs>
        <w:rPr>
          <w:sz w:val="20"/>
          <w:szCs w:val="20"/>
          <w:color w:val="auto"/>
        </w:rPr>
      </w:pPr>
      <w:r>
        <w:rPr>
          <w:rFonts w:ascii="Times New Roman" w:cs="Times New Roman" w:eastAsia="Times New Roman" w:hAnsi="Times New Roman"/>
          <w:sz w:val="16"/>
          <w:szCs w:val="16"/>
          <w:color w:val="auto"/>
        </w:rPr>
        <w:t>(8,557)</w:t>
      </w:r>
      <w:r>
        <w:rPr>
          <w:sz w:val="20"/>
          <w:szCs w:val="20"/>
          <w:color w:val="auto"/>
        </w:rPr>
        <w:tab/>
      </w:r>
      <w:r>
        <w:rPr>
          <w:rFonts w:ascii="Times New Roman" w:cs="Times New Roman" w:eastAsia="Times New Roman" w:hAnsi="Times New Roman"/>
          <w:sz w:val="16"/>
          <w:szCs w:val="16"/>
          <w:color w:val="auto"/>
        </w:rPr>
        <w:t>(10,125)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-116205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both"/>
        <w:ind w:left="920"/>
        <w:spacing w:after="0"/>
        <w:tabs>
          <w:tab w:leader="none" w:pos="2460" w:val="left"/>
        </w:tabs>
        <w:rPr>
          <w:sz w:val="20"/>
          <w:szCs w:val="20"/>
          <w:color w:val="auto"/>
        </w:rPr>
      </w:pPr>
      <w:r>
        <w:rPr>
          <w:rFonts w:ascii="Times New Roman" w:cs="Times New Roman" w:eastAsia="Times New Roman" w:hAnsi="Times New Roman"/>
          <w:sz w:val="16"/>
          <w:szCs w:val="16"/>
          <w:color w:val="auto"/>
        </w:rPr>
        <w:t>(7,672)</w:t>
      </w:r>
      <w:r>
        <w:rPr>
          <w:sz w:val="20"/>
          <w:szCs w:val="20"/>
          <w:color w:val="auto"/>
        </w:rPr>
        <w:tab/>
      </w:r>
      <w:r>
        <w:rPr>
          <w:rFonts w:ascii="Times New Roman" w:cs="Times New Roman" w:eastAsia="Times New Roman" w:hAnsi="Times New Roman"/>
          <w:sz w:val="16"/>
          <w:szCs w:val="16"/>
          <w:color w:val="auto"/>
        </w:rPr>
        <w:t>(8,381)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20320</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 w:lineRule="exact"/>
        <w:rPr>
          <w:sz w:val="20"/>
          <w:szCs w:val="20"/>
          <w:color w:val="auto"/>
        </w:rPr>
      </w:pPr>
    </w:p>
    <w:p>
      <w:pPr>
        <w:spacing w:after="0"/>
        <w:tabs>
          <w:tab w:leader="none" w:pos="900" w:val="left"/>
          <w:tab w:leader="none" w:pos="1540" w:val="left"/>
          <w:tab w:leader="none" w:pos="24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13,566</w:t>
        <w:tab/>
        <w:t>$</w:t>
      </w:r>
      <w:r>
        <w:rPr>
          <w:sz w:val="20"/>
          <w:szCs w:val="20"/>
          <w:color w:val="auto"/>
        </w:rPr>
        <w:tab/>
      </w:r>
      <w:r>
        <w:rPr>
          <w:rFonts w:ascii="Times New Roman" w:cs="Times New Roman" w:eastAsia="Times New Roman" w:hAnsi="Times New Roman"/>
          <w:sz w:val="16"/>
          <w:szCs w:val="16"/>
          <w:color w:val="auto"/>
        </w:rPr>
        <w:t>14,387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46355</wp:posOffset>
            </wp:positionV>
            <wp:extent cx="19030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540" w:space="720"/>
            <w:col w:w="2980"/>
          </w:cols>
          <w:pgMar w:left="320" w:top="270" w:right="339" w:bottom="1440" w:gutter="0" w:footer="0" w:header="0"/>
          <w:type w:val="continuous"/>
        </w:sectPr>
      </w:pPr>
    </w:p>
    <w:p>
      <w:pPr>
        <w:spacing w:after="0" w:line="368" w:lineRule="exact"/>
        <w:rPr>
          <w:sz w:val="20"/>
          <w:szCs w:val="20"/>
          <w:color w:val="auto"/>
        </w:rPr>
      </w:pPr>
    </w:p>
    <w:p>
      <w:pPr>
        <w:jc w:val="both"/>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non-cash equity-based compensation for the Company includes a deferred tax asset of $6.2 million associated with the performance-based grant of stock options and restricted stock units to the Company’s Founder and Executive Chairman. In addition, the $1.9 million valuation allowance relates to certain foreign net operating loss carryforwards, where the Company has determined that there is sufficient uncertainty regarding the future realization of these net operating losses.</w:t>
      </w:r>
    </w:p>
    <w:p>
      <w:pPr>
        <w:spacing w:after="0" w:line="200" w:lineRule="exact"/>
        <w:rPr>
          <w:sz w:val="20"/>
          <w:szCs w:val="20"/>
          <w:color w:val="auto"/>
        </w:rPr>
      </w:pPr>
    </w:p>
    <w:p>
      <w:pPr>
        <w:spacing w:after="0" w:line="3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90" w:name="page91"/>
    <w:bookmarkEnd w:id="90"/>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changes to the Company’s unrecognized tax benefits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8"/>
        </w:trPr>
        <w:tc>
          <w:tcPr>
            <w:tcW w:w="73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of unrecognized tax benefits at January 1</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8,949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additions for tax positions for prior years</w:t>
            </w:r>
          </w:p>
        </w:tc>
        <w:tc>
          <w:tcPr>
            <w:tcW w:w="7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additions for tax positions for current year</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reductions for tax positions of prior years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expirations</w:t>
            </w:r>
          </w:p>
        </w:tc>
        <w:tc>
          <w:tcPr>
            <w:tcW w:w="7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of unrecognized tax benefits at December 31</w:t>
            </w: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9,592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5,846</w:t>
            </w:r>
          </w:p>
        </w:tc>
      </w:tr>
      <w:tr>
        <w:trPr>
          <w:trHeight w:val="21"/>
        </w:trPr>
        <w:tc>
          <w:tcPr>
            <w:tcW w:w="7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as of December 31, 2020, was $8.7 million, which, if recognized, would impact the Company’s effective tax rate in future periods. Unrecognized tax benefits is included within prepaid expenses and other current assets and other non-current liabilities on the Consolidated Balance Sheets.</w:t>
      </w:r>
    </w:p>
    <w:p>
      <w:pPr>
        <w:spacing w:after="0" w:line="108"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as a component of income tax expense in the Consolidated Statements of Operations. Interest and penalties included in the Company’s provision for income taxes were not material in all the periods presented.</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and various foreign jurisdictions. The Company is currently under examination by the U.S. Internal Revenue Service for tax year 2017 and 2018, Wisconsin for years 2015 - 2018 and New York State for years 2016 - 2018. The Company is no longer subject to U.S. federal tax examinations for years before 2016, or state and local tax examinations by tax authorities for years before 2015. The Company has determined that it is reasonably possible that there will be a reversal of unrecognized tax benefits by as much as $1.6 million in the next fiscal year due to the expected resolution of prior year tax matters.</w:t>
      </w:r>
    </w:p>
    <w:p>
      <w:pPr>
        <w:spacing w:after="0" w:line="10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has $16.5 million in tax net operating loss carryforwards in foreign tax jurisdictions which are available to reduce future income taxes and the majority of this amount relates to jurisdictions with an indefinite carryforward period.</w:t>
      </w:r>
    </w:p>
    <w:p>
      <w:pPr>
        <w:spacing w:after="0" w:line="94"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2020, the Company had approximately $12.1 million of undistributed earnings attributable to its foreign subsidiaries. It is the Company’s practice and intention to indefinitely reinvest the earnings of its foreign subsidiaries in those operations. The Company has not provided deferred U.S. income taxes or foreign withholding taxes on temporary differences resulting from the earnings indefinitely reinvested outside the United States. An estimate of the associated unrecognized deferred tax liability related to these undistributed earnings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91" w:name="page92"/>
    <w:bookmarkEnd w:id="91"/>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4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common shares outstanding for the period, excluding unvested RSUs and stock options. Diluted net income per share is based upon the weighted average common shares outstanding for the period plus dilutive potential common shares, including unvested RSUs and stock options using the treasury stock method.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fiscal years 2020, 2019 and 2018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4"/>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34,935</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 and employee stock purchase plan shares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35,420</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Potentially dilutive shares included in the calculation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and Geographic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Financial Information</w:t>
      </w:r>
    </w:p>
    <w:p>
      <w:pPr>
        <w:spacing w:after="0" w:line="162" w:lineRule="exact"/>
        <w:rPr>
          <w:sz w:val="20"/>
          <w:szCs w:val="20"/>
          <w:color w:val="auto"/>
        </w:rPr>
      </w:pPr>
    </w:p>
    <w:p>
      <w:pPr>
        <w:jc w:val="both"/>
        <w:ind w:right="30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2020, 2019 and 2018, the Company identified one operating and reportable segment for purposes of allocating resources and evaluating financial performance. Prior to the Sale of Webdam on February 26, 2018, the Company also identified a non-reportable segment which was classified in the Other Category, included the Company’s digital asset management operating segment and failed to meet the quantitative or qualitative thresholds for separate segment reporting.</w:t>
      </w:r>
    </w:p>
    <w:p>
      <w:pPr>
        <w:spacing w:after="0" w:line="9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2018, which includes the period from January 1 through February 26, 2018, prior to the Sale of Webdam, Revenue, Operating Expenses and Income from Operations related to the Company’s reportable content segment were $620.5 million, $491.0 million and $129.6 million, respectively. Revenue, Operating Expense and Loss from Operations related to Other and Corporate category were $2.7 million, $99.8 million and $97.1 million, respectively. Other and corporate operating expenses include unallocated corporate expenses of $97.8 million for the year ended December 31, 2018 and primarily relate to shared operational support functions and general and administrative functions of human resources, legal, finance and information technology.</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Asset information on a segment basis is not disclosed as this information is not separately identified or internally reported to the Company’s CODM.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92" w:name="page93"/>
    <w:bookmarkEnd w:id="92"/>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Financial Information</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represents the Company’s geographic revenue based on customer location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6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228,185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230,890</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217,397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207,634</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209,422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204,941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184,726</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666,686</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650,523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623,250</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approximately 33% of total revenue for the year ended December 31, 2020, and 32% of total revenue for the years ended December 31, 2019 and 2018. Included in Europe is the United Kingdom which accounts for approximately 8% of total revenue for the year ended December 31, 2020. No other country accounts for more than 10% of the Company’s revenue in any period presented.</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96"/>
        </w:trPr>
        <w:tc>
          <w:tcPr>
            <w:tcW w:w="84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43,451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51,954</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80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6,541</w:t>
            </w: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2"/>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8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5"/>
              </w:rPr>
              <w:t>50,906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58,834</w:t>
            </w:r>
          </w:p>
        </w:tc>
      </w:tr>
      <w:tr>
        <w:trPr>
          <w:trHeight w:val="20"/>
        </w:trPr>
        <w:tc>
          <w:tcPr>
            <w:tcW w:w="8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40" w:firstLine="405"/>
        <w:spacing w:after="0" w:line="282"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75% and 79% of total long-lived tangible assets as of December 31, 2020 and 2019,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Leasing</w:t>
      </w:r>
    </w:p>
    <w:p>
      <w:pPr>
        <w:spacing w:after="0" w:line="121"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Company’s leases relate primarily to office facilities that expire on various dates from 2019 through 2029, some of which include one or more options to renew. All of the Company’s leases are classified as operating leases. Operating lease costs, including insignificant costs related to short-term leases, were $10.5 million, $11.1 million and $9.2 million for the years ended December 31, 2020, 2019 and 2018, respectively.</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made cash payments for operating leases of $10.0 million for the year ended December 31, 2020, which were included in cash flows from operating activities within the Consolidated Statements of Cash Flows. In addition, for the year ended December 31, 2020, the Company also recorded right-of-use assets of $0.2 million obtained in exchange for lease obligations. The Company’s operating leases have a weighted average remaining lease term of 7.5 years and a weighted average discount rate of 6.2%.</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Balance sheet information for the Company’s leases as of December 31, 2020,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9"/>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39,552</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45,453</w:t>
            </w:r>
          </w:p>
        </w:tc>
      </w:tr>
      <w:tr>
        <w:trPr>
          <w:trHeight w:val="46"/>
        </w:trPr>
        <w:tc>
          <w:tcPr>
            <w:tcW w:w="85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9"/>
        </w:trPr>
        <w:tc>
          <w:tcPr>
            <w:tcW w:w="850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300" w:type="dxa"/>
            <w:vAlign w:val="bottom"/>
            <w:tcBorders>
              <w:top w:val="single" w:sz="8" w:color="CCEEFF"/>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9,097</w:t>
            </w:r>
          </w:p>
        </w:tc>
        <w:tc>
          <w:tcPr>
            <w:tcW w:w="1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9,573</w:t>
            </w:r>
          </w:p>
        </w:tc>
      </w:tr>
      <w:tr>
        <w:trPr>
          <w:trHeight w:val="18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47,313</w:t>
            </w:r>
          </w:p>
        </w:tc>
      </w:tr>
      <w:tr>
        <w:trPr>
          <w:trHeight w:val="183"/>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50,717</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56,886</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3" w:name="page94"/>
    <w:bookmarkEnd w:id="93"/>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Future undiscounted lease payments for the Company’s operating lease liabilities and a reconciliation of these payments to its lease liabilities at December 31, 2020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future undiscounted lease payments to lease liabilities</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Lease Commitments</w:t>
            </w:r>
          </w:p>
        </w:tc>
      </w:tr>
      <w:tr>
        <w:trPr>
          <w:trHeight w:val="174"/>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89"/>
        </w:trPr>
        <w:tc>
          <w:tcPr>
            <w:tcW w:w="9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9,334</w:t>
            </w:r>
          </w:p>
        </w:tc>
      </w:tr>
      <w:tr>
        <w:trPr>
          <w:trHeight w:val="18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8,131</w:t>
            </w:r>
          </w:p>
        </w:tc>
      </w:tr>
      <w:tr>
        <w:trPr>
          <w:trHeight w:val="189"/>
        </w:trPr>
        <w:tc>
          <w:tcPr>
            <w:tcW w:w="9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6,594</w:t>
            </w:r>
          </w:p>
        </w:tc>
      </w:tr>
      <w:tr>
        <w:trPr>
          <w:trHeight w:val="18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6,879</w:t>
            </w:r>
          </w:p>
        </w:tc>
      </w:tr>
      <w:tr>
        <w:trPr>
          <w:trHeight w:val="189"/>
        </w:trPr>
        <w:tc>
          <w:tcPr>
            <w:tcW w:w="9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7,728</w:t>
            </w:r>
          </w:p>
        </w:tc>
      </w:tr>
      <w:tr>
        <w:trPr>
          <w:trHeight w:val="18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Thereafter</w:t>
            </w: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25,651</w:t>
            </w:r>
          </w:p>
        </w:tc>
      </w:tr>
      <w:tr>
        <w:trPr>
          <w:trHeight w:val="182"/>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undiscounted lease payments</w:t>
            </w: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64,317</w:t>
            </w:r>
          </w:p>
        </w:tc>
      </w:tr>
      <w:tr>
        <w:trPr>
          <w:trHeight w:val="18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1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(13,600)</w:t>
            </w:r>
          </w:p>
        </w:tc>
      </w:tr>
      <w:tr>
        <w:trPr>
          <w:trHeight w:val="183"/>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50,717</w:t>
            </w:r>
          </w:p>
        </w:tc>
      </w:tr>
      <w:tr>
        <w:trPr>
          <w:trHeight w:val="21"/>
        </w:trPr>
        <w:tc>
          <w:tcPr>
            <w:tcW w:w="9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Company’s most significant lease is for its headquarters in New York City, which was entered into in March 2013 and was amended in January 2016 (“ESB Lease”). As amended, the ESB Lease will expire in 2029, and the undiscounted remaining future minimum lease payments are approximately $56.3 million. The Company is also party to a letter of credit as a security deposit for this leased facility, which was reduced from $2.6 million to $1.7 million in February 2020. As of March 31, 2020, the Company is no longer required to provide cash collateral for its letter of credit, and, accordingly, these funds are no longer restricted.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Non-Lease Obligations</w:t>
      </w:r>
    </w:p>
    <w:p>
      <w:pPr>
        <w:spacing w:after="0" w:line="12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Company’s other unconditional cash obligations, consisting primarily of unconditional purchase obligations related to contracts for cloud-based services, infrastructure and other business services as well as minimum royalty guarantees in connection with certain content licenses,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Other Obligations</w:t>
            </w:r>
          </w:p>
        </w:tc>
      </w:tr>
      <w:tr>
        <w:trPr>
          <w:trHeight w:val="21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26,524</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7,988</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non-lease unconditional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94" w:name="page95"/>
    <w:bookmarkEnd w:id="94"/>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48" w:lineRule="exact"/>
        <w:rPr>
          <w:sz w:val="20"/>
          <w:szCs w:val="20"/>
          <w:color w:val="auto"/>
        </w:rPr>
      </w:pPr>
    </w:p>
    <w:p>
      <w:pPr>
        <w:ind w:right="20" w:firstLine="405"/>
        <w:spacing w:after="0" w:line="269" w:lineRule="auto"/>
        <w:rPr>
          <w:sz w:val="20"/>
          <w:szCs w:val="20"/>
          <w:color w:val="auto"/>
        </w:rPr>
      </w:pPr>
      <w:r>
        <w:rPr>
          <w:rFonts w:ascii="Times New Roman" w:cs="Times New Roman" w:eastAsia="Times New Roman" w:hAnsi="Times New Roman"/>
          <w:sz w:val="17"/>
          <w:szCs w:val="17"/>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Indemnifications</w:t>
      </w:r>
    </w:p>
    <w:p>
      <w:pPr>
        <w:spacing w:after="0" w:line="16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As of December 31, 2020, the Company has recorded no liabilities related to indemnification for loss contingencies. Additionally, the Company believes that it has the appropriate insurance coverage in place to adequately cover such indemnification obligations, if necessary.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95" w:name="page96"/>
    <w:bookmarkEnd w:id="95"/>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Unaudited Quarterly Financial Data</w:t>
      </w:r>
    </w:p>
    <w:p>
      <w:pPr>
        <w:spacing w:after="0" w:line="148" w:lineRule="exact"/>
        <w:rPr>
          <w:sz w:val="20"/>
          <w:szCs w:val="20"/>
          <w:color w:val="auto"/>
        </w:rPr>
      </w:pPr>
    </w:p>
    <w:p>
      <w:pPr>
        <w:jc w:val="both"/>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Company’s financial information for the eight most recent quarters ended December 31, 2020.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w:t>
      </w:r>
    </w:p>
    <w:p>
      <w:pPr>
        <w:spacing w:after="0" w:line="14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 31, 2020</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 30, 2020</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Jun 30, 2020</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Mar 31, 2020</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 31, 2019</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Sep 30, 2019</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Jun 30, 2019</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Mar 31, 2019</w:t>
            </w:r>
          </w:p>
        </w:tc>
      </w:tr>
      <w:tr>
        <w:trPr>
          <w:trHeight w:val="180"/>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180,944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165,227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159,230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161,285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166,371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159,079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161,741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163,332</w:t>
            </w:r>
          </w:p>
        </w:tc>
      </w:tr>
      <w:tr>
        <w:trPr>
          <w:trHeight w:val="183"/>
        </w:trPr>
        <w:tc>
          <w:tcPr>
            <w:tcW w:w="2920" w:type="dxa"/>
            <w:vAlign w:val="bottom"/>
          </w:tcPr>
          <w:p>
            <w:pPr>
              <w:ind w:left="140"/>
              <w:spacing w:after="0" w:line="182" w:lineRule="exact"/>
              <w:rPr>
                <w:sz w:val="20"/>
                <w:szCs w:val="20"/>
                <w:color w:val="auto"/>
              </w:rPr>
            </w:pPr>
            <w:r>
              <w:rPr>
                <w:rFonts w:ascii="Times New Roman" w:cs="Times New Roman" w:eastAsia="Times New Roman" w:hAnsi="Times New Roman"/>
                <w:sz w:val="14"/>
                <w:szCs w:val="14"/>
                <w:color w:val="auto"/>
              </w:rPr>
              <w:t>Operating expenses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68,526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69,218</w:t>
            </w:r>
          </w:p>
        </w:tc>
      </w:tr>
      <w:tr>
        <w:trPr>
          <w:trHeight w:val="189"/>
        </w:trPr>
        <w:tc>
          <w:tcPr>
            <w:tcW w:w="2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&amp; marketing</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44,488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44,446</w:t>
            </w:r>
          </w:p>
        </w:tc>
      </w:tr>
      <w:tr>
        <w:trPr>
          <w:trHeight w:val="18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Product development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13,594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14,986</w:t>
            </w:r>
          </w:p>
        </w:tc>
      </w:tr>
      <w:tr>
        <w:trPr>
          <w:trHeight w:val="189"/>
        </w:trPr>
        <w:tc>
          <w:tcPr>
            <w:tcW w:w="2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32,807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30,652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26,486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32,063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26,583</w:t>
            </w:r>
          </w:p>
        </w:tc>
      </w:tr>
      <w:tr>
        <w:trPr>
          <w:trHeight w:val="18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153,351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135,880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136,685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155,504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160,568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155,896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158,671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155,233</w:t>
            </w:r>
          </w:p>
        </w:tc>
      </w:tr>
      <w:tr>
        <w:trPr>
          <w:trHeight w:val="18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8,099</w:t>
            </w:r>
          </w:p>
        </w:tc>
      </w:tr>
      <w:tr>
        <w:trPr>
          <w:trHeight w:val="189"/>
        </w:trPr>
        <w:tc>
          <w:tcPr>
            <w:tcW w:w="29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4"/>
                <w:szCs w:val="14"/>
                <w:color w:val="auto"/>
              </w:rPr>
              <w:t>Other income / (expense), net</w:t>
            </w:r>
            <w:r>
              <w:rPr>
                <w:rFonts w:ascii="Times New Roman" w:cs="Times New Roman" w:eastAsia="Times New Roman" w:hAnsi="Times New Roman"/>
                <w:sz w:val="18"/>
                <w:szCs w:val="18"/>
                <w:color w:val="auto"/>
                <w:vertAlign w:val="superscript"/>
              </w:rPr>
              <w:t>(2)</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896</w:t>
            </w:r>
          </w:p>
        </w:tc>
      </w:tr>
      <w:tr>
        <w:trPr>
          <w:trHeight w:val="18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8,995</w:t>
            </w:r>
          </w:p>
        </w:tc>
      </w:tr>
      <w:tr>
        <w:trPr>
          <w:trHeight w:val="18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 (Benefit) for income tax</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1,473</w:t>
            </w:r>
          </w:p>
        </w:tc>
      </w:tr>
      <w:tr>
        <w:trPr>
          <w:trHeight w:val="18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25,879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22,582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3,299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7,522</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9"/>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0.21</w:t>
            </w:r>
          </w:p>
        </w:tc>
      </w:tr>
      <w:tr>
        <w:trPr>
          <w:trHeight w:val="18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0.21</w:t>
            </w:r>
          </w:p>
        </w:tc>
      </w:tr>
      <w:tr>
        <w:trPr>
          <w:trHeight w:val="18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35,232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35,114</w:t>
            </w:r>
          </w:p>
        </w:tc>
      </w:tr>
      <w:tr>
        <w:trPr>
          <w:trHeight w:val="188"/>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35,504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35,491</w:t>
            </w: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w:t>
      </w:r>
    </w:p>
    <w:p>
      <w:pPr>
        <w:spacing w:after="0" w:line="113" w:lineRule="exact"/>
        <w:rPr>
          <w:sz w:val="20"/>
          <w:szCs w:val="20"/>
          <w:color w:val="auto"/>
        </w:rPr>
      </w:pPr>
    </w:p>
    <w:p>
      <w:pPr>
        <w:ind w:left="1300" w:hanging="563"/>
        <w:spacing w:after="0"/>
        <w:tabs>
          <w:tab w:leader="none" w:pos="13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equity-based compensation of $28,309 and $22,815 for the years ended December 31, 2020 and 2019, respectively.</w:t>
      </w:r>
    </w:p>
    <w:p>
      <w:pPr>
        <w:spacing w:after="0" w:line="109" w:lineRule="exact"/>
        <w:rPr>
          <w:rFonts w:ascii="Times New Roman" w:cs="Times New Roman" w:eastAsia="Times New Roman" w:hAnsi="Times New Roman"/>
          <w:sz w:val="14"/>
          <w:szCs w:val="14"/>
          <w:color w:val="auto"/>
        </w:rPr>
      </w:pPr>
    </w:p>
    <w:p>
      <w:pPr>
        <w:ind w:left="340" w:right="280" w:firstLine="397"/>
        <w:spacing w:after="0" w:line="282" w:lineRule="auto"/>
        <w:tabs>
          <w:tab w:leader="none" w:pos="1304"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transaction gains and losses primarily related to cash balances of subsidiaries denominated in a currency other than the subsidiaries’ functional currencies; and interest income and expense, which is not material in any period presented.</w:t>
      </w:r>
    </w:p>
    <w:p>
      <w:pPr>
        <w:spacing w:after="0" w:line="200" w:lineRule="exact"/>
        <w:rPr>
          <w:rFonts w:ascii="Times New Roman" w:cs="Times New Roman" w:eastAsia="Times New Roman" w:hAnsi="Times New Roman"/>
          <w:sz w:val="14"/>
          <w:szCs w:val="14"/>
          <w:color w:val="auto"/>
        </w:rPr>
      </w:pPr>
    </w:p>
    <w:p>
      <w:pPr>
        <w:spacing w:after="0" w:line="20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February 1, 2021, the Company completed its acquisition of all of the outstanding shares of TurboSquid, Inc. (“TurboSquid”), a company that offers a marketplace for 3D models, for approximately $75 million, subject to customary working capital and other adjustments, paid from existing cash on hand. The purchase accounting is not complete due to the timing of the availability of information. The Company is currently evaluating the fair values of the consideration transferred, assets acquired and liabilities assumed and expects to complete its initial purchase price allocation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96" w:name="page97"/>
    <w:bookmarkEnd w:id="96"/>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18"/>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gridSpan w:val="2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9"/>
        </w:trPr>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60" w:type="dxa"/>
            <w:vAlign w:val="bottom"/>
            <w:gridSpan w:val="34"/>
          </w:tcPr>
          <w:p>
            <w:pPr>
              <w:spacing w:after="0" w:line="142"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Agreement and Plan of Merger, dated as of October 5, 2012, between the Registrant and</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20" w:type="dxa"/>
            <w:vAlign w:val="bottom"/>
            <w:tcBorders>
              <w:top w:val="single" w:sz="8" w:color="0000FF"/>
            </w:tcBorders>
            <w:gridSpan w:val="19"/>
          </w:tcPr>
          <w:p>
            <w:pPr>
              <w:spacing w:after="0" w:line="115"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Shutterstock Images LLC.</w:t>
              </w:r>
            </w:hyperlink>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Agreement and Plan of Merger, dated as of October 5, 2012, among the Registrant, Shutterstock</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0" w:type="dxa"/>
            <w:vAlign w:val="bottom"/>
            <w:tcBorders>
              <w:top w:val="single" w:sz="8" w:color="0000FF"/>
            </w:tcBorders>
            <w:gridSpan w:val="31"/>
          </w:tcPr>
          <w:p>
            <w:pPr>
              <w:spacing w:after="0" w:line="115"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Investors II, Inc., Insight Venture Partners (Cayman) V, L.P., Shutterstock Investors III, Inc. and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14"/>
          </w:tcPr>
          <w:p>
            <w:pPr>
              <w:spacing w:after="0" w:line="115"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Insight Venture Partners V Coinvestment Fund, L.P.</w:t>
              </w:r>
            </w:hyperlink>
          </w:p>
        </w:tc>
        <w:tc>
          <w:tcPr>
            <w:tcW w:w="25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u w:val="single" w:color="auto"/>
                  <w:color w:val="0000FF"/>
                </w:rPr>
                <w:t>Amended and Restated Certificate of Incorporation of the Registrant, as currently in effect</w:t>
              </w:r>
              <w:r>
                <w:rPr>
                  <w:rFonts w:ascii="Times New Roman" w:cs="Times New Roman" w:eastAsia="Times New Roman" w:hAnsi="Times New Roman"/>
                  <w:sz w:val="14"/>
                  <w:szCs w:val="14"/>
                  <w:color w:val="0000FF"/>
                </w:rPr>
                <w:t>.</w:t>
              </w:r>
            </w:hyperlink>
          </w:p>
        </w:tc>
        <w:tc>
          <w:tcPr>
            <w:tcW w:w="0" w:type="dxa"/>
            <w:vAlign w:val="bottom"/>
          </w:tcPr>
          <w:p>
            <w:pPr>
              <w:spacing w:after="0"/>
              <w:rPr>
                <w:sz w:val="1"/>
                <w:szCs w:val="1"/>
                <w:color w:val="auto"/>
              </w:rPr>
            </w:pPr>
          </w:p>
        </w:tc>
      </w:tr>
      <w:tr>
        <w:trPr>
          <w:trHeight w:val="18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60" w:type="dxa"/>
            <w:vAlign w:val="bottom"/>
            <w:gridSpan w:val="34"/>
          </w:tcPr>
          <w:p>
            <w:pPr>
              <w:spacing w:after="0"/>
              <w:rPr>
                <w:rFonts w:ascii="Times New Roman" w:cs="Times New Roman" w:eastAsia="Times New Roman" w:hAnsi="Times New Roman"/>
                <w:sz w:val="14"/>
                <w:szCs w:val="14"/>
                <w:u w:val="single" w:color="auto"/>
                <w:color w:val="0000FF"/>
              </w:rPr>
            </w:pPr>
            <w:hyperlink r:id="rId113">
              <w:r>
                <w:rPr>
                  <w:rFonts w:ascii="Times New Roman" w:cs="Times New Roman" w:eastAsia="Times New Roman" w:hAnsi="Times New Roman"/>
                  <w:sz w:val="14"/>
                  <w:szCs w:val="14"/>
                  <w:u w:val="single" w:color="auto"/>
                  <w:color w:val="0000FF"/>
                </w:rPr>
                <w:t>Amended and Restated Bylaws of the Registrant, as currently in effect.</w:t>
              </w:r>
            </w:hyperlink>
          </w:p>
        </w:tc>
        <w:tc>
          <w:tcPr>
            <w:tcW w:w="0" w:type="dxa"/>
            <w:vAlign w:val="bottom"/>
          </w:tcPr>
          <w:p>
            <w:pPr>
              <w:spacing w:after="0"/>
              <w:rPr>
                <w:sz w:val="1"/>
                <w:szCs w:val="1"/>
                <w:color w:val="auto"/>
              </w:rPr>
            </w:pPr>
          </w:p>
        </w:tc>
      </w:tr>
      <w:tr>
        <w:trPr>
          <w:trHeight w:val="18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60" w:type="dxa"/>
            <w:vAlign w:val="bottom"/>
            <w:gridSpan w:val="34"/>
          </w:tcPr>
          <w:p>
            <w:pPr>
              <w:spacing w:after="0"/>
              <w:rPr>
                <w:rFonts w:ascii="Times New Roman" w:cs="Times New Roman" w:eastAsia="Times New Roman" w:hAnsi="Times New Roman"/>
                <w:sz w:val="14"/>
                <w:szCs w:val="14"/>
                <w:u w:val="single" w:color="auto"/>
                <w:color w:val="0000FF"/>
              </w:rPr>
            </w:pPr>
            <w:hyperlink r:id="rId114">
              <w:r>
                <w:rPr>
                  <w:rFonts w:ascii="Times New Roman" w:cs="Times New Roman" w:eastAsia="Times New Roman" w:hAnsi="Times New Roman"/>
                  <w:sz w:val="14"/>
                  <w:szCs w:val="14"/>
                  <w:u w:val="single" w:color="auto"/>
                  <w:color w:val="0000FF"/>
                </w:rPr>
                <w:t>Specimen Stock Certificate of the Registrant</w:t>
              </w:r>
            </w:hyperlink>
          </w:p>
        </w:tc>
        <w:tc>
          <w:tcPr>
            <w:tcW w:w="0" w:type="dxa"/>
            <w:vAlign w:val="bottom"/>
          </w:tcPr>
          <w:p>
            <w:pPr>
              <w:spacing w:after="0"/>
              <w:rPr>
                <w:sz w:val="1"/>
                <w:szCs w:val="1"/>
                <w:color w:val="auto"/>
              </w:rPr>
            </w:pPr>
          </w:p>
        </w:tc>
      </w:tr>
      <w:tr>
        <w:trPr>
          <w:trHeight w:val="18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5660" w:type="dxa"/>
            <w:vAlign w:val="bottom"/>
            <w:gridSpan w:val="34"/>
          </w:tcPr>
          <w:p>
            <w:pPr>
              <w:spacing w:after="0"/>
              <w:rPr>
                <w:rFonts w:ascii="Times New Roman" w:cs="Times New Roman" w:eastAsia="Times New Roman" w:hAnsi="Times New Roman"/>
                <w:sz w:val="14"/>
                <w:szCs w:val="14"/>
                <w:u w:val="single" w:color="auto"/>
                <w:color w:val="0000FF"/>
              </w:rPr>
            </w:pPr>
            <w:hyperlink r:id="rId115">
              <w:r>
                <w:rPr>
                  <w:rFonts w:ascii="Times New Roman" w:cs="Times New Roman" w:eastAsia="Times New Roman" w:hAnsi="Times New Roman"/>
                  <w:sz w:val="14"/>
                  <w:szCs w:val="14"/>
                  <w:u w:val="single" w:color="auto"/>
                  <w:color w:val="0000FF"/>
                </w:rPr>
                <w:t>Description of the Registrant’s Securities</w:t>
              </w:r>
            </w:hyperlink>
          </w:p>
        </w:tc>
        <w:tc>
          <w:tcPr>
            <w:tcW w:w="0" w:type="dxa"/>
            <w:vAlign w:val="bottom"/>
          </w:tcPr>
          <w:p>
            <w:pPr>
              <w:spacing w:after="0"/>
              <w:rPr>
                <w:sz w:val="1"/>
                <w:szCs w:val="1"/>
                <w:color w:val="auto"/>
              </w:rPr>
            </w:pPr>
          </w:p>
        </w:tc>
      </w:tr>
      <w:tr>
        <w:trPr>
          <w:trHeight w:val="158"/>
        </w:trPr>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400" w:type="dxa"/>
            <w:vAlign w:val="bottom"/>
          </w:tcPr>
          <w:p>
            <w:pPr>
              <w:jc w:val="right"/>
              <w:ind w:right="228"/>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60" w:type="dxa"/>
            <w:vAlign w:val="bottom"/>
            <w:gridSpan w:val="34"/>
          </w:tcPr>
          <w:p>
            <w:pPr>
              <w:spacing w:after="0" w:line="159"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Form of Indemnification Agreement between the Registrant and each of its Officers and</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0000FF"/>
              <w:bottom w:val="single" w:sz="8" w:color="0000FF"/>
            </w:tcBorders>
          </w:tcPr>
          <w:p>
            <w:pPr>
              <w:spacing w:after="0" w:line="115"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Directors.</w:t>
              </w:r>
            </w:hyperlink>
          </w:p>
        </w:tc>
        <w:tc>
          <w:tcPr>
            <w:tcW w:w="452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5660" w:type="dxa"/>
            <w:vAlign w:val="bottom"/>
            <w:gridSpan w:val="34"/>
          </w:tcPr>
          <w:p>
            <w:pPr>
              <w:spacing w:after="0"/>
              <w:rPr>
                <w:rFonts w:ascii="Times New Roman" w:cs="Times New Roman" w:eastAsia="Times New Roman" w:hAnsi="Times New Roman"/>
                <w:sz w:val="14"/>
                <w:szCs w:val="14"/>
                <w:u w:val="single" w:color="auto"/>
                <w:color w:val="0000FF"/>
              </w:rPr>
            </w:pPr>
            <w:hyperlink r:id="rId117">
              <w:r>
                <w:rPr>
                  <w:rFonts w:ascii="Times New Roman" w:cs="Times New Roman" w:eastAsia="Times New Roman" w:hAnsi="Times New Roman"/>
                  <w:sz w:val="14"/>
                  <w:szCs w:val="14"/>
                  <w:u w:val="single" w:color="auto"/>
                  <w:color w:val="0000FF"/>
                </w:rPr>
                <w:t>2012 Omnibus Equity Incentive Plan and Form of Award Agreements.</w:t>
              </w:r>
            </w:hyperlink>
          </w:p>
        </w:tc>
        <w:tc>
          <w:tcPr>
            <w:tcW w:w="0" w:type="dxa"/>
            <w:vAlign w:val="bottom"/>
          </w:tcPr>
          <w:p>
            <w:pPr>
              <w:spacing w:after="0"/>
              <w:rPr>
                <w:sz w:val="1"/>
                <w:szCs w:val="1"/>
                <w:color w:val="auto"/>
              </w:rPr>
            </w:pPr>
          </w:p>
        </w:tc>
      </w:tr>
      <w:tr>
        <w:trPr>
          <w:trHeight w:val="18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5660" w:type="dxa"/>
            <w:vAlign w:val="bottom"/>
            <w:gridSpan w:val="34"/>
          </w:tcPr>
          <w:p>
            <w:pPr>
              <w:spacing w:after="0"/>
              <w:rPr>
                <w:rFonts w:ascii="Times New Roman" w:cs="Times New Roman" w:eastAsia="Times New Roman" w:hAnsi="Times New Roman"/>
                <w:sz w:val="14"/>
                <w:szCs w:val="14"/>
                <w:u w:val="single" w:color="auto"/>
                <w:color w:val="0000FF"/>
              </w:rPr>
            </w:pPr>
            <w:hyperlink r:id="rId118">
              <w:r>
                <w:rPr>
                  <w:rFonts w:ascii="Times New Roman" w:cs="Times New Roman" w:eastAsia="Times New Roman" w:hAnsi="Times New Roman"/>
                  <w:sz w:val="14"/>
                  <w:szCs w:val="14"/>
                  <w:u w:val="single" w:color="auto"/>
                  <w:color w:val="0000FF"/>
                </w:rPr>
                <w:t>2012 Employee Stock Purchase Plan and Form of Subscription Agreement.</w:t>
              </w:r>
            </w:hyperlink>
          </w:p>
        </w:tc>
        <w:tc>
          <w:tcPr>
            <w:tcW w:w="0" w:type="dxa"/>
            <w:vAlign w:val="bottom"/>
          </w:tcPr>
          <w:p>
            <w:pPr>
              <w:spacing w:after="0"/>
              <w:rPr>
                <w:sz w:val="1"/>
                <w:szCs w:val="1"/>
                <w:color w:val="auto"/>
              </w:rPr>
            </w:pPr>
          </w:p>
        </w:tc>
      </w:tr>
      <w:tr>
        <w:trPr>
          <w:trHeight w:val="18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u w:val="single" w:color="auto"/>
                  <w:color w:val="0000FF"/>
                </w:rPr>
                <w:t>Shutterstock, Inc. Short-Term Incentive Plan</w:t>
              </w:r>
              <w:r>
                <w:rPr>
                  <w:rFonts w:ascii="Times New Roman" w:cs="Times New Roman" w:eastAsia="Times New Roman" w:hAnsi="Times New Roman"/>
                  <w:sz w:val="14"/>
                  <w:szCs w:val="14"/>
                  <w:color w:val="0000FF"/>
                </w:rPr>
                <w:t>.</w:t>
              </w:r>
            </w:hyperlink>
          </w:p>
        </w:tc>
        <w:tc>
          <w:tcPr>
            <w:tcW w:w="0" w:type="dxa"/>
            <w:vAlign w:val="bottom"/>
          </w:tcPr>
          <w:p>
            <w:pPr>
              <w:spacing w:after="0"/>
              <w:rPr>
                <w:sz w:val="1"/>
                <w:szCs w:val="1"/>
                <w:color w:val="auto"/>
              </w:rPr>
            </w:pPr>
          </w:p>
        </w:tc>
      </w:tr>
      <w:tr>
        <w:trPr>
          <w:trHeight w:val="158"/>
        </w:trPr>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10.5(a)</w:t>
            </w:r>
          </w:p>
        </w:tc>
        <w:tc>
          <w:tcPr>
            <w:tcW w:w="400" w:type="dxa"/>
            <w:vAlign w:val="bottom"/>
          </w:tcPr>
          <w:p>
            <w:pPr>
              <w:jc w:val="right"/>
              <w:ind w:right="228"/>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60" w:type="dxa"/>
            <w:vAlign w:val="bottom"/>
            <w:gridSpan w:val="34"/>
          </w:tcPr>
          <w:p>
            <w:pPr>
              <w:spacing w:after="0" w:line="15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Employment Agreement between Shutterstock Images LLC and Jonathan Oringer dated</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top w:val="single" w:sz="8" w:color="0000FF"/>
              <w:bottom w:val="single" w:sz="8" w:color="0000FF"/>
            </w:tcBorders>
            <w:gridSpan w:val="5"/>
          </w:tcPr>
          <w:p>
            <w:pPr>
              <w:spacing w:after="0" w:line="115"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September 24, 2012.</w:t>
              </w:r>
            </w:hyperlink>
          </w:p>
        </w:tc>
        <w:tc>
          <w:tcPr>
            <w:tcW w:w="3880" w:type="dxa"/>
            <w:vAlign w:val="bottom"/>
            <w:tcBorders>
              <w:top w:val="single" w:sz="8" w:color="0000FF"/>
            </w:tcBorders>
            <w:gridSpan w:val="12"/>
          </w:tcPr>
          <w:p>
            <w:pPr>
              <w:spacing w:after="0"/>
              <w:rPr>
                <w:sz w:val="10"/>
                <w:szCs w:val="10"/>
                <w:color w:val="auto"/>
              </w:rPr>
            </w:pPr>
          </w:p>
        </w:tc>
        <w:tc>
          <w:tcPr>
            <w:tcW w:w="60" w:type="dxa"/>
            <w:vAlign w:val="bottom"/>
            <w:gridSpan w:val="3"/>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10.5(b)</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Severance and Change in Control Agreement between Shutterstock Images LLC and Jonathan</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40" w:type="dxa"/>
            <w:vAlign w:val="bottom"/>
            <w:tcBorders>
              <w:top w:val="single" w:sz="8" w:color="0000FF"/>
            </w:tcBorders>
            <w:gridSpan w:val="25"/>
          </w:tcPr>
          <w:p>
            <w:pPr>
              <w:spacing w:after="0" w:line="115"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Oringer dated September 24, 2012.</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10.5(c)</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5660" w:type="dxa"/>
            <w:vAlign w:val="bottom"/>
            <w:gridSpan w:val="34"/>
          </w:tcPr>
          <w:p>
            <w:pPr>
              <w:spacing w:after="0"/>
              <w:rPr>
                <w:rFonts w:ascii="Times New Roman" w:cs="Times New Roman" w:eastAsia="Times New Roman" w:hAnsi="Times New Roman"/>
                <w:sz w:val="14"/>
                <w:szCs w:val="14"/>
                <w:u w:val="single" w:color="auto"/>
                <w:color w:val="0000FF"/>
              </w:rPr>
            </w:pPr>
            <w:hyperlink r:id="rId122">
              <w:r>
                <w:rPr>
                  <w:rFonts w:ascii="Times New Roman" w:cs="Times New Roman" w:eastAsia="Times New Roman" w:hAnsi="Times New Roman"/>
                  <w:sz w:val="14"/>
                  <w:szCs w:val="14"/>
                  <w:u w:val="single" w:color="auto"/>
                  <w:color w:val="0000FF"/>
                </w:rPr>
                <w:t>Summary of Compensatory Arrangements with Jonathan Oringer, dated April 24, 2014.</w:t>
              </w:r>
            </w:hyperlink>
          </w:p>
        </w:tc>
        <w:tc>
          <w:tcPr>
            <w:tcW w:w="0" w:type="dxa"/>
            <w:vAlign w:val="bottom"/>
          </w:tcPr>
          <w:p>
            <w:pPr>
              <w:spacing w:after="0"/>
              <w:rPr>
                <w:sz w:val="1"/>
                <w:szCs w:val="1"/>
                <w:color w:val="auto"/>
              </w:rPr>
            </w:pPr>
          </w:p>
        </w:tc>
      </w:tr>
      <w:tr>
        <w:trPr>
          <w:trHeight w:val="158"/>
        </w:trPr>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10.5(d)</w:t>
            </w:r>
          </w:p>
        </w:tc>
        <w:tc>
          <w:tcPr>
            <w:tcW w:w="400" w:type="dxa"/>
            <w:vAlign w:val="bottom"/>
          </w:tcPr>
          <w:p>
            <w:pPr>
              <w:jc w:val="right"/>
              <w:ind w:right="228"/>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60" w:type="dxa"/>
            <w:vAlign w:val="bottom"/>
            <w:gridSpan w:val="34"/>
          </w:tcPr>
          <w:p>
            <w:pPr>
              <w:spacing w:after="0" w:line="15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Amendment to Employment Agreement, dated February 11, 2020, by and between Jon Oringer</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40" w:type="dxa"/>
            <w:vAlign w:val="bottom"/>
            <w:tcBorders>
              <w:top w:val="single" w:sz="8" w:color="0000FF"/>
            </w:tcBorders>
            <w:gridSpan w:val="33"/>
          </w:tcPr>
          <w:p>
            <w:pPr>
              <w:spacing w:after="0" w:line="115"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and Shutterstock, Inc.</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10.5(e)</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Amendment to Severance and Change in Control Agreement, dated February 11, 2020, by and</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top w:val="single" w:sz="8" w:color="0000FF"/>
              <w:bottom w:val="single" w:sz="8" w:color="0000FF"/>
            </w:tcBorders>
            <w:gridSpan w:val="13"/>
          </w:tcPr>
          <w:p>
            <w:pPr>
              <w:spacing w:after="0" w:line="115"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between Jon Oringer and Shutterstock, Inc.</w:t>
              </w:r>
            </w:hyperlink>
          </w:p>
        </w:tc>
        <w:tc>
          <w:tcPr>
            <w:tcW w:w="3120" w:type="dxa"/>
            <w:vAlign w:val="bottom"/>
            <w:tcBorders>
              <w:top w:val="single" w:sz="8" w:color="0000FF"/>
            </w:tcBorders>
            <w:gridSpan w:val="19"/>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Lease Agreement, between Shutterstock, Inc. and Empire State Building Company LLC, dated</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0000FF"/>
              <w:bottom w:val="single" w:sz="8" w:color="0000FF"/>
            </w:tcBorders>
            <w:gridSpan w:val="3"/>
          </w:tcPr>
          <w:p>
            <w:pPr>
              <w:spacing w:after="0" w:line="115"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March 21, 2013.</w:t>
              </w:r>
            </w:hyperlink>
          </w:p>
        </w:tc>
        <w:tc>
          <w:tcPr>
            <w:tcW w:w="4500" w:type="dxa"/>
            <w:vAlign w:val="bottom"/>
            <w:tcBorders>
              <w:top w:val="single" w:sz="8" w:color="0000FF"/>
            </w:tcBorders>
            <w:gridSpan w:val="2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First Lease Modification Agreement, by and between Shutterstock, Inc. and ESRT Empire State</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bottom w:val="single" w:sz="8" w:color="0000FF"/>
            </w:tcBorders>
            <w:gridSpan w:val="12"/>
          </w:tcPr>
          <w:p>
            <w:pPr>
              <w:spacing w:after="0" w:line="115"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Building, L.L.C., dated August 31, 2015.</w:t>
              </w:r>
            </w:hyperlink>
          </w:p>
        </w:tc>
        <w:tc>
          <w:tcPr>
            <w:tcW w:w="318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Second Lease Modification and Extension Agreement, by and between Shutterstock, Inc. and</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00" w:type="dxa"/>
            <w:vAlign w:val="bottom"/>
            <w:tcBorders>
              <w:top w:val="single" w:sz="8" w:color="0000FF"/>
              <w:bottom w:val="single" w:sz="8" w:color="0000FF"/>
            </w:tcBorders>
            <w:gridSpan w:val="16"/>
          </w:tcPr>
          <w:p>
            <w:pPr>
              <w:spacing w:after="0" w:line="115"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ESRT Empire State Building, L.L.C., dated January 8, 2016.</w:t>
              </w:r>
            </w:hyperlink>
          </w:p>
        </w:tc>
        <w:tc>
          <w:tcPr>
            <w:tcW w:w="1920" w:type="dxa"/>
            <w:vAlign w:val="bottom"/>
            <w:tcBorders>
              <w:top w:val="single" w:sz="8" w:color="0000FF"/>
            </w:tcBorders>
            <w:gridSpan w:val="8"/>
          </w:tcPr>
          <w:p>
            <w:pPr>
              <w:spacing w:after="0"/>
              <w:rPr>
                <w:sz w:val="10"/>
                <w:szCs w:val="10"/>
                <w:color w:val="auto"/>
              </w:rPr>
            </w:pPr>
          </w:p>
        </w:tc>
        <w:tc>
          <w:tcPr>
            <w:tcW w:w="10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Third Lease Modification Agreement, dated July 19, 2016, by and between Shutterstock, Inc.</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0" w:type="dxa"/>
            <w:vAlign w:val="bottom"/>
            <w:tcBorders>
              <w:top w:val="single" w:sz="8" w:color="0000FF"/>
            </w:tcBorders>
            <w:gridSpan w:val="23"/>
          </w:tcPr>
          <w:p>
            <w:pPr>
              <w:spacing w:after="0" w:line="115"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and ESRT Empire State Building, L.L.C.</w:t>
              </w:r>
            </w:hyperlink>
          </w:p>
        </w:tc>
        <w:tc>
          <w:tcPr>
            <w:tcW w:w="1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5660" w:type="dxa"/>
            <w:vAlign w:val="bottom"/>
            <w:gridSpan w:val="34"/>
          </w:tcPr>
          <w:p>
            <w:pPr>
              <w:spacing w:after="0"/>
              <w:rPr>
                <w:rFonts w:ascii="Times New Roman" w:cs="Times New Roman" w:eastAsia="Times New Roman" w:hAnsi="Times New Roman"/>
                <w:sz w:val="14"/>
                <w:szCs w:val="14"/>
                <w:u w:val="single" w:color="auto"/>
                <w:color w:val="0000FF"/>
              </w:rPr>
            </w:pPr>
            <w:hyperlink r:id="rId129">
              <w:r>
                <w:rPr>
                  <w:rFonts w:ascii="Times New Roman" w:cs="Times New Roman" w:eastAsia="Times New Roman" w:hAnsi="Times New Roman"/>
                  <w:sz w:val="14"/>
                  <w:szCs w:val="14"/>
                  <w:u w:val="single" w:color="auto"/>
                  <w:color w:val="0000FF"/>
                </w:rPr>
                <w:t>Shutterstock, Inc. Director Compensation Policy</w:t>
              </w:r>
            </w:hyperlink>
          </w:p>
        </w:tc>
        <w:tc>
          <w:tcPr>
            <w:tcW w:w="0" w:type="dxa"/>
            <w:vAlign w:val="bottom"/>
          </w:tcPr>
          <w:p>
            <w:pPr>
              <w:spacing w:after="0"/>
              <w:rPr>
                <w:sz w:val="1"/>
                <w:szCs w:val="1"/>
                <w:color w:val="auto"/>
              </w:rPr>
            </w:pPr>
          </w:p>
        </w:tc>
      </w:tr>
      <w:tr>
        <w:trPr>
          <w:trHeight w:val="158"/>
        </w:trPr>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10.11</w:t>
            </w:r>
          </w:p>
        </w:tc>
        <w:tc>
          <w:tcPr>
            <w:tcW w:w="400" w:type="dxa"/>
            <w:vAlign w:val="bottom"/>
          </w:tcPr>
          <w:p>
            <w:pPr>
              <w:jc w:val="right"/>
              <w:ind w:right="228"/>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60" w:type="dxa"/>
            <w:vAlign w:val="bottom"/>
            <w:gridSpan w:val="34"/>
          </w:tcPr>
          <w:p>
            <w:pPr>
              <w:spacing w:after="0" w:line="15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80" w:type="dxa"/>
            <w:vAlign w:val="bottom"/>
            <w:tcBorders>
              <w:top w:val="single" w:sz="8" w:color="0000FF"/>
            </w:tcBorders>
            <w:gridSpan w:val="22"/>
          </w:tcPr>
          <w:p>
            <w:pPr>
              <w:spacing w:after="0" w:line="115"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Agreement</w:t>
              </w:r>
            </w:hyperlink>
          </w:p>
        </w:tc>
        <w:tc>
          <w:tcPr>
            <w:tcW w:w="14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80" w:type="dxa"/>
            <w:vAlign w:val="bottom"/>
            <w:tcBorders>
              <w:top w:val="single" w:sz="8" w:color="0000FF"/>
            </w:tcBorders>
            <w:gridSpan w:val="22"/>
          </w:tcPr>
          <w:p>
            <w:pPr>
              <w:spacing w:after="0" w:line="115"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Agreement for Canadian Employees</w:t>
              </w:r>
            </w:hyperlink>
          </w:p>
        </w:tc>
        <w:tc>
          <w:tcPr>
            <w:tcW w:w="14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Shutterstock, Inc. Form of 2012 Omnibus Equity Incentive Plan Deferred Restricted Stock Unit</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20" w:type="dxa"/>
            <w:vAlign w:val="bottom"/>
            <w:tcBorders>
              <w:top w:val="single" w:sz="8" w:color="0000FF"/>
            </w:tcBorders>
            <w:gridSpan w:val="27"/>
          </w:tcPr>
          <w:p>
            <w:pPr>
              <w:spacing w:after="0" w:line="115"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Award Agreement</w:t>
              </w:r>
            </w:hyperlink>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5660" w:type="dxa"/>
            <w:vAlign w:val="bottom"/>
            <w:gridSpan w:val="34"/>
          </w:tcPr>
          <w:p>
            <w:pPr>
              <w:spacing w:after="0"/>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Shutterstock, Inc. Amended and Restated 2012 Omnibus Equity Incentive Plan</w:t>
              </w:r>
            </w:hyperlink>
          </w:p>
        </w:tc>
        <w:tc>
          <w:tcPr>
            <w:tcW w:w="0" w:type="dxa"/>
            <w:vAlign w:val="bottom"/>
          </w:tcPr>
          <w:p>
            <w:pPr>
              <w:spacing w:after="0"/>
              <w:rPr>
                <w:sz w:val="1"/>
                <w:szCs w:val="1"/>
                <w:color w:val="auto"/>
              </w:rPr>
            </w:pPr>
          </w:p>
        </w:tc>
      </w:tr>
      <w:tr>
        <w:trPr>
          <w:trHeight w:val="158"/>
        </w:trPr>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10.15</w:t>
            </w:r>
          </w:p>
        </w:tc>
        <w:tc>
          <w:tcPr>
            <w:tcW w:w="400" w:type="dxa"/>
            <w:vAlign w:val="bottom"/>
          </w:tcPr>
          <w:p>
            <w:pPr>
              <w:jc w:val="right"/>
              <w:ind w:right="228"/>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60" w:type="dxa"/>
            <w:vAlign w:val="bottom"/>
            <w:gridSpan w:val="34"/>
          </w:tcPr>
          <w:p>
            <w:pPr>
              <w:spacing w:after="0" w:line="15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30"/>
          </w:tcPr>
          <w:p>
            <w:pPr>
              <w:spacing w:after="0" w:line="115"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Unit Award Agreement, as amended September 15, 2016</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60" w:type="dxa"/>
            <w:vAlign w:val="bottom"/>
            <w:gridSpan w:val="34"/>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tcBorders>
              <w:top w:val="single" w:sz="8" w:color="0000FF"/>
            </w:tcBorders>
            <w:gridSpan w:val="30"/>
          </w:tcPr>
          <w:p>
            <w:pPr>
              <w:spacing w:after="0" w:line="147" w:lineRule="exact"/>
              <w:rPr>
                <w:rFonts w:ascii="Times New Roman" w:cs="Times New Roman" w:eastAsia="Times New Roman" w:hAnsi="Times New Roman"/>
                <w:sz w:val="14"/>
                <w:szCs w:val="14"/>
                <w:u w:val="single" w:color="auto"/>
                <w:color w:val="0000FF"/>
              </w:rPr>
            </w:pPr>
            <w:hyperlink r:id="rId135">
              <w:r>
                <w:rPr>
                  <w:rFonts w:ascii="Times New Roman" w:cs="Times New Roman" w:eastAsia="Times New Roman" w:hAnsi="Times New Roman"/>
                  <w:sz w:val="14"/>
                  <w:szCs w:val="14"/>
                  <w:u w:val="single" w:color="auto"/>
                  <w:color w:val="0000FF"/>
                </w:rPr>
                <w:t>Unit Award Agreement for Canadian Employees, as amended September 15, 2016</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10.17</w:t>
            </w:r>
          </w:p>
        </w:tc>
        <w:tc>
          <w:tcPr>
            <w:tcW w:w="400" w:type="dxa"/>
            <w:vAlign w:val="bottom"/>
          </w:tcPr>
          <w:p>
            <w:pPr>
              <w:jc w:val="right"/>
              <w:ind w:right="228"/>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60" w:type="dxa"/>
            <w:vAlign w:val="bottom"/>
            <w:gridSpan w:val="34"/>
          </w:tcPr>
          <w:p>
            <w:pPr>
              <w:spacing w:after="0" w:line="158"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Shutterstock, Inc. 2012 Amended and Restated Omnibus Equity Incentive Plan Deferred</w:t>
              </w:r>
            </w:hyperlink>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40" w:type="dxa"/>
            <w:vAlign w:val="bottom"/>
            <w:tcBorders>
              <w:top w:val="single" w:sz="8" w:color="0000FF"/>
            </w:tcBorders>
            <w:gridSpan w:val="20"/>
          </w:tcPr>
          <w:p>
            <w:pPr>
              <w:spacing w:after="0" w:line="147" w:lineRule="exact"/>
              <w:rPr>
                <w:rFonts w:ascii="Times New Roman" w:cs="Times New Roman" w:eastAsia="Times New Roman" w:hAnsi="Times New Roman"/>
                <w:sz w:val="14"/>
                <w:szCs w:val="14"/>
                <w:u w:val="single" w:color="auto"/>
                <w:color w:val="0000FF"/>
              </w:rPr>
            </w:pPr>
            <w:hyperlink r:id="rId136">
              <w:r>
                <w:rPr>
                  <w:rFonts w:ascii="Times New Roman" w:cs="Times New Roman" w:eastAsia="Times New Roman" w:hAnsi="Times New Roman"/>
                  <w:sz w:val="14"/>
                  <w:szCs w:val="14"/>
                  <w:u w:val="single" w:color="auto"/>
                  <w:color w:val="0000FF"/>
                </w:rPr>
                <w:t>Restricted Stock Unit Award Agreement, as amended September 15, 2016</w:t>
              </w:r>
            </w:hyperlink>
          </w:p>
        </w:tc>
        <w:tc>
          <w:tcPr>
            <w:tcW w:w="180" w:type="dxa"/>
            <w:vAlign w:val="bottom"/>
          </w:tcPr>
          <w:p>
            <w:pPr>
              <w:spacing w:after="0"/>
              <w:rPr>
                <w:sz w:val="12"/>
                <w:szCs w:val="12"/>
                <w:color w:val="auto"/>
              </w:rPr>
            </w:pPr>
          </w:p>
        </w:tc>
        <w:tc>
          <w:tcPr>
            <w:tcW w:w="34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10.18</w:t>
            </w:r>
          </w:p>
        </w:tc>
        <w:tc>
          <w:tcPr>
            <w:tcW w:w="400" w:type="dxa"/>
            <w:vAlign w:val="bottom"/>
          </w:tcPr>
          <w:p>
            <w:pPr>
              <w:jc w:val="right"/>
              <w:ind w:right="228"/>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60" w:type="dxa"/>
            <w:vAlign w:val="bottom"/>
            <w:gridSpan w:val="34"/>
          </w:tcPr>
          <w:p>
            <w:pPr>
              <w:spacing w:after="0" w:line="158"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Shutterstock, Inc. 2012 Amended and Restated Omnibus Equity Incentive Plan Performance</w:t>
              </w:r>
            </w:hyperlink>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tcBorders>
              <w:top w:val="single" w:sz="8" w:color="0000FF"/>
              <w:bottom w:val="single" w:sz="8" w:color="0000FF"/>
            </w:tcBorders>
            <w:gridSpan w:val="8"/>
          </w:tcPr>
          <w:p>
            <w:pPr>
              <w:spacing w:after="0" w:line="115"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Stock Unit Award Agreement</w:t>
              </w:r>
            </w:hyperlink>
          </w:p>
        </w:tc>
        <w:tc>
          <w:tcPr>
            <w:tcW w:w="3600" w:type="dxa"/>
            <w:vAlign w:val="bottom"/>
            <w:tcBorders>
              <w:top w:val="single" w:sz="8" w:color="0000FF"/>
            </w:tcBorders>
            <w:gridSpan w:val="13"/>
          </w:tcPr>
          <w:p>
            <w:pPr>
              <w:spacing w:after="0"/>
              <w:rPr>
                <w:sz w:val="10"/>
                <w:szCs w:val="10"/>
                <w:color w:val="auto"/>
              </w:rPr>
            </w:pPr>
          </w:p>
        </w:tc>
        <w:tc>
          <w:tcPr>
            <w:tcW w:w="34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27774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87"/>
        </w:trPr>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20" w:type="dxa"/>
            <w:vAlign w:val="bottom"/>
          </w:tcPr>
          <w:p>
            <w:pPr>
              <w:spacing w:after="0"/>
              <w:rPr>
                <w:sz w:val="16"/>
                <w:szCs w:val="16"/>
                <w:color w:val="auto"/>
              </w:rPr>
            </w:pP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October 5, 2012</w:t>
            </w:r>
          </w:p>
        </w:tc>
      </w:tr>
      <w:tr>
        <w:trPr>
          <w:trHeight w:val="315"/>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5, 2012</w:t>
            </w:r>
          </w:p>
        </w:tc>
      </w:tr>
      <w:tr>
        <w:trPr>
          <w:trHeight w:val="45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29, 2012</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S-3ASR</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333-243706</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10, 2020</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30, 2012</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27, 2015</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29, 2012</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30, 2012</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10.8(b)</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28, 2014</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2013</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6, 2015</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13, 2016</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4, 2016</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26, 2019</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4, 2016</w:t>
            </w:r>
          </w:p>
        </w:tc>
      </w:tr>
      <w:tr>
        <w:trPr>
          <w:trHeight w:val="189"/>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2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11, 2020</w:t>
            </w:r>
          </w:p>
        </w:tc>
      </w:tr>
    </w:tbl>
    <w:p>
      <w:pPr>
        <w:sectPr>
          <w:pgSz w:w="11900" w:h="16838" w:orient="portrait"/>
          <w:cols w:equalWidth="0" w:num="2">
            <w:col w:w="6760" w:space="100"/>
            <w:col w:w="4380"/>
          </w:cols>
          <w:pgMar w:left="320" w:top="121" w:right="339" w:bottom="1440" w:gutter="0" w:footer="0" w:header="0"/>
        </w:sectPr>
      </w:pPr>
    </w:p>
    <w:bookmarkStart w:id="97" w:name="page98"/>
    <w:bookmarkEnd w:id="97"/>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01"/>
        </w:trPr>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13"/>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10.19(a)</w:t>
            </w:r>
          </w:p>
        </w:tc>
        <w:tc>
          <w:tcPr>
            <w:tcW w:w="40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tcPr>
          <w:p>
            <w:pPr>
              <w:spacing w:after="0"/>
              <w:rPr>
                <w:sz w:val="12"/>
                <w:szCs w:val="12"/>
                <w:color w:val="auto"/>
              </w:rPr>
            </w:pPr>
          </w:p>
        </w:tc>
        <w:tc>
          <w:tcPr>
            <w:tcW w:w="5580" w:type="dxa"/>
            <w:vAlign w:val="bottom"/>
            <w:tcBorders>
              <w:top w:val="single" w:sz="8" w:color="auto"/>
            </w:tcBorders>
            <w:gridSpan w:val="21"/>
          </w:tcPr>
          <w:p>
            <w:pPr>
              <w:spacing w:after="0" w:line="142"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Employment Agreement, dated August 5, 2019, by and between the Company and Steven</w:t>
              </w:r>
            </w:hyperlink>
          </w:p>
        </w:tc>
        <w:tc>
          <w:tcPr>
            <w:tcW w:w="100" w:type="dxa"/>
            <w:vAlign w:val="bottom"/>
          </w:tcPr>
          <w:p>
            <w:pPr>
              <w:spacing w:after="0"/>
              <w:rPr>
                <w:sz w:val="12"/>
                <w:szCs w:val="12"/>
                <w:color w:val="auto"/>
              </w:rPr>
            </w:pPr>
          </w:p>
        </w:tc>
        <w:tc>
          <w:tcPr>
            <w:tcW w:w="5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00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2"/>
                <w:szCs w:val="12"/>
                <w:color w:val="auto"/>
              </w:rPr>
            </w:pPr>
          </w:p>
        </w:tc>
        <w:tc>
          <w:tcPr>
            <w:tcW w:w="7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17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August 6, 2019</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0000FF"/>
              <w:bottom w:val="single" w:sz="8" w:color="0000FF"/>
            </w:tcBorders>
            <w:gridSpan w:val="2"/>
          </w:tcPr>
          <w:p>
            <w:pPr>
              <w:spacing w:after="0" w:line="115"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Ciardiello</w:t>
              </w:r>
            </w:hyperlink>
          </w:p>
        </w:tc>
        <w:tc>
          <w:tcPr>
            <w:tcW w:w="460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10.19(b) §</w:t>
            </w:r>
          </w:p>
        </w:tc>
        <w:tc>
          <w:tcPr>
            <w:tcW w:w="20" w:type="dxa"/>
            <w:vAlign w:val="bottom"/>
          </w:tcPr>
          <w:p>
            <w:pPr>
              <w:spacing w:after="0"/>
              <w:rPr>
                <w:sz w:val="14"/>
                <w:szCs w:val="14"/>
                <w:color w:val="auto"/>
              </w:rPr>
            </w:pPr>
          </w:p>
        </w:tc>
        <w:tc>
          <w:tcPr>
            <w:tcW w:w="5680" w:type="dxa"/>
            <w:vAlign w:val="bottom"/>
            <w:gridSpan w:val="22"/>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Amendment to Employment Agreement, dated November 5, 2019, by and between the</w:t>
              </w:r>
            </w:hyperlink>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5, 2019</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0" w:type="dxa"/>
            <w:vAlign w:val="bottom"/>
            <w:tcBorders>
              <w:top w:val="single" w:sz="8" w:color="0000FF"/>
            </w:tcBorders>
            <w:gridSpan w:val="10"/>
          </w:tcPr>
          <w:p>
            <w:pPr>
              <w:spacing w:after="0" w:line="115"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Company and Steven Ciardiello</w:t>
              </w:r>
            </w:hyperlink>
          </w:p>
        </w:tc>
        <w:tc>
          <w:tcPr>
            <w:tcW w:w="8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5680" w:type="dxa"/>
            <w:vAlign w:val="bottom"/>
            <w:gridSpan w:val="22"/>
          </w:tcPr>
          <w:p>
            <w:pPr>
              <w:spacing w:after="0"/>
              <w:rPr>
                <w:rFonts w:ascii="Times New Roman" w:cs="Times New Roman" w:eastAsia="Times New Roman" w:hAnsi="Times New Roman"/>
                <w:sz w:val="14"/>
                <w:szCs w:val="14"/>
                <w:u w:val="single" w:color="auto"/>
                <w:color w:val="0000FF"/>
              </w:rPr>
            </w:pPr>
            <w:hyperlink r:id="rId142">
              <w:r>
                <w:rPr>
                  <w:rFonts w:ascii="Times New Roman" w:cs="Times New Roman" w:eastAsia="Times New Roman" w:hAnsi="Times New Roman"/>
                  <w:sz w:val="14"/>
                  <w:szCs w:val="14"/>
                  <w:u w:val="single" w:color="auto"/>
                  <w:color w:val="0000FF"/>
                </w:rPr>
                <w:t>Employment Agreement, dated December 7, 2016 between the Company and Martin Brodbeck</w:t>
              </w:r>
            </w:hyperlink>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26, 2018</w:t>
            </w:r>
          </w:p>
        </w:tc>
        <w:tc>
          <w:tcPr>
            <w:tcW w:w="0" w:type="dxa"/>
            <w:vAlign w:val="bottom"/>
          </w:tcPr>
          <w:p>
            <w:pPr>
              <w:spacing w:after="0"/>
              <w:rPr>
                <w:sz w:val="1"/>
                <w:szCs w:val="1"/>
                <w:color w:val="auto"/>
              </w:rPr>
            </w:pPr>
          </w:p>
        </w:tc>
      </w:tr>
      <w:tr>
        <w:trPr>
          <w:trHeight w:val="158"/>
        </w:trPr>
        <w:tc>
          <w:tcPr>
            <w:tcW w:w="1220" w:type="dxa"/>
            <w:vAlign w:val="bottom"/>
            <w:gridSpan w:val="2"/>
          </w:tcPr>
          <w:p>
            <w:pPr>
              <w:jc w:val="right"/>
              <w:ind w:right="248"/>
              <w:spacing w:after="0" w:line="159" w:lineRule="exact"/>
              <w:rPr>
                <w:sz w:val="20"/>
                <w:szCs w:val="20"/>
                <w:color w:val="auto"/>
              </w:rPr>
            </w:pPr>
            <w:r>
              <w:rPr>
                <w:rFonts w:ascii="Times New Roman" w:cs="Times New Roman" w:eastAsia="Times New Roman" w:hAnsi="Times New Roman"/>
                <w:sz w:val="14"/>
                <w:szCs w:val="14"/>
                <w:color w:val="auto"/>
              </w:rPr>
              <w:t>10.21(a) §</w:t>
            </w:r>
          </w:p>
        </w:tc>
        <w:tc>
          <w:tcPr>
            <w:tcW w:w="20" w:type="dxa"/>
            <w:vAlign w:val="bottom"/>
          </w:tcPr>
          <w:p>
            <w:pPr>
              <w:spacing w:after="0"/>
              <w:rPr>
                <w:sz w:val="13"/>
                <w:szCs w:val="13"/>
                <w:color w:val="auto"/>
              </w:rPr>
            </w:pPr>
          </w:p>
        </w:tc>
        <w:tc>
          <w:tcPr>
            <w:tcW w:w="5680" w:type="dxa"/>
            <w:vAlign w:val="bottom"/>
            <w:gridSpan w:val="22"/>
          </w:tcPr>
          <w:p>
            <w:pPr>
              <w:spacing w:after="0" w:line="15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Employment Agreement, dated November 5, 2019, by and between the</w:t>
              </w:r>
            </w:hyperlink>
          </w:p>
        </w:tc>
        <w:tc>
          <w:tcPr>
            <w:tcW w:w="6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jc w:val="right"/>
              <w:ind w:right="288"/>
              <w:spacing w:after="0" w:line="159" w:lineRule="exact"/>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3"/>
                <w:szCs w:val="13"/>
                <w:color w:val="auto"/>
              </w:rPr>
            </w:pPr>
          </w:p>
        </w:tc>
        <w:tc>
          <w:tcPr>
            <w:tcW w:w="7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3"/>
                <w:szCs w:val="13"/>
                <w:color w:val="auto"/>
              </w:rPr>
            </w:pPr>
          </w:p>
        </w:tc>
        <w:tc>
          <w:tcPr>
            <w:tcW w:w="17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November 5, 2019</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Borders>
              <w:top w:val="single" w:sz="8" w:color="0000FF"/>
              <w:bottom w:val="single" w:sz="8" w:color="0000FF"/>
            </w:tcBorders>
            <w:gridSpan w:val="5"/>
          </w:tcPr>
          <w:p>
            <w:pPr>
              <w:spacing w:after="0" w:line="115"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Company and Lisa Nadler</w:t>
              </w:r>
            </w:hyperlink>
          </w:p>
        </w:tc>
        <w:tc>
          <w:tcPr>
            <w:tcW w:w="3960" w:type="dxa"/>
            <w:vAlign w:val="bottom"/>
            <w:tcBorders>
              <w:top w:val="single" w:sz="8" w:color="0000FF"/>
            </w:tcBorders>
            <w:gridSpan w:val="14"/>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10.21(b) §</w:t>
            </w:r>
          </w:p>
        </w:tc>
        <w:tc>
          <w:tcPr>
            <w:tcW w:w="20" w:type="dxa"/>
            <w:vAlign w:val="bottom"/>
          </w:tcPr>
          <w:p>
            <w:pPr>
              <w:spacing w:after="0"/>
              <w:rPr>
                <w:sz w:val="14"/>
                <w:szCs w:val="14"/>
                <w:color w:val="auto"/>
              </w:rPr>
            </w:pPr>
          </w:p>
        </w:tc>
        <w:tc>
          <w:tcPr>
            <w:tcW w:w="5680" w:type="dxa"/>
            <w:vAlign w:val="bottom"/>
            <w:gridSpan w:val="22"/>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Mutual Separation Agreement and General Release, dated February 25, 2020, between the</w:t>
              </w:r>
            </w:hyperlink>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28, 2020</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Borders>
              <w:top w:val="single" w:sz="8" w:color="0000FF"/>
              <w:bottom w:val="single" w:sz="8" w:color="0000FF"/>
            </w:tcBorders>
            <w:gridSpan w:val="5"/>
          </w:tcPr>
          <w:p>
            <w:pPr>
              <w:spacing w:after="0" w:line="115"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Company and Lisa Nadler</w:t>
              </w:r>
            </w:hyperlink>
          </w:p>
        </w:tc>
        <w:tc>
          <w:tcPr>
            <w:tcW w:w="3680" w:type="dxa"/>
            <w:vAlign w:val="bottom"/>
            <w:tcBorders>
              <w:top w:val="single" w:sz="8" w:color="0000FF"/>
            </w:tcBorders>
            <w:gridSpan w:val="8"/>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10.22(a) §</w:t>
            </w:r>
          </w:p>
        </w:tc>
        <w:tc>
          <w:tcPr>
            <w:tcW w:w="20" w:type="dxa"/>
            <w:vAlign w:val="bottom"/>
          </w:tcPr>
          <w:p>
            <w:pPr>
              <w:spacing w:after="0"/>
              <w:rPr>
                <w:sz w:val="14"/>
                <w:szCs w:val="14"/>
                <w:color w:val="auto"/>
              </w:rPr>
            </w:pPr>
          </w:p>
        </w:tc>
        <w:tc>
          <w:tcPr>
            <w:tcW w:w="5680" w:type="dxa"/>
            <w:vAlign w:val="bottom"/>
            <w:gridSpan w:val="22"/>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Amended and Restated Employment Agreement, dated November 5, 2019, by and between the</w:t>
              </w:r>
            </w:hyperlink>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5, 2019</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80" w:type="dxa"/>
            <w:vAlign w:val="bottom"/>
            <w:tcBorders>
              <w:top w:val="single" w:sz="8" w:color="0000FF"/>
            </w:tcBorders>
            <w:gridSpan w:val="19"/>
          </w:tcPr>
          <w:p>
            <w:pPr>
              <w:spacing w:after="0" w:line="115"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Company and Louis Weiss</w:t>
              </w:r>
            </w:hyperlink>
          </w:p>
        </w:tc>
        <w:tc>
          <w:tcPr>
            <w:tcW w:w="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10.22(b) §</w:t>
            </w:r>
          </w:p>
        </w:tc>
        <w:tc>
          <w:tcPr>
            <w:tcW w:w="20" w:type="dxa"/>
            <w:vAlign w:val="bottom"/>
          </w:tcPr>
          <w:p>
            <w:pPr>
              <w:spacing w:after="0"/>
              <w:rPr>
                <w:sz w:val="14"/>
                <w:szCs w:val="14"/>
                <w:color w:val="auto"/>
              </w:rPr>
            </w:pPr>
          </w:p>
        </w:tc>
        <w:tc>
          <w:tcPr>
            <w:tcW w:w="5680" w:type="dxa"/>
            <w:vAlign w:val="bottom"/>
            <w:gridSpan w:val="22"/>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Separation Agreement and General Release, dated March 23, 2020, by and between Lou Weiss</w:t>
              </w:r>
            </w:hyperlink>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15, 2020</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Borders>
              <w:top w:val="single" w:sz="8" w:color="0000FF"/>
              <w:bottom w:val="single" w:sz="8" w:color="0000FF"/>
            </w:tcBorders>
            <w:gridSpan w:val="4"/>
          </w:tcPr>
          <w:p>
            <w:pPr>
              <w:spacing w:after="0" w:line="115"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and Shutterstock, Inc.</w:t>
              </w:r>
            </w:hyperlink>
          </w:p>
        </w:tc>
        <w:tc>
          <w:tcPr>
            <w:tcW w:w="4200" w:type="dxa"/>
            <w:vAlign w:val="bottom"/>
            <w:tcBorders>
              <w:top w:val="single" w:sz="8" w:color="0000FF"/>
            </w:tcBorders>
            <w:gridSpan w:val="14"/>
          </w:tcPr>
          <w:p>
            <w:pPr>
              <w:spacing w:after="0"/>
              <w:rPr>
                <w:sz w:val="10"/>
                <w:szCs w:val="10"/>
                <w:color w:val="auto"/>
              </w:rPr>
            </w:pPr>
          </w:p>
        </w:tc>
        <w:tc>
          <w:tcPr>
            <w:tcW w:w="6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10.23(a) §</w:t>
            </w:r>
          </w:p>
        </w:tc>
        <w:tc>
          <w:tcPr>
            <w:tcW w:w="20" w:type="dxa"/>
            <w:vAlign w:val="bottom"/>
          </w:tcPr>
          <w:p>
            <w:pPr>
              <w:spacing w:after="0"/>
              <w:rPr>
                <w:sz w:val="14"/>
                <w:szCs w:val="14"/>
                <w:color w:val="auto"/>
              </w:rPr>
            </w:pPr>
          </w:p>
        </w:tc>
        <w:tc>
          <w:tcPr>
            <w:tcW w:w="5680" w:type="dxa"/>
            <w:vAlign w:val="bottom"/>
            <w:gridSpan w:val="22"/>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Employment Agreement, dated March 13, 2019, by and between the Company and Stan</w:t>
              </w:r>
            </w:hyperlink>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25, 2019</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80" w:type="dxa"/>
            <w:vAlign w:val="bottom"/>
            <w:tcBorders>
              <w:top w:val="single" w:sz="8" w:color="0000FF"/>
            </w:tcBorders>
            <w:gridSpan w:val="11"/>
          </w:tcPr>
          <w:p>
            <w:pPr>
              <w:spacing w:after="0" w:line="115"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Pavlovsky</w:t>
              </w:r>
            </w:hyperlink>
          </w:p>
        </w:tc>
        <w:tc>
          <w:tcPr>
            <w:tcW w:w="1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1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10.23(b) §</w:t>
            </w:r>
          </w:p>
        </w:tc>
        <w:tc>
          <w:tcPr>
            <w:tcW w:w="20" w:type="dxa"/>
            <w:vAlign w:val="bottom"/>
          </w:tcPr>
          <w:p>
            <w:pPr>
              <w:spacing w:after="0"/>
              <w:rPr>
                <w:sz w:val="14"/>
                <w:szCs w:val="14"/>
                <w:color w:val="auto"/>
              </w:rPr>
            </w:pPr>
          </w:p>
        </w:tc>
        <w:tc>
          <w:tcPr>
            <w:tcW w:w="5680" w:type="dxa"/>
            <w:vAlign w:val="bottom"/>
            <w:gridSpan w:val="22"/>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Amendment to Employment Agreement, dated November 5, 2019, by and between the</w:t>
              </w:r>
            </w:hyperlink>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5, 2019</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Borders>
              <w:top w:val="single" w:sz="8" w:color="0000FF"/>
              <w:bottom w:val="single" w:sz="8" w:color="0000FF"/>
            </w:tcBorders>
            <w:gridSpan w:val="7"/>
          </w:tcPr>
          <w:p>
            <w:pPr>
              <w:spacing w:after="0" w:line="115"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Company and Stan Pavlovsky</w:t>
              </w:r>
            </w:hyperlink>
          </w:p>
        </w:tc>
        <w:tc>
          <w:tcPr>
            <w:tcW w:w="3260" w:type="dxa"/>
            <w:vAlign w:val="bottom"/>
            <w:tcBorders>
              <w:top w:val="single" w:sz="8" w:color="0000FF"/>
            </w:tcBorders>
            <w:gridSpan w:val="3"/>
          </w:tcPr>
          <w:p>
            <w:pPr>
              <w:spacing w:after="0"/>
              <w:rPr>
                <w:sz w:val="10"/>
                <w:szCs w:val="10"/>
                <w:color w:val="auto"/>
              </w:rPr>
            </w:pPr>
          </w:p>
        </w:tc>
        <w:tc>
          <w:tcPr>
            <w:tcW w:w="26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1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10.23(c) §</w:t>
            </w:r>
          </w:p>
        </w:tc>
        <w:tc>
          <w:tcPr>
            <w:tcW w:w="20" w:type="dxa"/>
            <w:vAlign w:val="bottom"/>
          </w:tcPr>
          <w:p>
            <w:pPr>
              <w:spacing w:after="0"/>
              <w:rPr>
                <w:sz w:val="14"/>
                <w:szCs w:val="14"/>
                <w:color w:val="auto"/>
              </w:rPr>
            </w:pPr>
          </w:p>
        </w:tc>
        <w:tc>
          <w:tcPr>
            <w:tcW w:w="5680" w:type="dxa"/>
            <w:vAlign w:val="bottom"/>
            <w:gridSpan w:val="22"/>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Second Amendment to Employment Agreement, dated February 11, 2020, by and between Stan</w:t>
              </w:r>
            </w:hyperlink>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10.25(c)</w:t>
            </w: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13, 2020</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tcBorders>
              <w:top w:val="single" w:sz="8" w:color="0000FF"/>
              <w:bottom w:val="single" w:sz="8" w:color="0000FF"/>
            </w:tcBorders>
            <w:gridSpan w:val="9"/>
          </w:tcPr>
          <w:p>
            <w:pPr>
              <w:spacing w:after="0" w:line="115"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Pavlovsky and Shutterstock, Inc.</w:t>
              </w:r>
            </w:hyperlink>
          </w:p>
        </w:tc>
        <w:tc>
          <w:tcPr>
            <w:tcW w:w="3620" w:type="dxa"/>
            <w:vAlign w:val="bottom"/>
            <w:tcBorders>
              <w:top w:val="single" w:sz="8" w:color="0000FF"/>
            </w:tcBorders>
            <w:gridSpan w:val="11"/>
          </w:tcPr>
          <w:p>
            <w:pPr>
              <w:spacing w:after="0"/>
              <w:rPr>
                <w:sz w:val="10"/>
                <w:szCs w:val="10"/>
                <w:color w:val="auto"/>
              </w:rPr>
            </w:pPr>
          </w:p>
        </w:tc>
        <w:tc>
          <w:tcPr>
            <w:tcW w:w="1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80" w:type="dxa"/>
            <w:vAlign w:val="bottom"/>
            <w:gridSpan w:val="22"/>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Employment Agreement, dated November 7, 2019, by and between the Company and Jarrod</w:t>
              </w:r>
            </w:hyperlink>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18, 2019</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40" w:type="dxa"/>
            <w:vAlign w:val="bottom"/>
            <w:tcBorders>
              <w:top w:val="single" w:sz="8" w:color="0000FF"/>
            </w:tcBorders>
            <w:gridSpan w:val="17"/>
          </w:tcPr>
          <w:p>
            <w:pPr>
              <w:spacing w:after="0" w:line="115"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Yahes</w:t>
              </w:r>
            </w:hyperlink>
          </w:p>
        </w:tc>
        <w:tc>
          <w:tcPr>
            <w:tcW w:w="340" w:type="dxa"/>
            <w:vAlign w:val="bottom"/>
            <w:gridSpan w:val="5"/>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4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9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line="20" w:lineRule="exact"/>
              <w:rPr>
                <w:sz w:val="1"/>
                <w:szCs w:val="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line="20" w:lineRule="exact"/>
              <w:rPr>
                <w:sz w:val="1"/>
                <w:szCs w:val="1"/>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July 28, 2020</w:t>
            </w:r>
          </w:p>
        </w:tc>
        <w:tc>
          <w:tcPr>
            <w:tcW w:w="0" w:type="dxa"/>
            <w:vAlign w:val="bottom"/>
          </w:tcPr>
          <w:p>
            <w:pPr>
              <w:spacing w:after="0" w:line="20" w:lineRule="exact"/>
              <w:rPr>
                <w:sz w:val="1"/>
                <w:szCs w:val="1"/>
                <w:color w:val="auto"/>
              </w:rPr>
            </w:pPr>
          </w:p>
        </w:tc>
      </w:tr>
      <w:tr>
        <w:trPr>
          <w:trHeight w:val="213"/>
        </w:trPr>
        <w:tc>
          <w:tcPr>
            <w:tcW w:w="8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2"/>
          </w:tcPr>
          <w:p>
            <w:pPr>
              <w:spacing w:after="0"/>
              <w:rPr>
                <w:rFonts w:ascii="Times New Roman" w:cs="Times New Roman" w:eastAsia="Times New Roman" w:hAnsi="Times New Roman"/>
                <w:sz w:val="14"/>
                <w:szCs w:val="14"/>
                <w:u w:val="single" w:color="auto"/>
                <w:color w:val="0000FF"/>
              </w:rPr>
            </w:pPr>
            <w:hyperlink r:id="rId151">
              <w:r>
                <w:rPr>
                  <w:rFonts w:ascii="Times New Roman" w:cs="Times New Roman" w:eastAsia="Times New Roman" w:hAnsi="Times New Roman"/>
                  <w:sz w:val="14"/>
                  <w:szCs w:val="14"/>
                  <w:u w:val="single" w:color="auto"/>
                  <w:color w:val="0000FF"/>
                </w:rPr>
                <w:t>Employment Agreement, dated November 4, 2019, between the Company and Pietro Silvio</w:t>
              </w:r>
            </w:hyperlink>
          </w:p>
        </w:tc>
        <w:tc>
          <w:tcPr>
            <w:tcW w:w="6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5680" w:type="dxa"/>
            <w:vAlign w:val="bottom"/>
            <w:gridSpan w:val="22"/>
          </w:tcPr>
          <w:p>
            <w:pPr>
              <w:spacing w:after="0"/>
              <w:rPr>
                <w:rFonts w:ascii="Times New Roman" w:cs="Times New Roman" w:eastAsia="Times New Roman" w:hAnsi="Times New Roman"/>
                <w:sz w:val="14"/>
                <w:szCs w:val="14"/>
                <w:u w:val="single" w:color="auto"/>
                <w:color w:val="0000FF"/>
              </w:rPr>
            </w:pPr>
            <w:hyperlink w:anchor="page100">
              <w:r>
                <w:rPr>
                  <w:rFonts w:ascii="Times New Roman" w:cs="Times New Roman" w:eastAsia="Times New Roman" w:hAnsi="Times New Roman"/>
                  <w:sz w:val="14"/>
                  <w:szCs w:val="14"/>
                  <w:u w:val="single" w:color="auto"/>
                  <w:color w:val="0000FF"/>
                </w:rPr>
                <w:t>List of Subsidiaries.</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5680" w:type="dxa"/>
            <w:vAlign w:val="bottom"/>
            <w:gridSpan w:val="22"/>
          </w:tcPr>
          <w:p>
            <w:pPr>
              <w:spacing w:after="0"/>
              <w:rPr>
                <w:rFonts w:ascii="Times New Roman" w:cs="Times New Roman" w:eastAsia="Times New Roman" w:hAnsi="Times New Roman"/>
                <w:sz w:val="14"/>
                <w:szCs w:val="14"/>
                <w:color w:val="0000FF"/>
              </w:rPr>
            </w:pPr>
            <w:hyperlink w:anchor="page101">
              <w:r>
                <w:rPr>
                  <w:rFonts w:ascii="Times New Roman" w:cs="Times New Roman" w:eastAsia="Times New Roman" w:hAnsi="Times New Roman"/>
                  <w:sz w:val="14"/>
                  <w:szCs w:val="14"/>
                  <w:u w:val="single" w:color="auto"/>
                  <w:color w:val="0000FF"/>
                </w:rPr>
                <w:t>Consent of PricewaterhouseCoopers LLP, Independent Registered Public Accounting Firm</w:t>
              </w:r>
              <w:r>
                <w:rPr>
                  <w:rFonts w:ascii="Times New Roman" w:cs="Times New Roman" w:eastAsia="Times New Roman" w:hAnsi="Times New Roman"/>
                  <w:sz w:val="14"/>
                  <w:szCs w:val="14"/>
                  <w:color w:val="0000FF"/>
                </w:rPr>
                <w:t>.</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56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Power of Attorney (included on signature page of this Annual Report on Form 10-K).</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31.1</w:t>
            </w:r>
          </w:p>
        </w:tc>
        <w:tc>
          <w:tcPr>
            <w:tcW w:w="4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80" w:type="dxa"/>
            <w:vAlign w:val="bottom"/>
            <w:gridSpan w:val="22"/>
          </w:tcPr>
          <w:p>
            <w:pPr>
              <w:spacing w:after="0" w:line="159" w:lineRule="exact"/>
              <w:rPr>
                <w:rFonts w:ascii="Times New Roman" w:cs="Times New Roman" w:eastAsia="Times New Roman" w:hAnsi="Times New Roman"/>
                <w:sz w:val="14"/>
                <w:szCs w:val="14"/>
                <w:color w:val="0000FF"/>
              </w:rPr>
            </w:pPr>
            <w:hyperlink w:anchor="page102">
              <w:r>
                <w:rPr>
                  <w:rFonts w:ascii="Times New Roman" w:cs="Times New Roman" w:eastAsia="Times New Roman" w:hAnsi="Times New Roman"/>
                  <w:sz w:val="14"/>
                  <w:szCs w:val="14"/>
                  <w:color w:val="0000FF"/>
                </w:rPr>
                <w:t>Certification of Chief Executive Officer pursuant to Exchange Act Rules 13a-14(a) and 15d-</w:t>
              </w:r>
            </w:hyperlink>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20" w:type="dxa"/>
            <w:vAlign w:val="bottom"/>
            <w:tcBorders>
              <w:top w:val="single" w:sz="8" w:color="0000FF"/>
            </w:tcBorders>
            <w:gridSpan w:val="16"/>
          </w:tcPr>
          <w:p>
            <w:pPr>
              <w:spacing w:after="0" w:line="147" w:lineRule="exact"/>
              <w:rPr>
                <w:rFonts w:ascii="Times New Roman" w:cs="Times New Roman" w:eastAsia="Times New Roman" w:hAnsi="Times New Roman"/>
                <w:sz w:val="14"/>
                <w:szCs w:val="14"/>
                <w:u w:val="single" w:color="auto"/>
                <w:color w:val="0000FF"/>
              </w:rPr>
            </w:pPr>
            <w:hyperlink w:anchor="page102">
              <w:r>
                <w:rPr>
                  <w:rFonts w:ascii="Times New Roman" w:cs="Times New Roman" w:eastAsia="Times New Roman" w:hAnsi="Times New Roman"/>
                  <w:sz w:val="14"/>
                  <w:szCs w:val="14"/>
                  <w:u w:val="single" w:color="auto"/>
                  <w:color w:val="0000FF"/>
                </w:rPr>
                <w:t>14(a), as adopted pursuant to Section 302 of the Sarbanes-Oxley Act of 2002.</w:t>
              </w:r>
            </w:hyperlink>
          </w:p>
        </w:tc>
        <w:tc>
          <w:tcPr>
            <w:tcW w:w="360" w:type="dxa"/>
            <w:vAlign w:val="bottom"/>
            <w:gridSpan w:val="6"/>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31.2</w:t>
            </w:r>
          </w:p>
        </w:tc>
        <w:tc>
          <w:tcPr>
            <w:tcW w:w="40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80" w:type="dxa"/>
            <w:vAlign w:val="bottom"/>
            <w:gridSpan w:val="22"/>
          </w:tcPr>
          <w:p>
            <w:pPr>
              <w:spacing w:after="0" w:line="158" w:lineRule="exact"/>
              <w:rPr>
                <w:rFonts w:ascii="Times New Roman" w:cs="Times New Roman" w:eastAsia="Times New Roman" w:hAnsi="Times New Roman"/>
                <w:sz w:val="14"/>
                <w:szCs w:val="14"/>
                <w:color w:val="0000FF"/>
              </w:rPr>
            </w:pPr>
            <w:hyperlink w:anchor="page103">
              <w:r>
                <w:rPr>
                  <w:rFonts w:ascii="Times New Roman" w:cs="Times New Roman" w:eastAsia="Times New Roman" w:hAnsi="Times New Roman"/>
                  <w:sz w:val="14"/>
                  <w:szCs w:val="14"/>
                  <w:color w:val="0000FF"/>
                </w:rPr>
                <w:t>Certification of Chief Financial Officer pursuant to Exchange Act Rules 13a-14(a) and 15d-</w:t>
              </w:r>
            </w:hyperlink>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tcBorders>
              <w:top w:val="single" w:sz="8" w:color="0000FF"/>
            </w:tcBorders>
            <w:gridSpan w:val="15"/>
          </w:tcPr>
          <w:p>
            <w:pPr>
              <w:spacing w:after="0" w:line="147" w:lineRule="exact"/>
              <w:rPr>
                <w:rFonts w:ascii="Times New Roman" w:cs="Times New Roman" w:eastAsia="Times New Roman" w:hAnsi="Times New Roman"/>
                <w:sz w:val="14"/>
                <w:szCs w:val="14"/>
                <w:u w:val="single" w:color="auto"/>
                <w:color w:val="0000FF"/>
              </w:rPr>
            </w:pPr>
            <w:hyperlink w:anchor="page103">
              <w:r>
                <w:rPr>
                  <w:rFonts w:ascii="Times New Roman" w:cs="Times New Roman" w:eastAsia="Times New Roman" w:hAnsi="Times New Roman"/>
                  <w:sz w:val="14"/>
                  <w:szCs w:val="14"/>
                  <w:u w:val="single" w:color="auto"/>
                  <w:color w:val="0000FF"/>
                </w:rPr>
                <w:t>14(a), as adopted pursuant to Section 302 of the Sarbanes-Oxley Act of 2002.</w:t>
              </w:r>
            </w:hyperlink>
          </w:p>
        </w:tc>
        <w:tc>
          <w:tcPr>
            <w:tcW w:w="400" w:type="dxa"/>
            <w:vAlign w:val="bottom"/>
            <w:gridSpan w:val="7"/>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32</w:t>
            </w:r>
          </w:p>
        </w:tc>
        <w:tc>
          <w:tcPr>
            <w:tcW w:w="40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5680" w:type="dxa"/>
            <w:vAlign w:val="bottom"/>
            <w:gridSpan w:val="22"/>
          </w:tcPr>
          <w:p>
            <w:pPr>
              <w:spacing w:after="0" w:line="158" w:lineRule="exact"/>
              <w:rPr>
                <w:rFonts w:ascii="Times New Roman" w:cs="Times New Roman" w:eastAsia="Times New Roman" w:hAnsi="Times New Roman"/>
                <w:sz w:val="14"/>
                <w:szCs w:val="14"/>
                <w:color w:val="0000FF"/>
              </w:rPr>
            </w:pPr>
            <w:hyperlink w:anchor="page104">
              <w:r>
                <w:rPr>
                  <w:rFonts w:ascii="Times New Roman" w:cs="Times New Roman" w:eastAsia="Times New Roman" w:hAnsi="Times New Roman"/>
                  <w:sz w:val="14"/>
                  <w:szCs w:val="14"/>
                  <w:color w:val="0000FF"/>
                </w:rPr>
                <w:t>Certifications of Chief Executive Officer and Chief Financial Officer pursuant to 18 U.S.C.</w:t>
              </w:r>
            </w:hyperlink>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60" w:type="dxa"/>
            <w:vAlign w:val="bottom"/>
            <w:tcBorders>
              <w:top w:val="single" w:sz="8" w:color="0000FF"/>
            </w:tcBorders>
            <w:gridSpan w:val="14"/>
          </w:tcPr>
          <w:p>
            <w:pPr>
              <w:spacing w:after="0" w:line="147" w:lineRule="exact"/>
              <w:rPr>
                <w:rFonts w:ascii="Times New Roman" w:cs="Times New Roman" w:eastAsia="Times New Roman" w:hAnsi="Times New Roman"/>
                <w:sz w:val="14"/>
                <w:szCs w:val="14"/>
                <w:u w:val="single" w:color="auto"/>
                <w:color w:val="0000FF"/>
              </w:rPr>
            </w:pPr>
            <w:hyperlink w:anchor="page104">
              <w:r>
                <w:rPr>
                  <w:rFonts w:ascii="Times New Roman" w:cs="Times New Roman" w:eastAsia="Times New Roman" w:hAnsi="Times New Roman"/>
                  <w:sz w:val="14"/>
                  <w:szCs w:val="14"/>
                  <w:u w:val="single" w:color="auto"/>
                  <w:color w:val="0000FF"/>
                </w:rPr>
                <w:t>Section 1350, as adopted pursuant to Section 906 of the Sarbanes-Oxley Act of 2002.</w:t>
              </w:r>
            </w:hyperlink>
          </w:p>
        </w:tc>
        <w:tc>
          <w:tcPr>
            <w:tcW w:w="420" w:type="dxa"/>
            <w:vAlign w:val="bottom"/>
            <w:gridSpan w:val="8"/>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101.INS *</w:t>
            </w:r>
          </w:p>
        </w:tc>
        <w:tc>
          <w:tcPr>
            <w:tcW w:w="20" w:type="dxa"/>
            <w:vAlign w:val="bottom"/>
          </w:tcPr>
          <w:p>
            <w:pPr>
              <w:spacing w:after="0"/>
              <w:rPr>
                <w:sz w:val="16"/>
                <w:szCs w:val="16"/>
                <w:color w:val="auto"/>
              </w:rPr>
            </w:pPr>
          </w:p>
        </w:tc>
        <w:tc>
          <w:tcPr>
            <w:tcW w:w="56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101.SCH *</w:t>
            </w:r>
          </w:p>
        </w:tc>
        <w:tc>
          <w:tcPr>
            <w:tcW w:w="20" w:type="dxa"/>
            <w:vAlign w:val="bottom"/>
          </w:tcPr>
          <w:p>
            <w:pPr>
              <w:spacing w:after="0"/>
              <w:rPr>
                <w:sz w:val="16"/>
                <w:szCs w:val="16"/>
                <w:color w:val="auto"/>
              </w:rPr>
            </w:pPr>
          </w:p>
        </w:tc>
        <w:tc>
          <w:tcPr>
            <w:tcW w:w="56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101.CAL *</w:t>
            </w:r>
          </w:p>
        </w:tc>
        <w:tc>
          <w:tcPr>
            <w:tcW w:w="20" w:type="dxa"/>
            <w:vAlign w:val="bottom"/>
          </w:tcPr>
          <w:p>
            <w:pPr>
              <w:spacing w:after="0"/>
              <w:rPr>
                <w:sz w:val="16"/>
                <w:szCs w:val="16"/>
                <w:color w:val="auto"/>
              </w:rPr>
            </w:pPr>
          </w:p>
        </w:tc>
        <w:tc>
          <w:tcPr>
            <w:tcW w:w="56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101.DEF *</w:t>
            </w:r>
          </w:p>
        </w:tc>
        <w:tc>
          <w:tcPr>
            <w:tcW w:w="20" w:type="dxa"/>
            <w:vAlign w:val="bottom"/>
          </w:tcPr>
          <w:p>
            <w:pPr>
              <w:spacing w:after="0"/>
              <w:rPr>
                <w:sz w:val="16"/>
                <w:szCs w:val="16"/>
                <w:color w:val="auto"/>
              </w:rPr>
            </w:pPr>
          </w:p>
        </w:tc>
        <w:tc>
          <w:tcPr>
            <w:tcW w:w="56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101.LAB *</w:t>
            </w:r>
          </w:p>
        </w:tc>
        <w:tc>
          <w:tcPr>
            <w:tcW w:w="20" w:type="dxa"/>
            <w:vAlign w:val="bottom"/>
          </w:tcPr>
          <w:p>
            <w:pPr>
              <w:spacing w:after="0"/>
              <w:rPr>
                <w:sz w:val="16"/>
                <w:szCs w:val="16"/>
                <w:color w:val="auto"/>
              </w:rPr>
            </w:pPr>
          </w:p>
        </w:tc>
        <w:tc>
          <w:tcPr>
            <w:tcW w:w="56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101.PRE *</w:t>
            </w:r>
          </w:p>
        </w:tc>
        <w:tc>
          <w:tcPr>
            <w:tcW w:w="20" w:type="dxa"/>
            <w:vAlign w:val="bottom"/>
          </w:tcPr>
          <w:p>
            <w:pPr>
              <w:spacing w:after="0"/>
              <w:rPr>
                <w:sz w:val="16"/>
                <w:szCs w:val="16"/>
                <w:color w:val="auto"/>
              </w:rPr>
            </w:pPr>
          </w:p>
        </w:tc>
        <w:tc>
          <w:tcPr>
            <w:tcW w:w="568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3" w:lineRule="exact"/>
        <w:rPr>
          <w:sz w:val="20"/>
          <w:szCs w:val="20"/>
          <w:color w:val="auto"/>
        </w:rPr>
      </w:pPr>
    </w:p>
    <w:p>
      <w:pPr>
        <w:ind w:right="40" w:firstLine="413"/>
        <w:spacing w:after="0" w:line="261" w:lineRule="auto"/>
        <w:tabs>
          <w:tab w:leader="none" w:pos="62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69" w:lineRule="exact"/>
        <w:rPr>
          <w:sz w:val="20"/>
          <w:szCs w:val="20"/>
          <w:color w:val="auto"/>
        </w:rPr>
      </w:pPr>
    </w:p>
    <w:p>
      <w:pPr>
        <w:ind w:left="420"/>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Management contract or compensatory plan or arrangement.</w:t>
      </w:r>
    </w:p>
    <w:p>
      <w:pPr>
        <w:spacing w:after="0" w:line="109" w:lineRule="exact"/>
        <w:rPr>
          <w:sz w:val="20"/>
          <w:szCs w:val="20"/>
          <w:color w:val="auto"/>
        </w:rPr>
      </w:pPr>
    </w:p>
    <w:p>
      <w:pPr>
        <w:ind w:right="160" w:firstLine="413"/>
        <w:spacing w:after="0" w:line="282" w:lineRule="auto"/>
        <w:tabs>
          <w:tab w:leader="none" w:pos="61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54" w:lineRule="exact"/>
        <w:rPr>
          <w:sz w:val="20"/>
          <w:szCs w:val="20"/>
          <w:color w:val="auto"/>
        </w:rPr>
      </w:pPr>
    </w:p>
    <w:p>
      <w:pPr>
        <w:ind w:left="700" w:hanging="287"/>
        <w:spacing w:after="0"/>
        <w:tabs>
          <w:tab w:leader="none" w:pos="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ind w:left="4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SHUTTERSTOCK, INC.</w:t>
      </w:r>
    </w:p>
    <w:p>
      <w:pPr>
        <w:spacing w:after="0" w:line="34" w:lineRule="exact"/>
        <w:rPr>
          <w:sz w:val="20"/>
          <w:szCs w:val="20"/>
          <w:color w:val="auto"/>
        </w:rPr>
      </w:pPr>
    </w:p>
    <w:p>
      <w:pPr>
        <w:ind w:left="20"/>
        <w:spacing w:after="0"/>
        <w:tabs>
          <w:tab w:leader="none" w:pos="4980" w:val="left"/>
          <w:tab w:leader="none" w:pos="7780" w:val="left"/>
        </w:tabs>
        <w:rPr>
          <w:sz w:val="20"/>
          <w:szCs w:val="20"/>
          <w:color w:val="auto"/>
        </w:rPr>
      </w:pPr>
      <w:r>
        <w:rPr>
          <w:rFonts w:ascii="Times New Roman" w:cs="Times New Roman" w:eastAsia="Times New Roman" w:hAnsi="Times New Roman"/>
          <w:sz w:val="16"/>
          <w:szCs w:val="16"/>
          <w:color w:val="auto"/>
        </w:rPr>
        <w:t>Dated: February 11, 2021</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20320</wp:posOffset>
            </wp:positionV>
            <wp:extent cx="33350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2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6"/>
          <w:szCs w:val="16"/>
          <w:color w:val="auto"/>
        </w:rPr>
        <w:t>Stan Pavlovsky</w:t>
      </w:r>
    </w:p>
    <w:p>
      <w:pPr>
        <w:jc w:val="center"/>
        <w:ind w:left="592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14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Stan Pavlovsky and Jarrod Yahes,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21"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520" w:type="dxa"/>
            <w:vAlign w:val="bottom"/>
            <w:gridSpan w:val="3"/>
          </w:tcPr>
          <w:p>
            <w:pPr>
              <w:ind w:left="30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20" w:type="dxa"/>
            <w:vAlign w:val="bottom"/>
          </w:tcPr>
          <w:p>
            <w:pPr>
              <w:spacing w:after="0"/>
              <w:rPr>
                <w:sz w:val="13"/>
                <w:szCs w:val="13"/>
                <w:color w:val="auto"/>
              </w:rPr>
            </w:pPr>
          </w:p>
        </w:tc>
        <w:tc>
          <w:tcPr>
            <w:tcW w:w="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0"/>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/s/ JONATHAN ORINGER</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Founder and Executive Chairman of the Board</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Jonathan Oringer</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STAN PAVLOVSKY</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Chief Executive Officer and Director (Principal Executive Officer)</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Stan Pavlovsky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JARROD YAHES</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Jarrod Yahes</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/s/ STEVEN CIARDIELLO</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Chief Accounting Officer (Principal Accounting Officer)</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Steven Ciardiello</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/s/ RACHNA BHASIN</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Rachna Bhasin</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/s/ DEIRDRE M. BIGLEY</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Deirdre M. Bigley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/s/ JEFF EPSTEIN</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Jeff Epstein</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THOMAS R. EVANS</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Thomas R. Evans</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PAUL J. HENNESSY</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Paul J. Hennessy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ALFONSE UPSHAW</w:t>
            </w:r>
          </w:p>
        </w:tc>
        <w:tc>
          <w:tcPr>
            <w:tcW w:w="55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rPr>
              <w:t>February 11, 2021</w:t>
            </w:r>
          </w:p>
        </w:tc>
      </w:tr>
      <w:tr>
        <w:trPr>
          <w:trHeight w:val="207"/>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Alfonse Upshaw</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bl>
    <w:p>
      <w:pPr>
        <w:sectPr>
          <w:pgSz w:w="11900" w:h="16838" w:orient="portrait"/>
          <w:cols w:equalWidth="0" w:num="1">
            <w:col w:w="11140"/>
          </w:cols>
          <w:pgMar w:left="320" w:top="121" w:right="439" w:bottom="1440" w:gutter="0" w:footer="0" w:header="0"/>
        </w:sectPr>
      </w:pPr>
    </w:p>
    <w:bookmarkStart w:id="99" w:name="page100"/>
    <w:bookmarkEnd w:id="99"/>
    <w:p>
      <w:pPr>
        <w:ind w:left="103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722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LIST OF SUBSIDIARIES</w:t>
            </w:r>
            <w:r>
              <w:rPr>
                <w:rFonts w:ascii="Times New Roman" w:cs="Times New Roman" w:eastAsia="Times New Roman" w:hAnsi="Times New Roman"/>
                <w:sz w:val="21"/>
                <w:szCs w:val="21"/>
                <w:b w:val="1"/>
                <w:bCs w:val="1"/>
                <w:color w:val="auto"/>
                <w:vertAlign w:val="superscript"/>
              </w:rPr>
              <w:t>(1)</w:t>
            </w:r>
          </w:p>
        </w:tc>
      </w:tr>
      <w:tr>
        <w:trPr>
          <w:trHeight w:val="160"/>
        </w:trPr>
        <w:tc>
          <w:tcPr>
            <w:tcW w:w="39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Name of Subsidiary</w:t>
            </w:r>
          </w:p>
        </w:tc>
        <w:tc>
          <w:tcPr>
            <w:tcW w:w="7220" w:type="dxa"/>
            <w:vAlign w:val="bottom"/>
            <w:gridSpan w:val="3"/>
          </w:tcPr>
          <w:p>
            <w:pPr>
              <w:ind w:left="5080"/>
              <w:spacing w:after="0" w:line="160" w:lineRule="exact"/>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Images C.V.</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3"/>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Netherlands B.V.</w:t>
            </w:r>
          </w:p>
        </w:tc>
        <w:tc>
          <w:tcPr>
            <w:tcW w:w="7220" w:type="dxa"/>
            <w:vAlign w:val="bottom"/>
            <w:gridSpan w:val="3"/>
          </w:tcPr>
          <w:p>
            <w:pPr>
              <w:ind w:left="508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9"/>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GmbH</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Germany</w:t>
            </w:r>
          </w:p>
        </w:tc>
      </w:tr>
      <w:tr>
        <w:trPr>
          <w:trHeight w:val="213"/>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(UK) Ltd.</w:t>
            </w:r>
          </w:p>
        </w:tc>
        <w:tc>
          <w:tcPr>
            <w:tcW w:w="7220" w:type="dxa"/>
            <w:vAlign w:val="bottom"/>
            <w:gridSpan w:val="3"/>
          </w:tcPr>
          <w:p>
            <w:pPr>
              <w:ind w:left="508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9"/>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International Services EMEA Ltd.</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Rex Features (Holdings) Ltd.</w:t>
            </w:r>
          </w:p>
        </w:tc>
        <w:tc>
          <w:tcPr>
            <w:tcW w:w="7220" w:type="dxa"/>
            <w:vAlign w:val="bottom"/>
            <w:gridSpan w:val="3"/>
          </w:tcPr>
          <w:p>
            <w:pPr>
              <w:ind w:left="508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9"/>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Rex Features Ltd.</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(France) SAS</w:t>
            </w:r>
          </w:p>
        </w:tc>
        <w:tc>
          <w:tcPr>
            <w:tcW w:w="7220" w:type="dxa"/>
            <w:vAlign w:val="bottom"/>
            <w:gridSpan w:val="3"/>
          </w:tcPr>
          <w:p>
            <w:pPr>
              <w:ind w:left="5080"/>
              <w:spacing w:after="0"/>
              <w:rPr>
                <w:sz w:val="20"/>
                <w:szCs w:val="20"/>
                <w:color w:val="auto"/>
              </w:rPr>
            </w:pPr>
            <w:r>
              <w:rPr>
                <w:rFonts w:ascii="Times New Roman" w:cs="Times New Roman" w:eastAsia="Times New Roman" w:hAnsi="Times New Roman"/>
                <w:sz w:val="16"/>
                <w:szCs w:val="16"/>
                <w:color w:val="auto"/>
              </w:rPr>
              <w:t>France</w:t>
            </w:r>
          </w:p>
        </w:tc>
      </w:tr>
      <w:tr>
        <w:trPr>
          <w:trHeight w:val="219"/>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Hong Kong Ltd.</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Hong Kong</w:t>
            </w:r>
          </w:p>
        </w:tc>
      </w:tr>
      <w:tr>
        <w:trPr>
          <w:trHeight w:val="213"/>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Ireland Ltd</w:t>
            </w:r>
          </w:p>
        </w:tc>
        <w:tc>
          <w:tcPr>
            <w:tcW w:w="7220" w:type="dxa"/>
            <w:vAlign w:val="bottom"/>
            <w:gridSpan w:val="3"/>
          </w:tcPr>
          <w:p>
            <w:pPr>
              <w:ind w:left="5080"/>
              <w:spacing w:after="0"/>
              <w:rPr>
                <w:sz w:val="20"/>
                <w:szCs w:val="20"/>
                <w:color w:val="auto"/>
              </w:rPr>
            </w:pPr>
            <w:r>
              <w:rPr>
                <w:rFonts w:ascii="Times New Roman" w:cs="Times New Roman" w:eastAsia="Times New Roman" w:hAnsi="Times New Roman"/>
                <w:sz w:val="16"/>
                <w:szCs w:val="16"/>
                <w:color w:val="auto"/>
              </w:rPr>
              <w:t>Ireland</w:t>
            </w:r>
          </w:p>
        </w:tc>
      </w:tr>
      <w:tr>
        <w:trPr>
          <w:trHeight w:val="219"/>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Italy Srl</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Italy</w:t>
            </w:r>
          </w:p>
        </w:tc>
      </w:tr>
      <w:tr>
        <w:trPr>
          <w:trHeight w:val="213"/>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Japan GK</w:t>
            </w:r>
          </w:p>
        </w:tc>
        <w:tc>
          <w:tcPr>
            <w:tcW w:w="7220" w:type="dxa"/>
            <w:vAlign w:val="bottom"/>
            <w:gridSpan w:val="3"/>
          </w:tcPr>
          <w:p>
            <w:pPr>
              <w:ind w:left="5080"/>
              <w:spacing w:after="0"/>
              <w:rPr>
                <w:sz w:val="20"/>
                <w:szCs w:val="20"/>
                <w:color w:val="auto"/>
              </w:rPr>
            </w:pPr>
            <w:r>
              <w:rPr>
                <w:rFonts w:ascii="Times New Roman" w:cs="Times New Roman" w:eastAsia="Times New Roman" w:hAnsi="Times New Roman"/>
                <w:sz w:val="16"/>
                <w:szCs w:val="16"/>
                <w:color w:val="auto"/>
              </w:rPr>
              <w:t>Japan</w:t>
            </w:r>
          </w:p>
        </w:tc>
      </w:tr>
      <w:tr>
        <w:trPr>
          <w:trHeight w:val="219"/>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Brazil Servicos de Imagem Ltda.</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Brazil</w:t>
            </w:r>
          </w:p>
        </w:tc>
      </w:tr>
      <w:tr>
        <w:trPr>
          <w:trHeight w:val="213"/>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Canada ULC</w:t>
            </w:r>
          </w:p>
        </w:tc>
        <w:tc>
          <w:tcPr>
            <w:tcW w:w="7220" w:type="dxa"/>
            <w:vAlign w:val="bottom"/>
            <w:gridSpan w:val="3"/>
          </w:tcPr>
          <w:p>
            <w:pPr>
              <w:ind w:left="5080"/>
              <w:spacing w:after="0"/>
              <w:rPr>
                <w:sz w:val="20"/>
                <w:szCs w:val="20"/>
                <w:color w:val="auto"/>
              </w:rPr>
            </w:pPr>
            <w:r>
              <w:rPr>
                <w:rFonts w:ascii="Times New Roman" w:cs="Times New Roman" w:eastAsia="Times New Roman" w:hAnsi="Times New Roman"/>
                <w:sz w:val="16"/>
                <w:szCs w:val="16"/>
                <w:color w:val="auto"/>
              </w:rPr>
              <w:t>Canada</w:t>
            </w:r>
          </w:p>
        </w:tc>
      </w:tr>
      <w:tr>
        <w:trPr>
          <w:trHeight w:val="219"/>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Australia</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Australia</w:t>
            </w:r>
          </w:p>
        </w:tc>
      </w:tr>
      <w:tr>
        <w:trPr>
          <w:trHeight w:val="213"/>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Korea Ltd</w:t>
            </w:r>
          </w:p>
        </w:tc>
        <w:tc>
          <w:tcPr>
            <w:tcW w:w="7220" w:type="dxa"/>
            <w:vAlign w:val="bottom"/>
            <w:gridSpan w:val="3"/>
          </w:tcPr>
          <w:p>
            <w:pPr>
              <w:ind w:left="5080"/>
              <w:spacing w:after="0"/>
              <w:rPr>
                <w:sz w:val="20"/>
                <w:szCs w:val="20"/>
                <w:color w:val="auto"/>
              </w:rPr>
            </w:pPr>
            <w:r>
              <w:rPr>
                <w:rFonts w:ascii="Times New Roman" w:cs="Times New Roman" w:eastAsia="Times New Roman" w:hAnsi="Times New Roman"/>
                <w:sz w:val="16"/>
                <w:szCs w:val="16"/>
                <w:color w:val="auto"/>
              </w:rPr>
              <w:t>Korea</w:t>
            </w:r>
          </w:p>
        </w:tc>
      </w:tr>
      <w:tr>
        <w:trPr>
          <w:trHeight w:val="219"/>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Singapore Pte. Ltd.</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Singapore</w:t>
            </w:r>
          </w:p>
        </w:tc>
      </w:tr>
      <w:tr>
        <w:trPr>
          <w:trHeight w:val="213"/>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International Services APAC PTE Ltd</w:t>
            </w:r>
          </w:p>
        </w:tc>
        <w:tc>
          <w:tcPr>
            <w:tcW w:w="7220" w:type="dxa"/>
            <w:vAlign w:val="bottom"/>
            <w:gridSpan w:val="3"/>
          </w:tcPr>
          <w:p>
            <w:pPr>
              <w:ind w:left="5080"/>
              <w:spacing w:after="0"/>
              <w:rPr>
                <w:sz w:val="20"/>
                <w:szCs w:val="20"/>
                <w:color w:val="auto"/>
              </w:rPr>
            </w:pPr>
            <w:r>
              <w:rPr>
                <w:rFonts w:ascii="Times New Roman" w:cs="Times New Roman" w:eastAsia="Times New Roman" w:hAnsi="Times New Roman"/>
                <w:sz w:val="16"/>
                <w:szCs w:val="16"/>
                <w:color w:val="auto"/>
              </w:rPr>
              <w:t>Singapore</w:t>
            </w:r>
          </w:p>
        </w:tc>
      </w:tr>
      <w:tr>
        <w:trPr>
          <w:trHeight w:val="219"/>
        </w:trPr>
        <w:tc>
          <w:tcPr>
            <w:tcW w:w="3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Purpose LLC</w:t>
            </w:r>
          </w:p>
        </w:tc>
        <w:tc>
          <w:tcPr>
            <w:tcW w:w="7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6"/>
                <w:szCs w:val="16"/>
                <w:color w:val="auto"/>
              </w:rPr>
              <w:t>New York, 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Certain other subsidiaries of Shutterstock, Inc. have been omitted because, in the aggregate, they would not constitute a significant subsidiary.</w:t>
      </w:r>
    </w:p>
    <w:p>
      <w:pPr>
        <w:sectPr>
          <w:pgSz w:w="11900" w:h="16838" w:orient="portrait"/>
          <w:cols w:equalWidth="0" w:num="1">
            <w:col w:w="11220"/>
          </w:cols>
          <w:pgMar w:left="320" w:top="893" w:right="35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71" w:lineRule="exact"/>
        <w:rPr>
          <w:sz w:val="20"/>
          <w:szCs w:val="20"/>
          <w:color w:val="auto"/>
        </w:rPr>
      </w:pPr>
    </w:p>
    <w:p>
      <w:pPr>
        <w:ind w:right="16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333-184371, 333-184544 and 333-202395) and Form S-3 (No. 333-243706) of Shutterstock, Inc. of our report dated February 11, 2021 relating to the financial statements and the effectiveness of internal control over financial reporting, which appears in this Form 10-K.</w:t>
      </w:r>
    </w:p>
    <w:p>
      <w:pPr>
        <w:spacing w:after="0" w:line="24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New York, New York</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11, 2021</w:t>
      </w:r>
    </w:p>
    <w:p>
      <w:pPr>
        <w:sectPr>
          <w:pgSz w:w="11900" w:h="16838" w:orient="portrait"/>
          <w:cols w:equalWidth="0" w:num="1">
            <w:col w:w="11240"/>
          </w:cols>
          <w:pgMar w:left="320" w:top="887" w:right="339" w:bottom="1440" w:gutter="0" w:footer="0" w:header="0"/>
        </w:sectPr>
      </w:pPr>
    </w:p>
    <w:bookmarkStart w:id="101" w:name="page102"/>
    <w:bookmarkEnd w:id="101"/>
    <w:p>
      <w:pPr>
        <w:ind w:left="1036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ind w:left="340" w:right="2240"/>
        <w:spacing w:after="0" w:line="265" w:lineRule="auto"/>
        <w:rPr>
          <w:sz w:val="20"/>
          <w:szCs w:val="20"/>
          <w:color w:val="auto"/>
        </w:rPr>
      </w:pPr>
      <w:r>
        <w:rPr>
          <w:rFonts w:ascii="Times New Roman" w:cs="Times New Roman" w:eastAsia="Times New Roman" w:hAnsi="Times New Roman"/>
          <w:sz w:val="16"/>
          <w:szCs w:val="16"/>
          <w:b w:val="1"/>
          <w:bCs w:val="1"/>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Stan Pavlovsky, certify that:</w:t>
      </w:r>
    </w:p>
    <w:p>
      <w:pPr>
        <w:spacing w:after="0" w:line="248" w:lineRule="exact"/>
        <w:rPr>
          <w:sz w:val="20"/>
          <w:szCs w:val="20"/>
          <w:color w:val="auto"/>
        </w:rPr>
      </w:pPr>
    </w:p>
    <w:p>
      <w:pPr>
        <w:ind w:left="300" w:hanging="292"/>
        <w:spacing w:after="0"/>
        <w:tabs>
          <w:tab w:leader="none" w:pos="3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248" w:lineRule="exact"/>
        <w:rPr>
          <w:rFonts w:ascii="Times New Roman" w:cs="Times New Roman" w:eastAsia="Times New Roman" w:hAnsi="Times New Roman"/>
          <w:sz w:val="16"/>
          <w:szCs w:val="16"/>
          <w:color w:val="auto"/>
        </w:rPr>
      </w:pPr>
    </w:p>
    <w:p>
      <w:pPr>
        <w:ind w:left="420" w:right="180" w:hanging="412"/>
        <w:spacing w:after="0" w:line="280" w:lineRule="auto"/>
        <w:tabs>
          <w:tab w:leader="none" w:pos="29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left="420" w:right="180" w:hanging="412"/>
        <w:spacing w:after="0" w:line="280" w:lineRule="auto"/>
        <w:tabs>
          <w:tab w:leader="none" w:pos="29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420" w:right="160" w:hanging="412"/>
        <w:spacing w:after="0" w:line="280" w:lineRule="auto"/>
        <w:tabs>
          <w:tab w:leader="none" w:pos="29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9" w:lineRule="exact"/>
        <w:rPr>
          <w:rFonts w:ascii="Times New Roman" w:cs="Times New Roman" w:eastAsia="Times New Roman" w:hAnsi="Times New Roman"/>
          <w:sz w:val="16"/>
          <w:szCs w:val="16"/>
          <w:color w:val="auto"/>
        </w:rPr>
      </w:pPr>
    </w:p>
    <w:p>
      <w:pPr>
        <w:ind w:left="820" w:hanging="407"/>
        <w:spacing w:after="0" w:line="263" w:lineRule="auto"/>
        <w:tabs>
          <w:tab w:leader="none" w:pos="81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6"/>
          <w:szCs w:val="16"/>
          <w:color w:val="auto"/>
        </w:rPr>
      </w:pPr>
    </w:p>
    <w:p>
      <w:pPr>
        <w:ind w:left="820" w:right="40" w:hanging="407"/>
        <w:spacing w:after="0" w:line="263" w:lineRule="auto"/>
        <w:tabs>
          <w:tab w:leader="none" w:pos="82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6"/>
          <w:szCs w:val="16"/>
          <w:color w:val="auto"/>
        </w:rPr>
      </w:pPr>
    </w:p>
    <w:p>
      <w:pPr>
        <w:ind w:left="820" w:right="380" w:hanging="407"/>
        <w:spacing w:after="0" w:line="280" w:lineRule="auto"/>
        <w:tabs>
          <w:tab w:leader="none" w:pos="81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820" w:right="20" w:hanging="407"/>
        <w:spacing w:after="0" w:line="263" w:lineRule="auto"/>
        <w:tabs>
          <w:tab w:leader="none" w:pos="82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6"/>
          <w:szCs w:val="16"/>
          <w:color w:val="auto"/>
        </w:rPr>
      </w:pPr>
    </w:p>
    <w:p>
      <w:pPr>
        <w:ind w:left="420" w:right="480" w:hanging="412"/>
        <w:spacing w:after="0" w:line="280" w:lineRule="auto"/>
        <w:tabs>
          <w:tab w:leader="none" w:pos="29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5" w:lineRule="exact"/>
        <w:rPr>
          <w:rFonts w:ascii="Times New Roman" w:cs="Times New Roman" w:eastAsia="Times New Roman" w:hAnsi="Times New Roman"/>
          <w:sz w:val="16"/>
          <w:szCs w:val="16"/>
          <w:color w:val="auto"/>
        </w:rPr>
      </w:pPr>
    </w:p>
    <w:p>
      <w:pPr>
        <w:ind w:left="820" w:right="560" w:hanging="407"/>
        <w:spacing w:after="0" w:line="280" w:lineRule="auto"/>
        <w:tabs>
          <w:tab w:leader="none" w:pos="81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820" w:right="140" w:hanging="407"/>
        <w:spacing w:after="0" w:line="280" w:lineRule="auto"/>
        <w:tabs>
          <w:tab w:leader="none" w:pos="82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40"/>
        <w:spacing w:after="0"/>
        <w:tabs>
          <w:tab w:leader="none" w:pos="5640" w:val="left"/>
          <w:tab w:leader="none" w:pos="6100" w:val="left"/>
        </w:tabs>
        <w:rPr>
          <w:sz w:val="20"/>
          <w:szCs w:val="20"/>
          <w:color w:val="auto"/>
        </w:rPr>
      </w:pPr>
      <w:r>
        <w:rPr>
          <w:rFonts w:ascii="Times New Roman" w:cs="Times New Roman" w:eastAsia="Times New Roman" w:hAnsi="Times New Roman"/>
          <w:sz w:val="16"/>
          <w:szCs w:val="16"/>
          <w:color w:val="auto"/>
        </w:rPr>
        <w:t>Date: February 11, 2021</w:t>
      </w:r>
      <w:r>
        <w:rPr>
          <w:sz w:val="20"/>
          <w:szCs w:val="20"/>
          <w:color w:val="auto"/>
        </w:rPr>
        <w:tab/>
      </w:r>
      <w:r>
        <w:rPr>
          <w:rFonts w:ascii="Times New Roman" w:cs="Times New Roman" w:eastAsia="Times New Roman" w:hAnsi="Times New Roman"/>
          <w:sz w:val="16"/>
          <w:szCs w:val="16"/>
          <w:color w:val="auto"/>
        </w:rPr>
        <w:t>By:</w:t>
        <w:tab/>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20320</wp:posOffset>
            </wp:positionV>
            <wp:extent cx="32575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Stan Pavlovsky</w:t>
      </w:r>
    </w:p>
    <w:p>
      <w:pPr>
        <w:spacing w:after="0" w:line="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20"/>
          </w:cols>
          <w:pgMar w:left="320" w:top="893" w:right="3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ind w:left="360" w:right="2220"/>
        <w:spacing w:after="0" w:line="265" w:lineRule="auto"/>
        <w:rPr>
          <w:sz w:val="20"/>
          <w:szCs w:val="20"/>
          <w:color w:val="auto"/>
        </w:rPr>
      </w:pPr>
      <w:r>
        <w:rPr>
          <w:rFonts w:ascii="Times New Roman" w:cs="Times New Roman" w:eastAsia="Times New Roman" w:hAnsi="Times New Roman"/>
          <w:sz w:val="16"/>
          <w:szCs w:val="16"/>
          <w:b w:val="1"/>
          <w:bCs w:val="1"/>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248" w:lineRule="exact"/>
        <w:rPr>
          <w:sz w:val="20"/>
          <w:szCs w:val="20"/>
          <w:color w:val="auto"/>
        </w:rPr>
      </w:pPr>
    </w:p>
    <w:p>
      <w:pPr>
        <w:ind w:left="300" w:hanging="292"/>
        <w:spacing w:after="0"/>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248" w:lineRule="exact"/>
        <w:rPr>
          <w:rFonts w:ascii="Times New Roman" w:cs="Times New Roman" w:eastAsia="Times New Roman" w:hAnsi="Times New Roman"/>
          <w:sz w:val="16"/>
          <w:szCs w:val="16"/>
          <w:color w:val="auto"/>
        </w:rPr>
      </w:pPr>
    </w:p>
    <w:p>
      <w:pPr>
        <w:ind w:left="500" w:right="160" w:hanging="492"/>
        <w:spacing w:after="0" w:line="280" w:lineRule="auto"/>
        <w:tabs>
          <w:tab w:leader="none" w:pos="297"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left="500" w:right="160" w:hanging="492"/>
        <w:spacing w:after="0" w:line="280" w:lineRule="auto"/>
        <w:tabs>
          <w:tab w:leader="none" w:pos="297"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Rules 13a-15(e) and 15d-15(e)) and internal control over financial reporting (as defined in Exchange Act Rules 13a-15(f) and 15d-15(f)) for the registrant and have:</w:t>
      </w:r>
    </w:p>
    <w:p>
      <w:pPr>
        <w:spacing w:after="0" w:line="338" w:lineRule="exact"/>
        <w:rPr>
          <w:sz w:val="20"/>
          <w:szCs w:val="20"/>
          <w:color w:val="auto"/>
        </w:rPr>
      </w:pPr>
    </w:p>
    <w:p>
      <w:pPr>
        <w:ind w:left="900" w:right="140" w:hanging="406"/>
        <w:spacing w:after="0" w:line="263" w:lineRule="auto"/>
        <w:tabs>
          <w:tab w:leader="none" w:pos="89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6"/>
          <w:szCs w:val="16"/>
          <w:color w:val="auto"/>
        </w:rPr>
      </w:pPr>
    </w:p>
    <w:p>
      <w:pPr>
        <w:ind w:left="900" w:right="280" w:hanging="406"/>
        <w:spacing w:after="0" w:line="263" w:lineRule="auto"/>
        <w:tabs>
          <w:tab w:leader="none" w:pos="90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6"/>
          <w:szCs w:val="16"/>
          <w:color w:val="auto"/>
        </w:rPr>
      </w:pPr>
    </w:p>
    <w:p>
      <w:pPr>
        <w:ind w:left="900" w:right="280" w:hanging="406"/>
        <w:spacing w:after="0" w:line="280" w:lineRule="auto"/>
        <w:tabs>
          <w:tab w:leader="none" w:pos="89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00" w:right="240" w:hanging="406"/>
        <w:spacing w:after="0" w:line="263" w:lineRule="auto"/>
        <w:tabs>
          <w:tab w:leader="none" w:pos="90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6"/>
          <w:szCs w:val="16"/>
          <w:color w:val="auto"/>
        </w:rPr>
      </w:pPr>
    </w:p>
    <w:p>
      <w:pPr>
        <w:ind w:left="500" w:right="420" w:hanging="492"/>
        <w:spacing w:after="0" w:line="280" w:lineRule="auto"/>
        <w:tabs>
          <w:tab w:leader="none" w:pos="33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9" w:lineRule="exact"/>
        <w:rPr>
          <w:rFonts w:ascii="Times New Roman" w:cs="Times New Roman" w:eastAsia="Times New Roman" w:hAnsi="Times New Roman"/>
          <w:sz w:val="16"/>
          <w:szCs w:val="16"/>
          <w:color w:val="auto"/>
        </w:rPr>
      </w:pPr>
    </w:p>
    <w:p>
      <w:pPr>
        <w:ind w:left="900" w:right="520" w:hanging="406"/>
        <w:spacing w:after="0" w:line="280" w:lineRule="auto"/>
        <w:tabs>
          <w:tab w:leader="none" w:pos="828"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900" w:right="120" w:hanging="406"/>
        <w:spacing w:after="0" w:line="280" w:lineRule="auto"/>
        <w:tabs>
          <w:tab w:leader="none" w:pos="837"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60"/>
        <w:spacing w:after="0"/>
        <w:tabs>
          <w:tab w:leader="none" w:pos="5760" w:val="left"/>
          <w:tab w:leader="none" w:pos="6200" w:val="left"/>
        </w:tabs>
        <w:rPr>
          <w:sz w:val="20"/>
          <w:szCs w:val="20"/>
          <w:color w:val="auto"/>
        </w:rPr>
      </w:pPr>
      <w:r>
        <w:rPr>
          <w:rFonts w:ascii="Times New Roman" w:cs="Times New Roman" w:eastAsia="Times New Roman" w:hAnsi="Times New Roman"/>
          <w:sz w:val="16"/>
          <w:szCs w:val="16"/>
          <w:color w:val="auto"/>
        </w:rPr>
        <w:t>Date: February 11, 2021</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20320</wp:posOffset>
            </wp:positionV>
            <wp:extent cx="31800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2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Jarrod Yahes</w:t>
      </w:r>
    </w:p>
    <w:p>
      <w:pPr>
        <w:spacing w:after="0" w:line="3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00"/>
          </w:cols>
          <w:pgMar w:left="320" w:top="893"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on Form 10-K of Shutterstock, Inc. for the year ended December 31, 2020 as filed with the Securities and Exchange Commission on the date hereof (the “Report”), I, Stan Pavlovsky, as Chief Executive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51" w:lineRule="exact"/>
        <w:rPr>
          <w:sz w:val="20"/>
          <w:szCs w:val="20"/>
          <w:color w:val="auto"/>
        </w:rPr>
      </w:pPr>
    </w:p>
    <w:p>
      <w:pPr>
        <w:ind w:left="40"/>
        <w:spacing w:after="0"/>
        <w:tabs>
          <w:tab w:leader="none" w:pos="5640" w:val="left"/>
          <w:tab w:leader="none" w:pos="6100" w:val="left"/>
        </w:tabs>
        <w:rPr>
          <w:sz w:val="20"/>
          <w:szCs w:val="20"/>
          <w:color w:val="auto"/>
        </w:rPr>
      </w:pPr>
      <w:r>
        <w:rPr>
          <w:rFonts w:ascii="Times New Roman" w:cs="Times New Roman" w:eastAsia="Times New Roman" w:hAnsi="Times New Roman"/>
          <w:sz w:val="16"/>
          <w:szCs w:val="16"/>
          <w:color w:val="auto"/>
        </w:rPr>
        <w:t>Date: February 11, 2021</w:t>
      </w:r>
      <w:r>
        <w:rPr>
          <w:sz w:val="20"/>
          <w:szCs w:val="20"/>
          <w:color w:val="auto"/>
        </w:rPr>
        <w:tab/>
      </w:r>
      <w:r>
        <w:rPr>
          <w:rFonts w:ascii="Times New Roman" w:cs="Times New Roman" w:eastAsia="Times New Roman" w:hAnsi="Times New Roman"/>
          <w:sz w:val="16"/>
          <w:szCs w:val="16"/>
          <w:color w:val="auto"/>
        </w:rPr>
        <w:t>By:</w:t>
        <w:tab/>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20320</wp:posOffset>
            </wp:positionV>
            <wp:extent cx="32575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Stan Pavlovsky</w:t>
      </w:r>
    </w:p>
    <w:p>
      <w:pPr>
        <w:spacing w:after="0" w:line="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37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on Form 10-K of Shutterstock, Inc. for the year ended December 31, 2020 as filed with the Securities and Exchange Commission on the date hereof (the “Report”), I, Jarrod Yahes, as Chief Financial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51" w:lineRule="exact"/>
        <w:rPr>
          <w:sz w:val="20"/>
          <w:szCs w:val="20"/>
          <w:color w:val="auto"/>
        </w:rPr>
      </w:pPr>
    </w:p>
    <w:p>
      <w:pPr>
        <w:ind w:left="60"/>
        <w:spacing w:after="0"/>
        <w:tabs>
          <w:tab w:leader="none" w:pos="5760" w:val="left"/>
          <w:tab w:leader="none" w:pos="6200" w:val="left"/>
        </w:tabs>
        <w:rPr>
          <w:sz w:val="20"/>
          <w:szCs w:val="20"/>
          <w:color w:val="auto"/>
        </w:rPr>
      </w:pPr>
      <w:r>
        <w:rPr>
          <w:rFonts w:ascii="Times New Roman" w:cs="Times New Roman" w:eastAsia="Times New Roman" w:hAnsi="Times New Roman"/>
          <w:sz w:val="16"/>
          <w:szCs w:val="16"/>
          <w:color w:val="auto"/>
        </w:rPr>
        <w:t>Date: February 11, 2021</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20320</wp:posOffset>
            </wp:positionV>
            <wp:extent cx="31800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Jarrod Yahes</w:t>
      </w:r>
    </w:p>
    <w:p>
      <w:pPr>
        <w:spacing w:after="0" w:line="3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11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lowerRoman"/>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lvl w:ilvl="1">
      <w:lvlJc w:val="left"/>
      <w:lvlText w:val="(%2)"/>
      <w:numFmt w:val="lowerLetter"/>
      <w:start w:val="1"/>
    </w:lvl>
  </w:abstractNum>
  <w:abstractNum w:abstractNumId="33">
    <w:nsid w:val="580BD78F"/>
    <w:multiLevelType w:val="hybridMultilevel"/>
    <w:lvl w:ilvl="0">
      <w:lvlJc w:val="left"/>
      <w:lvlText w:val="(%1)"/>
      <w:numFmt w:val="decimal"/>
      <w:start w:val="1"/>
    </w:lvl>
    <w:lvl w:ilvl="1">
      <w:lvlJc w:val="left"/>
      <w:lvlText w:val="%2"/>
      <w:numFmt w:val="lowerLetter"/>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2"/>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lvl w:ilvl="1">
      <w:lvlJc w:val="left"/>
      <w:lvlText w:val="(%2)"/>
      <w:numFmt w:val="decimal"/>
      <w:start w:val="1"/>
    </w:lvl>
  </w:abstractNum>
  <w:abstractNum w:abstractNumId="39">
    <w:nsid w:val="1D4ED43B"/>
    <w:multiLevelType w:val="hybridMultilevel"/>
    <w:lvl w:ilvl="0">
      <w:lvlJc w:val="left"/>
      <w:lvlText w:val="(%1)"/>
      <w:numFmt w:val="decimal"/>
      <w:start w:val="17"/>
    </w:lvl>
    <w:lvl w:ilvl="1">
      <w:lvlJc w:val="left"/>
      <w:lvlText w:val="%2"/>
      <w:numFmt w:val="decimal"/>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10" Type="http://schemas.openxmlformats.org/officeDocument/2006/relationships/hyperlink" Target="http://www.sec.gov/Archives/edgar/data/1549346/000104746912009325/a2211285zex-2_1.htm" TargetMode="External"/><Relationship Id="rId111" Type="http://schemas.openxmlformats.org/officeDocument/2006/relationships/hyperlink" Target="http://www.sec.gov/Archives/edgar/data/1549346/000104746912009325/a2211285zex-2_2.htm" TargetMode="External"/><Relationship Id="rId112" Type="http://schemas.openxmlformats.org/officeDocument/2006/relationships/hyperlink" Target="http://www.sec.gov/Archives/edgar/data/1549346/000104746912006975/a2209974zex-3_2.htm" TargetMode="External"/><Relationship Id="rId113" Type="http://schemas.openxmlformats.org/officeDocument/2006/relationships/hyperlink" Target="http://www.sec.gov/Archives/edgar/data/1549346/000104746912009122/a2211147zex-3_4.htm" TargetMode="External"/><Relationship Id="rId114" Type="http://schemas.openxmlformats.org/officeDocument/2006/relationships/hyperlink" Target="http://www.sec.gov/Archives/edgar/data/1549346/000119312520214906/d91196dex41.htm" TargetMode="External"/><Relationship Id="rId115" Type="http://schemas.openxmlformats.org/officeDocument/2006/relationships/hyperlink" Target="http://www.sec.gov/Archives/edgar/data/1549346/000154934620000007/a201910kexhibit4descri.htm" TargetMode="External"/><Relationship Id="rId116" Type="http://schemas.openxmlformats.org/officeDocument/2006/relationships/hyperlink" Target="http://www.sec.gov/Archives/edgar/data/1549346/000104746912008610/a2210879zex-10_1.htm" TargetMode="External"/><Relationship Id="rId117" Type="http://schemas.openxmlformats.org/officeDocument/2006/relationships/hyperlink" Target="http://www.sec.gov/Archives/edgar/data/1549346/000104746915001422/a2223257zex-10_2.htm" TargetMode="External"/><Relationship Id="rId118" Type="http://schemas.openxmlformats.org/officeDocument/2006/relationships/hyperlink" Target="http://www.sec.gov/Archives/edgar/data/1549346/000104746912006975/a2209974zex-10_3.htm" TargetMode="External"/><Relationship Id="rId119" Type="http://schemas.openxmlformats.org/officeDocument/2006/relationships/hyperlink" Target="http://www.sec.gov/Archives/edgar/data/1549346/000104746912008610/a2210879zex-10_7.htm" TargetMode="External"/><Relationship Id="rId120" Type="http://schemas.openxmlformats.org/officeDocument/2006/relationships/hyperlink" Target="http://www.sec.gov/Archives/edgar/data/1549346/000104746912009122/a2211147zex-10_8a.htm" TargetMode="External"/><Relationship Id="rId121" Type="http://schemas.openxmlformats.org/officeDocument/2006/relationships/hyperlink" Target="http://www.sec.gov/Archives/edgar/data/1549346/000104746912009122/a2211147zex-10_8b.htm" TargetMode="External"/><Relationship Id="rId122" Type="http://schemas.openxmlformats.org/officeDocument/2006/relationships/hyperlink" Target="http://www.sec.gov/Archives/edgar/data/1549346/000110465914031339/a14-11338_18k.htm" TargetMode="External"/><Relationship Id="rId123" Type="http://schemas.openxmlformats.org/officeDocument/2006/relationships/hyperlink" Target="http://www.sec.gov/Archives/edgar/data/1549346/000154934620000007/exhibit105djoringerame.htm" TargetMode="External"/><Relationship Id="rId124" Type="http://schemas.openxmlformats.org/officeDocument/2006/relationships/hyperlink" Target="http://www.sec.gov/Archives/edgar/data/1549346/000154934620000007/exhibit105ejoringerame.htm" TargetMode="External"/><Relationship Id="rId125" Type="http://schemas.openxmlformats.org/officeDocument/2006/relationships/hyperlink" Target="http://www.sec.gov/Archives/edgar/data/1549346/000110465913040280/a13-8713_1ex10d1.htm" TargetMode="External"/><Relationship Id="rId126" Type="http://schemas.openxmlformats.org/officeDocument/2006/relationships/hyperlink" Target="http://www.sec.gov/Archives/edgar/data/1549346/000154934615000014/exhibit103.htm" TargetMode="External"/><Relationship Id="rId127" Type="http://schemas.openxmlformats.org/officeDocument/2006/relationships/hyperlink" Target="http://www.sec.gov/Archives/edgar/data/1549346/000154934616000017/exhibit101.htm" TargetMode="External"/><Relationship Id="rId128" Type="http://schemas.openxmlformats.org/officeDocument/2006/relationships/hyperlink" Target="http://www.sec.gov/Archives/edgar/data/1549346/000154934616000055/exhibit101thirdleasemodifi.htm" TargetMode="External"/><Relationship Id="rId129" Type="http://schemas.openxmlformats.org/officeDocument/2006/relationships/hyperlink" Target="http://www.sec.gov/Archives/edgar/data/1549346/000154934619000008/a201810kexhibit1011.htm" TargetMode="External"/><Relationship Id="rId130" Type="http://schemas.openxmlformats.org/officeDocument/2006/relationships/hyperlink" Target="http://www.sec.gov/Archives/edgar/data/1549346/000154934616000033/qexhibit105.htm" TargetMode="External"/><Relationship Id="rId131" Type="http://schemas.openxmlformats.org/officeDocument/2006/relationships/hyperlink" Target="http://www.sec.gov/Archives/edgar/data/1549346/000154934616000033/qexhibit106.htm" TargetMode="External"/><Relationship Id="rId132" Type="http://schemas.openxmlformats.org/officeDocument/2006/relationships/hyperlink" Target="http://www.sec.gov/Archives/edgar/data/1549346/000154934616000033/qexhibit107.htm" TargetMode="External"/><Relationship Id="rId133" Type="http://schemas.openxmlformats.org/officeDocument/2006/relationships/hyperlink" Target="http://www.sec.gov/Archives/edgar/data/1549346/000154934616000055/exhibit104shutterstockamen.htm" TargetMode="External"/><Relationship Id="rId134" Type="http://schemas.openxmlformats.org/officeDocument/2006/relationships/hyperlink" Target="http://www.sec.gov/Archives/edgar/data/1549346/000154934616000060/qexhibit101.htm" TargetMode="External"/><Relationship Id="rId135" Type="http://schemas.openxmlformats.org/officeDocument/2006/relationships/hyperlink" Target="http://www.sec.gov/Archives/edgar/data/1549346/000154934616000060/qexhibit102.htm" TargetMode="External"/><Relationship Id="rId136" Type="http://schemas.openxmlformats.org/officeDocument/2006/relationships/hyperlink" Target="http://www.sec.gov/Archives/edgar/data/1549346/000154934616000060/qexhibit103.htm" TargetMode="External"/><Relationship Id="rId137" Type="http://schemas.openxmlformats.org/officeDocument/2006/relationships/hyperlink" Target="http://www.sec.gov/Archives/edgar/data/1549346/000154934619000015/exhibit101formofpsuawardag.htm" TargetMode="External"/><Relationship Id="rId140" Type="http://schemas.openxmlformats.org/officeDocument/2006/relationships/hyperlink" Target="http://www.sec.gov/Archives/edgar/data/1549346/000154934619000033/sciardielloemploymenta.htm" TargetMode="External"/><Relationship Id="rId141" Type="http://schemas.openxmlformats.org/officeDocument/2006/relationships/hyperlink" Target="http://www.sec.gov/Archives/edgar/data/1549346/000154934619000039/sciardielloamendment104.htm" TargetMode="External"/><Relationship Id="rId142" Type="http://schemas.openxmlformats.org/officeDocument/2006/relationships/hyperlink" Target="http://www.sec.gov/Archives/edgar/data/1549346/000154934618000012/qexhibit101_2018-q1.htm" TargetMode="External"/><Relationship Id="rId143" Type="http://schemas.openxmlformats.org/officeDocument/2006/relationships/hyperlink" Target="http://www.sec.gov/Archives/edgar/data/1549346/000154934619000039/lnadleramended102.htm" TargetMode="External"/><Relationship Id="rId144" Type="http://schemas.openxmlformats.org/officeDocument/2006/relationships/hyperlink" Target="http://www.sec.gov/Archives/edgar/data/1549346/000154934620000023/lnadlermutualseparatio.htm" TargetMode="External"/><Relationship Id="rId145" Type="http://schemas.openxmlformats.org/officeDocument/2006/relationships/hyperlink" Target="http://www.sec.gov/Archives/edgar/data/1549346/000154934619000039/lweissamended103.htm" TargetMode="External"/><Relationship Id="rId146" Type="http://schemas.openxmlformats.org/officeDocument/2006/relationships/hyperlink" Target="http://www.sec.gov/Archives/edgar/data/1549346/000154934620000014/lweissseparationagreem.htm" TargetMode="External"/><Relationship Id="rId147" Type="http://schemas.openxmlformats.org/officeDocument/2006/relationships/hyperlink" Target="http://www.sec.gov/Archives/edgar/data/1549346/000154934619000020/stanpavlovskyemploymentagr.htm" TargetMode="External"/><Relationship Id="rId148" Type="http://schemas.openxmlformats.org/officeDocument/2006/relationships/hyperlink" Target="http://www.sec.gov/Archives/edgar/data/1549346/000154934619000039/spavlovskyamendment101.htm" TargetMode="External"/><Relationship Id="rId149" Type="http://schemas.openxmlformats.org/officeDocument/2006/relationships/hyperlink" Target="http://www.sec.gov/Archives/edgar/data/1549346/000154934620000007/exhibit1024cspavlovsky.htm" TargetMode="External"/><Relationship Id="rId150" Type="http://schemas.openxmlformats.org/officeDocument/2006/relationships/hyperlink" Target="http://www.sec.gov/Archives/edgar/data/1549346/000154934619000041/jarrodyahesexecutiveem.htm" TargetMode="External"/><Relationship Id="rId151" Type="http://schemas.openxmlformats.org/officeDocument/2006/relationships/hyperlink" Target="http://www.sec.gov/Archives/edgar/data/1549346/000154934620000033/petersilvioemploymen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2021-02-11T06:12:50Z</dcterms:created>
  <dcterms:modified xsi:type="dcterms:W3CDTF">2021-02-11T06:12:50Z</dcterms:modified>
</cp:coreProperties>
</file>