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213995</wp:posOffset>
            </wp:positionH>
            <wp:positionV relativeFrom="paragraph">
              <wp:posOffset>422910</wp:posOffset>
            </wp:positionV>
            <wp:extent cx="69869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905" cy="698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386080</wp:posOffset>
            </wp:positionV>
            <wp:extent cx="698690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905" cy="14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line="237" w:lineRule="auto"/>
        <w:rPr>
          <w:sz w:val="20"/>
          <w:szCs w:val="20"/>
          <w:color w:val="auto"/>
        </w:rPr>
      </w:pPr>
      <w:r>
        <w:rPr>
          <w:rFonts w:ascii="Arial" w:cs="Arial" w:eastAsia="Arial" w:hAnsi="Arial"/>
          <w:sz w:val="14"/>
          <w:szCs w:val="14"/>
          <w:b w:val="1"/>
          <w:bCs w:val="1"/>
          <w:color w:val="auto"/>
        </w:rPr>
        <w:t>Washington, D.C. 20549</w:t>
      </w:r>
    </w:p>
    <w:p>
      <w:pPr>
        <w:ind w:left="33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w:t>
      </w:r>
    </w:p>
    <w:p>
      <w:pPr>
        <w:jc w:val="center"/>
        <w:ind w:right="-59"/>
        <w:spacing w:after="0"/>
        <w:rPr>
          <w:sz w:val="20"/>
          <w:szCs w:val="20"/>
          <w:color w:val="auto"/>
        </w:rPr>
      </w:pPr>
      <w:r>
        <w:rPr>
          <w:rFonts w:ascii="Arial" w:cs="Arial" w:eastAsia="Arial" w:hAnsi="Arial"/>
          <w:sz w:val="25"/>
          <w:szCs w:val="25"/>
          <w:b w:val="1"/>
          <w:bCs w:val="1"/>
          <w:color w:val="auto"/>
        </w:rPr>
        <w:t>FORM 10-Q</w:t>
      </w:r>
    </w:p>
    <w:p>
      <w:pPr>
        <w:ind w:left="334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2380" w:hanging="221"/>
        <w:spacing w:after="0"/>
        <w:tabs>
          <w:tab w:leader="none" w:pos="2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44" w:lineRule="exact"/>
        <w:rPr>
          <w:rFonts w:ascii="MS PGothic" w:cs="MS PGothic" w:eastAsia="MS PGothic" w:hAnsi="MS PGothic"/>
          <w:sz w:val="13"/>
          <w:szCs w:val="13"/>
          <w:color w:val="auto"/>
        </w:rPr>
      </w:pPr>
    </w:p>
    <w:p>
      <w:pPr>
        <w:ind w:left="4120"/>
        <w:spacing w:after="0"/>
        <w:rPr>
          <w:rFonts w:ascii="MS PGothic" w:cs="MS PGothic" w:eastAsia="MS PGothic" w:hAnsi="MS PGothic"/>
          <w:sz w:val="13"/>
          <w:szCs w:val="13"/>
          <w:color w:val="auto"/>
        </w:rPr>
      </w:pPr>
      <w:r>
        <w:rPr>
          <w:rFonts w:ascii="Arial" w:cs="Arial" w:eastAsia="Arial" w:hAnsi="Arial"/>
          <w:sz w:val="15"/>
          <w:szCs w:val="15"/>
          <w:b w:val="1"/>
          <w:bCs w:val="1"/>
          <w:color w:val="auto"/>
        </w:rPr>
        <w:t>For the quarterly period ended September 30, 2021</w:t>
      </w:r>
    </w:p>
    <w:p>
      <w:pPr>
        <w:spacing w:after="0" w:line="57"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or</w:t>
      </w:r>
    </w:p>
    <w:p>
      <w:pPr>
        <w:spacing w:after="0" w:line="60" w:lineRule="exact"/>
        <w:rPr>
          <w:sz w:val="24"/>
          <w:szCs w:val="24"/>
          <w:color w:val="auto"/>
        </w:rPr>
      </w:pPr>
    </w:p>
    <w:p>
      <w:pPr>
        <w:ind w:left="2500" w:hanging="432"/>
        <w:spacing w:after="0"/>
        <w:tabs>
          <w:tab w:leader="none" w:pos="25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55" w:lineRule="exact"/>
        <w:rPr>
          <w:sz w:val="24"/>
          <w:szCs w:val="24"/>
          <w:color w:val="auto"/>
        </w:rPr>
      </w:pPr>
    </w:p>
    <w:p>
      <w:pPr>
        <w:ind w:left="4380"/>
        <w:spacing w:after="0"/>
        <w:tabs>
          <w:tab w:leader="none" w:pos="67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7"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Commission File Number: 001-35669</w:t>
      </w:r>
    </w:p>
    <w:p>
      <w:pPr>
        <w:spacing w:after="0" w:line="56" w:lineRule="exact"/>
        <w:rPr>
          <w:sz w:val="24"/>
          <w:szCs w:val="24"/>
          <w:color w:val="auto"/>
        </w:rPr>
      </w:pPr>
    </w:p>
    <w:p>
      <w:pPr>
        <w:ind w:left="3700"/>
        <w:spacing w:after="0"/>
        <w:rPr>
          <w:sz w:val="20"/>
          <w:szCs w:val="20"/>
          <w:color w:val="auto"/>
        </w:rPr>
      </w:pPr>
      <w:r>
        <w:rPr>
          <w:rFonts w:ascii="Arial" w:cs="Arial" w:eastAsia="Arial" w:hAnsi="Arial"/>
          <w:sz w:val="12"/>
          <w:szCs w:val="12"/>
          <w:color w:val="auto"/>
        </w:rPr>
        <w:t>_____________________________________________________________________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SHUTTERSTOCK,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pacing w:after="0" w:line="10" w:lineRule="exact"/>
        <w:rPr>
          <w:sz w:val="24"/>
          <w:szCs w:val="24"/>
          <w:color w:val="auto"/>
        </w:rPr>
      </w:pPr>
    </w:p>
    <w:p>
      <w:pPr>
        <w:ind w:left="3680"/>
        <w:spacing w:after="0"/>
        <w:rPr>
          <w:sz w:val="20"/>
          <w:szCs w:val="20"/>
          <w:color w:val="auto"/>
        </w:rPr>
      </w:pPr>
      <w:r>
        <w:rPr>
          <w:rFonts w:ascii="Arial" w:cs="Arial" w:eastAsia="Arial" w:hAnsi="Arial"/>
          <w:sz w:val="15"/>
          <w:szCs w:val="15"/>
          <w:color w:val="auto"/>
        </w:rPr>
        <w:t>________________________________________________________</w:t>
      </w:r>
    </w:p>
    <w:p>
      <w:pPr>
        <w:sectPr>
          <w:pgSz w:w="11900" w:h="16838" w:orient="portrait"/>
          <w:cols w:equalWidth="0" w:num="1">
            <w:col w:w="11180"/>
          </w:cols>
          <w:pgMar w:left="320" w:top="221" w:right="399" w:bottom="1440" w:gutter="0" w:footer="0" w:header="0"/>
        </w:sectPr>
      </w:pPr>
    </w:p>
    <w:p>
      <w:pPr>
        <w:spacing w:after="0" w:line="45" w:lineRule="exact"/>
        <w:rPr>
          <w:sz w:val="24"/>
          <w:szCs w:val="24"/>
          <w:color w:val="auto"/>
        </w:rPr>
      </w:pPr>
    </w:p>
    <w:p>
      <w:pPr>
        <w:ind w:left="26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80-0812659</w:t>
      </w:r>
    </w:p>
    <w:p>
      <w:pPr>
        <w:spacing w:after="0" w:line="77" w:lineRule="exact"/>
        <w:rPr>
          <w:sz w:val="24"/>
          <w:szCs w:val="24"/>
          <w:color w:val="auto"/>
        </w:rPr>
      </w:pPr>
    </w:p>
    <w:p>
      <w:pPr>
        <w:sectPr>
          <w:pgSz w:w="11900" w:h="16838" w:orient="portrait"/>
          <w:cols w:equalWidth="0" w:num="2">
            <w:col w:w="7660" w:space="720"/>
            <w:col w:w="2800"/>
          </w:cols>
          <w:pgMar w:left="320" w:top="221" w:right="399" w:bottom="1440" w:gutter="0" w:footer="0" w:header="0"/>
          <w:type w:val="continuous"/>
        </w:sectPr>
      </w:pPr>
    </w:p>
    <w:p>
      <w:pPr>
        <w:ind w:left="14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41" w:lineRule="exact"/>
        <w:rPr>
          <w:sz w:val="24"/>
          <w:szCs w:val="24"/>
          <w:color w:val="auto"/>
        </w:rPr>
      </w:pPr>
    </w:p>
    <w:p>
      <w:pPr>
        <w:sectPr>
          <w:pgSz w:w="11900" w:h="16838" w:orient="portrait"/>
          <w:cols w:equalWidth="0" w:num="2">
            <w:col w:w="7100" w:space="720"/>
            <w:col w:w="3360"/>
          </w:cols>
          <w:pgMar w:left="320" w:top="221" w:right="399" w:bottom="1440" w:gutter="0" w:footer="0" w:header="0"/>
          <w:type w:val="continuous"/>
        </w:sectPr>
      </w:pPr>
    </w:p>
    <w:p>
      <w:pPr>
        <w:jc w:val="center"/>
        <w:ind w:left="340"/>
        <w:spacing w:after="0"/>
        <w:rPr>
          <w:sz w:val="20"/>
          <w:szCs w:val="20"/>
          <w:color w:val="auto"/>
        </w:rPr>
      </w:pPr>
      <w:r>
        <w:rPr>
          <w:rFonts w:ascii="Arial" w:cs="Arial" w:eastAsia="Arial" w:hAnsi="Arial"/>
          <w:sz w:val="14"/>
          <w:szCs w:val="14"/>
          <w:b w:val="1"/>
          <w:bCs w:val="1"/>
          <w:color w:val="auto"/>
        </w:rPr>
        <w:t>350 Fifth Avenue, 21st Floor</w:t>
      </w:r>
    </w:p>
    <w:p>
      <w:pPr>
        <w:spacing w:after="0" w:line="16"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New York, NY 10118</w:t>
      </w:r>
    </w:p>
    <w:p>
      <w:pPr>
        <w:jc w:val="center"/>
        <w:ind w:left="340"/>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66"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w:t>
      </w:r>
      <w:r>
        <w:rPr>
          <w:rFonts w:ascii="Arial" w:cs="Arial" w:eastAsia="Arial" w:hAnsi="Arial"/>
          <w:sz w:val="15"/>
          <w:szCs w:val="15"/>
          <w:color w:val="auto"/>
        </w:rPr>
        <w:t>646</w:t>
      </w:r>
      <w:r>
        <w:rPr>
          <w:rFonts w:ascii="Arial" w:cs="Arial" w:eastAsia="Arial" w:hAnsi="Arial"/>
          <w:sz w:val="14"/>
          <w:szCs w:val="14"/>
          <w:color w:val="auto"/>
        </w:rPr>
        <w:t xml:space="preserve">) </w:t>
      </w:r>
      <w:r>
        <w:rPr>
          <w:rFonts w:ascii="Arial" w:cs="Arial" w:eastAsia="Arial" w:hAnsi="Arial"/>
          <w:sz w:val="15"/>
          <w:szCs w:val="15"/>
          <w:color w:val="auto"/>
        </w:rPr>
        <w:t>710-3417</w:t>
      </w:r>
    </w:p>
    <w:p>
      <w:pPr>
        <w:spacing w:after="0" w:line="22" w:lineRule="exact"/>
        <w:rPr>
          <w:sz w:val="24"/>
          <w:szCs w:val="24"/>
          <w:color w:val="auto"/>
        </w:rPr>
      </w:pPr>
    </w:p>
    <w:p>
      <w:pPr>
        <w:jc w:val="center"/>
        <w:ind w:left="340"/>
        <w:spacing w:after="0"/>
        <w:rPr>
          <w:sz w:val="20"/>
          <w:szCs w:val="20"/>
          <w:color w:val="auto"/>
        </w:rPr>
      </w:pPr>
      <w:r>
        <w:rPr>
          <w:rFonts w:ascii="Arial" w:cs="Arial" w:eastAsia="Arial" w:hAnsi="Arial"/>
          <w:sz w:val="13"/>
          <w:szCs w:val="13"/>
          <w:color w:val="auto"/>
        </w:rPr>
        <w:t>(Registrant’s telephone number, including area code)</w:t>
      </w:r>
    </w:p>
    <w:p>
      <w:pPr>
        <w:spacing w:after="0" w:line="49"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Not applicable</w:t>
      </w:r>
    </w:p>
    <w:p>
      <w:pPr>
        <w:sectPr>
          <w:pgSz w:w="11900" w:h="16838" w:orient="portrait"/>
          <w:cols w:equalWidth="0" w:num="1">
            <w:col w:w="11180"/>
          </w:cols>
          <w:pgMar w:left="320" w:top="221" w:right="399" w:bottom="1440" w:gutter="0" w:footer="0" w:header="0"/>
          <w:type w:val="continuous"/>
        </w:sectPr>
      </w:pP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32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______________________________________________________________________________________________________________</w:t>
      </w:r>
    </w:p>
    <w:p>
      <w:pPr>
        <w:spacing w:after="0" w:line="198" w:lineRule="exact"/>
        <w:rPr>
          <w:sz w:val="24"/>
          <w:szCs w:val="24"/>
          <w:color w:val="auto"/>
        </w:rPr>
      </w:pPr>
    </w:p>
    <w:p>
      <w:pPr>
        <w:ind w:left="404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176"/>
        </w:trPr>
        <w:tc>
          <w:tcPr>
            <w:tcW w:w="4000" w:type="dxa"/>
            <w:vAlign w:val="bottom"/>
            <w:tcBorders>
              <w:bottom w:val="single" w:sz="8" w:color="auto"/>
            </w:tcBorders>
          </w:tcPr>
          <w:p>
            <w:pPr>
              <w:jc w:val="center"/>
              <w:ind w:left="419"/>
              <w:spacing w:after="0"/>
              <w:rPr>
                <w:sz w:val="20"/>
                <w:szCs w:val="20"/>
                <w:color w:val="auto"/>
              </w:rPr>
            </w:pPr>
            <w:r>
              <w:rPr>
                <w:rFonts w:ascii="Arial" w:cs="Arial" w:eastAsia="Arial" w:hAnsi="Arial"/>
                <w:sz w:val="12"/>
                <w:szCs w:val="12"/>
                <w:b w:val="1"/>
                <w:bCs w:val="1"/>
                <w:color w:val="auto"/>
                <w:w w:val="88"/>
              </w:rPr>
              <w:t>Title of each class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358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59"/>
        </w:trPr>
        <w:tc>
          <w:tcPr>
            <w:tcW w:w="4000" w:type="dxa"/>
            <w:vAlign w:val="bottom"/>
          </w:tcPr>
          <w:p>
            <w:pPr>
              <w:jc w:val="center"/>
              <w:ind w:left="419"/>
              <w:spacing w:after="0"/>
              <w:rPr>
                <w:sz w:val="20"/>
                <w:szCs w:val="20"/>
                <w:color w:val="auto"/>
              </w:rPr>
            </w:pPr>
            <w:r>
              <w:rPr>
                <w:rFonts w:ascii="Arial" w:cs="Arial" w:eastAsia="Arial" w:hAnsi="Arial"/>
                <w:sz w:val="12"/>
                <w:szCs w:val="12"/>
                <w:b w:val="1"/>
                <w:bCs w:val="1"/>
                <w:color w:val="auto"/>
                <w:w w:val="92"/>
              </w:rPr>
              <w:t>Common Stock, $0.01 par value per share</w:t>
            </w:r>
          </w:p>
        </w:tc>
        <w:tc>
          <w:tcPr>
            <w:tcW w:w="2240" w:type="dxa"/>
            <w:vAlign w:val="bottom"/>
          </w:tcPr>
          <w:p>
            <w:pPr>
              <w:jc w:val="center"/>
              <w:ind w:left="19"/>
              <w:spacing w:after="0"/>
              <w:rPr>
                <w:sz w:val="20"/>
                <w:szCs w:val="20"/>
                <w:color w:val="auto"/>
              </w:rPr>
            </w:pPr>
            <w:r>
              <w:rPr>
                <w:rFonts w:ascii="Arial" w:cs="Arial" w:eastAsia="Arial" w:hAnsi="Arial"/>
                <w:sz w:val="12"/>
                <w:szCs w:val="12"/>
                <w:b w:val="1"/>
                <w:bCs w:val="1"/>
                <w:color w:val="auto"/>
                <w:w w:val="99"/>
              </w:rPr>
              <w:t>SSTK</w:t>
            </w:r>
          </w:p>
        </w:tc>
        <w:tc>
          <w:tcPr>
            <w:tcW w:w="3580" w:type="dxa"/>
            <w:vAlign w:val="bottom"/>
          </w:tcPr>
          <w:p>
            <w:pPr>
              <w:jc w:val="center"/>
              <w:ind w:right="19"/>
              <w:spacing w:after="0"/>
              <w:rPr>
                <w:sz w:val="20"/>
                <w:szCs w:val="20"/>
                <w:color w:val="auto"/>
              </w:rPr>
            </w:pPr>
            <w:r>
              <w:rPr>
                <w:rFonts w:ascii="Arial" w:cs="Arial" w:eastAsia="Arial" w:hAnsi="Arial"/>
                <w:sz w:val="12"/>
                <w:szCs w:val="12"/>
                <w:b w:val="1"/>
                <w:bCs w:val="1"/>
                <w:color w:val="auto"/>
                <w:w w:val="91"/>
              </w:rPr>
              <w:t>New York Stock Exchange</w:t>
            </w:r>
          </w:p>
        </w:tc>
      </w:tr>
    </w:tbl>
    <w:p>
      <w:pPr>
        <w:spacing w:after="0" w:line="91" w:lineRule="exact"/>
        <w:rPr>
          <w:sz w:val="24"/>
          <w:szCs w:val="24"/>
          <w:color w:val="auto"/>
        </w:rPr>
      </w:pPr>
    </w:p>
    <w:p>
      <w:pPr>
        <w:ind w:right="200" w:firstLine="345"/>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ind w:right="160" w:firstLine="345"/>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ind w:firstLine="345"/>
        <w:spacing w:after="0" w:line="26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195"/>
        </w:trPr>
        <w:tc>
          <w:tcPr>
            <w:tcW w:w="1440" w:type="dxa"/>
            <w:vAlign w:val="bottom"/>
          </w:tcPr>
          <w:p>
            <w:pPr>
              <w:jc w:val="right"/>
              <w:ind w:right="195"/>
              <w:spacing w:after="0"/>
              <w:rPr>
                <w:sz w:val="20"/>
                <w:szCs w:val="20"/>
                <w:color w:val="auto"/>
              </w:rPr>
            </w:pPr>
            <w:r>
              <w:rPr>
                <w:rFonts w:ascii="Arial" w:cs="Arial" w:eastAsia="Arial" w:hAnsi="Arial"/>
                <w:sz w:val="13"/>
                <w:szCs w:val="13"/>
                <w:color w:val="auto"/>
                <w:w w:val="90"/>
              </w:rPr>
              <w:t>Large accelerated filer</w:t>
            </w:r>
          </w:p>
        </w:tc>
        <w:tc>
          <w:tcPr>
            <w:tcW w:w="2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jc w:val="right"/>
              <w:ind w:right="195"/>
              <w:spacing w:after="0"/>
              <w:rPr>
                <w:sz w:val="20"/>
                <w:szCs w:val="20"/>
                <w:color w:val="auto"/>
              </w:rPr>
            </w:pPr>
            <w:r>
              <w:rPr>
                <w:rFonts w:ascii="Arial" w:cs="Arial" w:eastAsia="Arial" w:hAnsi="Arial"/>
                <w:sz w:val="13"/>
                <w:szCs w:val="13"/>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5"/>
        </w:trPr>
        <w:tc>
          <w:tcPr>
            <w:tcW w:w="1440" w:type="dxa"/>
            <w:vAlign w:val="bottom"/>
          </w:tcPr>
          <w:p>
            <w:pPr>
              <w:jc w:val="right"/>
              <w:ind w:right="195"/>
              <w:spacing w:after="0"/>
              <w:rPr>
                <w:sz w:val="20"/>
                <w:szCs w:val="20"/>
                <w:color w:val="auto"/>
              </w:rPr>
            </w:pPr>
            <w:r>
              <w:rPr>
                <w:rFonts w:ascii="Arial" w:cs="Arial" w:eastAsia="Arial" w:hAnsi="Arial"/>
                <w:sz w:val="13"/>
                <w:szCs w:val="13"/>
                <w:color w:val="auto"/>
                <w:w w:val="96"/>
              </w:rPr>
              <w:t>Non-accelerated filer</w:t>
            </w:r>
          </w:p>
        </w:tc>
        <w:tc>
          <w:tcPr>
            <w:tcW w:w="2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jc w:val="right"/>
              <w:ind w:right="195"/>
              <w:spacing w:after="0"/>
              <w:rPr>
                <w:sz w:val="20"/>
                <w:szCs w:val="20"/>
                <w:color w:val="auto"/>
              </w:rPr>
            </w:pPr>
            <w:r>
              <w:rPr>
                <w:rFonts w:ascii="Arial" w:cs="Arial" w:eastAsia="Arial" w:hAnsi="Arial"/>
                <w:sz w:val="13"/>
                <w:szCs w:val="13"/>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940" w:type="dxa"/>
            <w:vAlign w:val="bottom"/>
          </w:tcPr>
          <w:p>
            <w:pPr>
              <w:jc w:val="right"/>
              <w:ind w:right="195"/>
              <w:spacing w:after="0"/>
              <w:rPr>
                <w:sz w:val="20"/>
                <w:szCs w:val="20"/>
                <w:color w:val="auto"/>
              </w:rPr>
            </w:pPr>
            <w:r>
              <w:rPr>
                <w:rFonts w:ascii="Arial" w:cs="Arial" w:eastAsia="Arial" w:hAnsi="Arial"/>
                <w:sz w:val="13"/>
                <w:szCs w:val="13"/>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360" w:right="260" w:firstLine="345"/>
        <w:spacing w:after="0" w:line="23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700" w:right="16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68"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October 22, 2021, 36,549,234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3803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7138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399"/>
        <w:spacing w:after="0"/>
        <w:rPr>
          <w:sz w:val="20"/>
          <w:szCs w:val="20"/>
          <w:color w:val="auto"/>
        </w:rPr>
      </w:pP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80"/>
          </w:cols>
          <w:pgMar w:left="320" w:top="221" w:right="399" w:bottom="1440" w:gutter="0" w:footer="0" w:header="0"/>
          <w:type w:val="continuous"/>
        </w:sectPr>
      </w:pPr>
    </w:p>
    <w:bookmarkStart w:id="1" w:name="page2"/>
    <w:bookmarkEnd w:id="1"/>
    <w:p>
      <w:pPr>
        <w:ind w:left="32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40" w:type="dxa"/>
            <w:vAlign w:val="bottom"/>
            <w:gridSpan w:val="2"/>
          </w:tcPr>
          <w:p>
            <w:pPr>
              <w:jc w:val="center"/>
              <w:ind w:right="3560"/>
              <w:spacing w:after="0"/>
              <w:rPr>
                <w:sz w:val="20"/>
                <w:szCs w:val="20"/>
                <w:color w:val="auto"/>
              </w:rPr>
            </w:pPr>
            <w:r>
              <w:rPr>
                <w:rFonts w:ascii="Arial" w:cs="Arial" w:eastAsia="Arial" w:hAnsi="Arial"/>
                <w:sz w:val="15"/>
                <w:szCs w:val="15"/>
                <w:b w:val="1"/>
                <w:bCs w:val="1"/>
                <w:color w:val="auto"/>
                <w:w w:val="92"/>
              </w:rPr>
              <w:t>Shutterstock, Inc.</w:t>
            </w:r>
          </w:p>
        </w:tc>
        <w:tc>
          <w:tcPr>
            <w:tcW w:w="920" w:type="dxa"/>
            <w:vAlign w:val="bottom"/>
          </w:tcPr>
          <w:p>
            <w:pPr>
              <w:spacing w:after="0"/>
              <w:rPr>
                <w:sz w:val="15"/>
                <w:szCs w:val="15"/>
                <w:color w:val="auto"/>
              </w:rPr>
            </w:pPr>
          </w:p>
        </w:tc>
      </w:tr>
      <w:tr>
        <w:trPr>
          <w:trHeight w:val="184"/>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40" w:type="dxa"/>
            <w:vAlign w:val="bottom"/>
            <w:gridSpan w:val="2"/>
          </w:tcPr>
          <w:p>
            <w:pPr>
              <w:jc w:val="center"/>
              <w:ind w:right="3560"/>
              <w:spacing w:after="0"/>
              <w:rPr>
                <w:sz w:val="20"/>
                <w:szCs w:val="20"/>
                <w:color w:val="auto"/>
              </w:rPr>
            </w:pPr>
            <w:r>
              <w:rPr>
                <w:rFonts w:ascii="Arial" w:cs="Arial" w:eastAsia="Arial" w:hAnsi="Arial"/>
                <w:sz w:val="15"/>
                <w:szCs w:val="15"/>
                <w:b w:val="1"/>
                <w:bCs w:val="1"/>
                <w:color w:val="auto"/>
              </w:rPr>
              <w:t>FORM 10-Q</w:t>
            </w:r>
          </w:p>
        </w:tc>
        <w:tc>
          <w:tcPr>
            <w:tcW w:w="920" w:type="dxa"/>
            <w:vAlign w:val="bottom"/>
          </w:tcPr>
          <w:p>
            <w:pPr>
              <w:spacing w:after="0"/>
              <w:rPr>
                <w:sz w:val="15"/>
                <w:szCs w:val="15"/>
                <w:color w:val="auto"/>
              </w:rPr>
            </w:pPr>
          </w:p>
        </w:tc>
      </w:tr>
      <w:tr>
        <w:trPr>
          <w:trHeight w:val="184"/>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40" w:type="dxa"/>
            <w:vAlign w:val="bottom"/>
            <w:gridSpan w:val="2"/>
          </w:tcPr>
          <w:p>
            <w:pPr>
              <w:jc w:val="center"/>
              <w:ind w:right="3600"/>
              <w:spacing w:after="0"/>
              <w:rPr>
                <w:sz w:val="20"/>
                <w:szCs w:val="20"/>
                <w:color w:val="auto"/>
              </w:rPr>
            </w:pPr>
            <w:r>
              <w:rPr>
                <w:rFonts w:ascii="Arial" w:cs="Arial" w:eastAsia="Arial" w:hAnsi="Arial"/>
                <w:sz w:val="15"/>
                <w:szCs w:val="15"/>
                <w:b w:val="1"/>
                <w:bCs w:val="1"/>
                <w:color w:val="auto"/>
                <w:w w:val="91"/>
              </w:rPr>
              <w:t>Table of Contents</w:t>
            </w:r>
          </w:p>
        </w:tc>
        <w:tc>
          <w:tcPr>
            <w:tcW w:w="920" w:type="dxa"/>
            <w:vAlign w:val="bottom"/>
          </w:tcPr>
          <w:p>
            <w:pPr>
              <w:spacing w:after="0"/>
              <w:rPr>
                <w:sz w:val="15"/>
                <w:szCs w:val="15"/>
                <w:color w:val="auto"/>
              </w:rPr>
            </w:pPr>
          </w:p>
        </w:tc>
      </w:tr>
      <w:tr>
        <w:trPr>
          <w:trHeight w:val="199"/>
        </w:trPr>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60" w:type="dxa"/>
            <w:vAlign w:val="bottom"/>
            <w:gridSpan w:val="5"/>
          </w:tcPr>
          <w:p>
            <w:pPr>
              <w:jc w:val="center"/>
              <w:ind w:right="2720"/>
              <w:spacing w:after="0"/>
              <w:rPr>
                <w:sz w:val="20"/>
                <w:szCs w:val="20"/>
                <w:color w:val="auto"/>
              </w:rPr>
            </w:pPr>
            <w:r>
              <w:rPr>
                <w:rFonts w:ascii="Arial" w:cs="Arial" w:eastAsia="Arial" w:hAnsi="Arial"/>
                <w:sz w:val="15"/>
                <w:szCs w:val="15"/>
                <w:b w:val="1"/>
                <w:bCs w:val="1"/>
                <w:color w:val="auto"/>
                <w:w w:val="93"/>
              </w:rPr>
              <w:t>For the Quarterly Period Ended September 30, 2021</w:t>
            </w:r>
          </w:p>
        </w:tc>
        <w:tc>
          <w:tcPr>
            <w:tcW w:w="92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Page No.</w:t>
            </w:r>
          </w:p>
        </w:tc>
      </w:tr>
      <w:tr>
        <w:trPr>
          <w:trHeight w:val="184"/>
        </w:trPr>
        <w:tc>
          <w:tcPr>
            <w:tcW w:w="10300" w:type="dxa"/>
            <w:vAlign w:val="bottom"/>
            <w:gridSpan w:val="23"/>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 FINANCIAL INFORMATION</w:t>
              </w:r>
            </w:hyperlink>
          </w:p>
        </w:tc>
        <w:tc>
          <w:tcPr>
            <w:tcW w:w="920" w:type="dxa"/>
            <w:vAlign w:val="bottom"/>
          </w:tcPr>
          <w:p>
            <w:pPr>
              <w:spacing w:after="0"/>
              <w:rPr>
                <w:sz w:val="15"/>
                <w:szCs w:val="15"/>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860" w:type="dxa"/>
            <w:vAlign w:val="bottom"/>
            <w:gridSpan w:val="5"/>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Item 1.</w:t>
              </w:r>
            </w:hyperlink>
          </w:p>
        </w:tc>
        <w:tc>
          <w:tcPr>
            <w:tcW w:w="9440" w:type="dxa"/>
            <w:vAlign w:val="bottom"/>
            <w:gridSpan w:val="18"/>
          </w:tcPr>
          <w:p>
            <w:pPr>
              <w:ind w:left="260"/>
              <w:spacing w:after="0"/>
              <w:rPr>
                <w:rFonts w:ascii="Arial" w:cs="Arial" w:eastAsia="Arial" w:hAnsi="Arial"/>
                <w:sz w:val="14"/>
                <w:szCs w:val="14"/>
                <w:color w:val="0000FF"/>
              </w:rPr>
            </w:pPr>
            <w:hyperlink w:anchor="page4">
              <w:r>
                <w:rPr>
                  <w:rFonts w:ascii="Arial" w:cs="Arial" w:eastAsia="Arial" w:hAnsi="Arial"/>
                  <w:sz w:val="14"/>
                  <w:szCs w:val="14"/>
                  <w:color w:val="0000FF"/>
                </w:rPr>
                <w:t>Financial Statements (Unaudited)</w:t>
              </w:r>
            </w:hyperlink>
          </w:p>
        </w:tc>
        <w:tc>
          <w:tcPr>
            <w:tcW w:w="920" w:type="dxa"/>
            <w:vAlign w:val="bottom"/>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r>
      <w:tr>
        <w:trPr>
          <w:trHeight w:val="164"/>
        </w:trPr>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0" w:type="dxa"/>
            <w:vAlign w:val="bottom"/>
            <w:tcBorders>
              <w:top w:val="single" w:sz="8" w:color="0000FF"/>
              <w:bottom w:val="single" w:sz="8" w:color="0000FF"/>
            </w:tcBorders>
            <w:gridSpan w:val="7"/>
          </w:tcPr>
          <w:p>
            <w:pPr>
              <w:spacing w:after="0"/>
              <w:rPr>
                <w:rFonts w:ascii="Arial" w:cs="Arial" w:eastAsia="Arial" w:hAnsi="Arial"/>
                <w:sz w:val="14"/>
                <w:szCs w:val="14"/>
                <w:color w:val="0000FF"/>
                <w:w w:val="86"/>
              </w:rPr>
            </w:pPr>
            <w:hyperlink w:anchor="page4">
              <w:r>
                <w:rPr>
                  <w:rFonts w:ascii="Arial" w:cs="Arial" w:eastAsia="Arial" w:hAnsi="Arial"/>
                  <w:sz w:val="14"/>
                  <w:szCs w:val="14"/>
                  <w:color w:val="0000FF"/>
                  <w:w w:val="86"/>
                </w:rPr>
                <w:t>Consolidated Balance Sheets</w:t>
              </w:r>
            </w:hyperlink>
          </w:p>
        </w:tc>
        <w:tc>
          <w:tcPr>
            <w:tcW w:w="140" w:type="dxa"/>
            <w:vAlign w:val="bottom"/>
            <w:tcBorders>
              <w:top w:val="single" w:sz="8" w:color="0000FF"/>
            </w:tcBorders>
          </w:tcPr>
          <w:p>
            <w:pPr>
              <w:spacing w:after="0"/>
              <w:rPr>
                <w:sz w:val="14"/>
                <w:szCs w:val="14"/>
                <w:color w:val="auto"/>
              </w:rPr>
            </w:pPr>
          </w:p>
        </w:tc>
        <w:tc>
          <w:tcPr>
            <w:tcW w:w="7340" w:type="dxa"/>
            <w:vAlign w:val="bottom"/>
            <w:gridSpan w:val="8"/>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0000FF"/>
            </w:tcBorders>
            <w:gridSpan w:val="9"/>
          </w:tcPr>
          <w:p>
            <w:pPr>
              <w:spacing w:after="0"/>
              <w:rPr>
                <w:rFonts w:ascii="Arial" w:cs="Arial" w:eastAsia="Arial" w:hAnsi="Arial"/>
                <w:sz w:val="14"/>
                <w:szCs w:val="14"/>
                <w:color w:val="0000FF"/>
                <w:w w:val="87"/>
              </w:rPr>
            </w:pPr>
            <w:hyperlink w:anchor="page4">
              <w:r>
                <w:rPr>
                  <w:rFonts w:ascii="Arial" w:cs="Arial" w:eastAsia="Arial" w:hAnsi="Arial"/>
                  <w:sz w:val="14"/>
                  <w:szCs w:val="14"/>
                  <w:color w:val="0000FF"/>
                  <w:w w:val="87"/>
                </w:rPr>
                <w:t>Consolidated Statements of Operations</w:t>
              </w:r>
            </w:hyperlink>
          </w:p>
        </w:tc>
        <w:tc>
          <w:tcPr>
            <w:tcW w:w="6920" w:type="dxa"/>
            <w:vAlign w:val="bottom"/>
            <w:gridSpan w:val="7"/>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5</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gridSpan w:val="16"/>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Comprehensive Income</w:t>
              </w:r>
            </w:hyperlink>
          </w:p>
        </w:tc>
        <w:tc>
          <w:tcPr>
            <w:tcW w:w="920" w:type="dxa"/>
            <w:vAlign w:val="bottom"/>
          </w:tcPr>
          <w:p>
            <w:pPr>
              <w:jc w:val="right"/>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2"/>
          </w:tcPr>
          <w:p>
            <w:pPr>
              <w:spacing w:after="0"/>
              <w:rPr>
                <w:rFonts w:ascii="Arial" w:cs="Arial" w:eastAsia="Arial" w:hAnsi="Arial"/>
                <w:sz w:val="14"/>
                <w:szCs w:val="14"/>
                <w:color w:val="0000FF"/>
                <w:w w:val="89"/>
              </w:rPr>
            </w:pPr>
            <w:hyperlink w:anchor="page6">
              <w:r>
                <w:rPr>
                  <w:rFonts w:ascii="Arial" w:cs="Arial" w:eastAsia="Arial" w:hAnsi="Arial"/>
                  <w:sz w:val="14"/>
                  <w:szCs w:val="14"/>
                  <w:color w:val="0000FF"/>
                  <w:w w:val="89"/>
                </w:rPr>
                <w:t>Consolidated Statements of Stockholders’ Equity</w:t>
              </w:r>
            </w:hyperlink>
          </w:p>
        </w:tc>
        <w:tc>
          <w:tcPr>
            <w:tcW w:w="140" w:type="dxa"/>
            <w:vAlign w:val="bottom"/>
            <w:tcBorders>
              <w:top w:val="single" w:sz="8" w:color="0000FF"/>
            </w:tcBorders>
          </w:tcPr>
          <w:p>
            <w:pPr>
              <w:spacing w:after="0"/>
              <w:rPr>
                <w:sz w:val="14"/>
                <w:szCs w:val="14"/>
                <w:color w:val="auto"/>
              </w:rPr>
            </w:pPr>
          </w:p>
        </w:tc>
        <w:tc>
          <w:tcPr>
            <w:tcW w:w="6220" w:type="dxa"/>
            <w:vAlign w:val="bottom"/>
            <w:gridSpan w:val="3"/>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bottom w:val="single" w:sz="8" w:color="0000FF"/>
            </w:tcBorders>
            <w:gridSpan w:val="10"/>
          </w:tcPr>
          <w:p>
            <w:pPr>
              <w:spacing w:after="0"/>
              <w:rPr>
                <w:rFonts w:ascii="Arial" w:cs="Arial" w:eastAsia="Arial" w:hAnsi="Arial"/>
                <w:sz w:val="14"/>
                <w:szCs w:val="14"/>
                <w:color w:val="0000FF"/>
                <w:w w:val="87"/>
              </w:rPr>
            </w:pPr>
            <w:hyperlink w:anchor="page7">
              <w:r>
                <w:rPr>
                  <w:rFonts w:ascii="Arial" w:cs="Arial" w:eastAsia="Arial" w:hAnsi="Arial"/>
                  <w:sz w:val="14"/>
                  <w:szCs w:val="14"/>
                  <w:color w:val="0000FF"/>
                  <w:w w:val="87"/>
                </w:rPr>
                <w:t>Consolidated Statements of Cash Flows</w:t>
              </w:r>
            </w:hyperlink>
          </w:p>
        </w:tc>
        <w:tc>
          <w:tcPr>
            <w:tcW w:w="6880" w:type="dxa"/>
            <w:vAlign w:val="bottom"/>
            <w:gridSpan w:val="6"/>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Borders>
              <w:bottom w:val="single" w:sz="8" w:color="0000FF"/>
            </w:tcBorders>
            <w:gridSpan w:val="11"/>
          </w:tcPr>
          <w:p>
            <w:pPr>
              <w:spacing w:after="0"/>
              <w:rPr>
                <w:rFonts w:ascii="Arial" w:cs="Arial" w:eastAsia="Arial" w:hAnsi="Arial"/>
                <w:sz w:val="14"/>
                <w:szCs w:val="14"/>
                <w:color w:val="0000FF"/>
                <w:w w:val="88"/>
              </w:rPr>
            </w:pPr>
            <w:hyperlink w:anchor="page8">
              <w:r>
                <w:rPr>
                  <w:rFonts w:ascii="Arial" w:cs="Arial" w:eastAsia="Arial" w:hAnsi="Arial"/>
                  <w:sz w:val="14"/>
                  <w:szCs w:val="14"/>
                  <w:color w:val="0000FF"/>
                  <w:w w:val="88"/>
                </w:rPr>
                <w:t>Notes to Consolidated Financial Statements</w:t>
              </w:r>
            </w:hyperlink>
          </w:p>
        </w:tc>
        <w:tc>
          <w:tcPr>
            <w:tcW w:w="6660" w:type="dxa"/>
            <w:vAlign w:val="bottom"/>
            <w:gridSpan w:val="5"/>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21">
              <w:r>
                <w:rPr>
                  <w:rFonts w:ascii="Arial" w:cs="Arial" w:eastAsia="Arial" w:hAnsi="Arial"/>
                  <w:sz w:val="14"/>
                  <w:szCs w:val="14"/>
                  <w:color w:val="0000FF"/>
                  <w:w w:val="88"/>
                </w:rPr>
                <w:t>Item 2.</w:t>
              </w:r>
            </w:hyperlink>
          </w:p>
        </w:tc>
        <w:tc>
          <w:tcPr>
            <w:tcW w:w="460" w:type="dxa"/>
            <w:vAlign w:val="bottom"/>
            <w:gridSpan w:val="2"/>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21">
              <w:r>
                <w:rPr>
                  <w:rFonts w:ascii="Arial" w:cs="Arial" w:eastAsia="Arial" w:hAnsi="Arial"/>
                  <w:sz w:val="14"/>
                  <w:szCs w:val="14"/>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4"/>
                <w:szCs w:val="14"/>
                <w:color w:val="0000FF"/>
              </w:rPr>
            </w:pPr>
            <w:hyperlink w:anchor="page21">
              <w:r>
                <w:rPr>
                  <w:rFonts w:ascii="Arial" w:cs="Arial" w:eastAsia="Arial" w:hAnsi="Arial"/>
                  <w:sz w:val="14"/>
                  <w:szCs w:val="14"/>
                  <w:color w:val="0000FF"/>
                </w:rPr>
                <w:t>22</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37">
              <w:r>
                <w:rPr>
                  <w:rFonts w:ascii="Arial" w:cs="Arial" w:eastAsia="Arial" w:hAnsi="Arial"/>
                  <w:sz w:val="14"/>
                  <w:szCs w:val="14"/>
                  <w:color w:val="0000FF"/>
                  <w:w w:val="88"/>
                </w:rPr>
                <w:t>Item 3.</w:t>
              </w:r>
            </w:hyperlink>
          </w:p>
        </w:tc>
        <w:tc>
          <w:tcPr>
            <w:tcW w:w="460" w:type="dxa"/>
            <w:vAlign w:val="bottom"/>
            <w:gridSpan w:val="2"/>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37">
              <w:r>
                <w:rPr>
                  <w:rFonts w:ascii="Arial" w:cs="Arial" w:eastAsia="Arial" w:hAnsi="Arial"/>
                  <w:sz w:val="14"/>
                  <w:szCs w:val="14"/>
                  <w:color w:val="0000FF"/>
                </w:rPr>
                <w:t>Quantitative and Qualitative Disclosures About Market Risk</w:t>
              </w:r>
            </w:hyperlink>
          </w:p>
        </w:tc>
        <w:tc>
          <w:tcPr>
            <w:tcW w:w="920" w:type="dxa"/>
            <w:vAlign w:val="bottom"/>
          </w:tcPr>
          <w:p>
            <w:pPr>
              <w:jc w:val="right"/>
              <w:spacing w:after="0"/>
              <w:rPr>
                <w:rFonts w:ascii="Arial" w:cs="Arial" w:eastAsia="Arial" w:hAnsi="Arial"/>
                <w:sz w:val="14"/>
                <w:szCs w:val="14"/>
                <w:color w:val="0000FF"/>
              </w:rPr>
            </w:pPr>
            <w:hyperlink w:anchor="page37">
              <w:r>
                <w:rPr>
                  <w:rFonts w:ascii="Arial" w:cs="Arial" w:eastAsia="Arial" w:hAnsi="Arial"/>
                  <w:sz w:val="14"/>
                  <w:szCs w:val="14"/>
                  <w:color w:val="0000FF"/>
                </w:rPr>
                <w:t>37</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38">
              <w:r>
                <w:rPr>
                  <w:rFonts w:ascii="Arial" w:cs="Arial" w:eastAsia="Arial" w:hAnsi="Arial"/>
                  <w:sz w:val="14"/>
                  <w:szCs w:val="14"/>
                  <w:color w:val="0000FF"/>
                  <w:w w:val="88"/>
                </w:rPr>
                <w:t>Item 4.</w:t>
              </w:r>
            </w:hyperlink>
          </w:p>
        </w:tc>
        <w:tc>
          <w:tcPr>
            <w:tcW w:w="460" w:type="dxa"/>
            <w:vAlign w:val="bottom"/>
            <w:gridSpan w:val="2"/>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38">
              <w:r>
                <w:rPr>
                  <w:rFonts w:ascii="Arial" w:cs="Arial" w:eastAsia="Arial" w:hAnsi="Arial"/>
                  <w:sz w:val="14"/>
                  <w:szCs w:val="14"/>
                  <w:color w:val="0000FF"/>
                </w:rPr>
                <w:t>Controls and Procedures</w:t>
              </w:r>
            </w:hyperlink>
          </w:p>
        </w:tc>
        <w:tc>
          <w:tcPr>
            <w:tcW w:w="920" w:type="dxa"/>
            <w:vAlign w:val="bottom"/>
          </w:tcPr>
          <w:p>
            <w:pPr>
              <w:jc w:val="right"/>
              <w:spacing w:after="0"/>
              <w:rPr>
                <w:rFonts w:ascii="Arial" w:cs="Arial" w:eastAsia="Arial" w:hAnsi="Arial"/>
                <w:sz w:val="14"/>
                <w:szCs w:val="14"/>
                <w:color w:val="0000FF"/>
              </w:rPr>
            </w:pPr>
            <w:hyperlink w:anchor="page38">
              <w:r>
                <w:rPr>
                  <w:rFonts w:ascii="Arial" w:cs="Arial" w:eastAsia="Arial" w:hAnsi="Arial"/>
                  <w:sz w:val="14"/>
                  <w:szCs w:val="14"/>
                  <w:color w:val="0000FF"/>
                </w:rPr>
                <w:t>39</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120" w:type="dxa"/>
            <w:vAlign w:val="bottom"/>
            <w:tcBorders>
              <w:bottom w:val="single" w:sz="8" w:color="0000FF"/>
            </w:tcBorders>
            <w:gridSpan w:val="10"/>
          </w:tcPr>
          <w:p>
            <w:pPr>
              <w:spacing w:after="0"/>
              <w:rPr>
                <w:rFonts w:ascii="Arial" w:cs="Arial" w:eastAsia="Arial" w:hAnsi="Arial"/>
                <w:sz w:val="14"/>
                <w:szCs w:val="14"/>
                <w:b w:val="1"/>
                <w:bCs w:val="1"/>
                <w:color w:val="0000FF"/>
              </w:rPr>
            </w:pPr>
            <w:hyperlink w:anchor="page39">
              <w:r>
                <w:rPr>
                  <w:rFonts w:ascii="Arial" w:cs="Arial" w:eastAsia="Arial" w:hAnsi="Arial"/>
                  <w:sz w:val="14"/>
                  <w:szCs w:val="14"/>
                  <w:b w:val="1"/>
                  <w:bCs w:val="1"/>
                  <w:color w:val="0000FF"/>
                </w:rPr>
                <w:t>PART II. OTHER INFORMATION</w:t>
              </w:r>
            </w:hyperlink>
          </w:p>
        </w:tc>
        <w:tc>
          <w:tcPr>
            <w:tcW w:w="8180" w:type="dxa"/>
            <w:vAlign w:val="bottom"/>
            <w:gridSpan w:val="13"/>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00" w:type="dxa"/>
            <w:vAlign w:val="bottom"/>
            <w:gridSpan w:val="3"/>
          </w:tcPr>
          <w:p>
            <w:pPr>
              <w:spacing w:after="0"/>
              <w:rPr>
                <w:rFonts w:ascii="Arial" w:cs="Arial" w:eastAsia="Arial" w:hAnsi="Arial"/>
                <w:sz w:val="14"/>
                <w:szCs w:val="14"/>
                <w:color w:val="0000FF"/>
                <w:w w:val="88"/>
              </w:rPr>
            </w:pPr>
            <w:hyperlink w:anchor="page40">
              <w:r>
                <w:rPr>
                  <w:rFonts w:ascii="Arial" w:cs="Arial" w:eastAsia="Arial" w:hAnsi="Arial"/>
                  <w:sz w:val="14"/>
                  <w:szCs w:val="14"/>
                  <w:color w:val="0000FF"/>
                  <w:w w:val="88"/>
                </w:rPr>
                <w:t>Item 1.</w:t>
              </w:r>
            </w:hyperlink>
          </w:p>
        </w:tc>
        <w:tc>
          <w:tcPr>
            <w:tcW w:w="460" w:type="dxa"/>
            <w:vAlign w:val="bottom"/>
            <w:gridSpan w:val="2"/>
          </w:tcPr>
          <w:p>
            <w:pPr>
              <w:spacing w:after="0"/>
              <w:rPr>
                <w:sz w:val="18"/>
                <w:szCs w:val="18"/>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40">
              <w:r>
                <w:rPr>
                  <w:rFonts w:ascii="Arial" w:cs="Arial" w:eastAsia="Arial" w:hAnsi="Arial"/>
                  <w:sz w:val="14"/>
                  <w:szCs w:val="14"/>
                  <w:color w:val="0000FF"/>
                </w:rPr>
                <w:t>Legal Proceedings</w:t>
              </w:r>
            </w:hyperlink>
          </w:p>
        </w:tc>
        <w:tc>
          <w:tcPr>
            <w:tcW w:w="920" w:type="dxa"/>
            <w:vAlign w:val="bottom"/>
          </w:tcPr>
          <w:p>
            <w:pPr>
              <w:jc w:val="right"/>
              <w:spacing w:after="0"/>
              <w:rPr>
                <w:rFonts w:ascii="Arial" w:cs="Arial" w:eastAsia="Arial" w:hAnsi="Arial"/>
                <w:sz w:val="14"/>
                <w:szCs w:val="14"/>
                <w:color w:val="0000FF"/>
              </w:rPr>
            </w:pPr>
            <w:hyperlink w:anchor="page40">
              <w:r>
                <w:rPr>
                  <w:rFonts w:ascii="Arial" w:cs="Arial" w:eastAsia="Arial" w:hAnsi="Arial"/>
                  <w:sz w:val="14"/>
                  <w:szCs w:val="14"/>
                  <w:color w:val="0000FF"/>
                </w:rPr>
                <w:t>40</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860" w:type="dxa"/>
            <w:vAlign w:val="bottom"/>
            <w:gridSpan w:val="5"/>
          </w:tcPr>
          <w:p>
            <w:pPr>
              <w:spacing w:after="0"/>
              <w:rPr>
                <w:rFonts w:ascii="Arial" w:cs="Arial" w:eastAsia="Arial" w:hAnsi="Arial"/>
                <w:sz w:val="14"/>
                <w:szCs w:val="14"/>
                <w:color w:val="0000FF"/>
              </w:rPr>
            </w:pPr>
            <w:hyperlink w:anchor="page40">
              <w:r>
                <w:rPr>
                  <w:rFonts w:ascii="Arial" w:cs="Arial" w:eastAsia="Arial" w:hAnsi="Arial"/>
                  <w:sz w:val="14"/>
                  <w:szCs w:val="14"/>
                  <w:color w:val="0000FF"/>
                </w:rPr>
                <w:t>Item 1A.</w:t>
              </w:r>
            </w:hyperlink>
          </w:p>
        </w:tc>
        <w:tc>
          <w:tcPr>
            <w:tcW w:w="9440" w:type="dxa"/>
            <w:vAlign w:val="bottom"/>
            <w:gridSpan w:val="18"/>
          </w:tcPr>
          <w:p>
            <w:pPr>
              <w:ind w:left="260"/>
              <w:spacing w:after="0"/>
              <w:rPr>
                <w:rFonts w:ascii="Arial" w:cs="Arial" w:eastAsia="Arial" w:hAnsi="Arial"/>
                <w:sz w:val="14"/>
                <w:szCs w:val="14"/>
                <w:color w:val="0000FF"/>
              </w:rPr>
            </w:pPr>
            <w:hyperlink w:anchor="page40">
              <w:r>
                <w:rPr>
                  <w:rFonts w:ascii="Arial" w:cs="Arial" w:eastAsia="Arial" w:hAnsi="Arial"/>
                  <w:sz w:val="14"/>
                  <w:szCs w:val="14"/>
                  <w:color w:val="0000FF"/>
                </w:rPr>
                <w:t>Risk Factors</w:t>
              </w:r>
            </w:hyperlink>
          </w:p>
        </w:tc>
        <w:tc>
          <w:tcPr>
            <w:tcW w:w="920" w:type="dxa"/>
            <w:vAlign w:val="bottom"/>
          </w:tcPr>
          <w:p>
            <w:pPr>
              <w:jc w:val="right"/>
              <w:spacing w:after="0"/>
              <w:rPr>
                <w:rFonts w:ascii="Arial" w:cs="Arial" w:eastAsia="Arial" w:hAnsi="Arial"/>
                <w:sz w:val="14"/>
                <w:szCs w:val="14"/>
                <w:color w:val="0000FF"/>
              </w:rPr>
            </w:pPr>
            <w:hyperlink w:anchor="page40">
              <w:r>
                <w:rPr>
                  <w:rFonts w:ascii="Arial" w:cs="Arial" w:eastAsia="Arial" w:hAnsi="Arial"/>
                  <w:sz w:val="14"/>
                  <w:szCs w:val="14"/>
                  <w:color w:val="0000FF"/>
                </w:rPr>
                <w:t>40</w:t>
              </w:r>
            </w:hyperlink>
          </w:p>
        </w:tc>
      </w:tr>
      <w:tr>
        <w:trPr>
          <w:trHeight w:val="20"/>
        </w:trPr>
        <w:tc>
          <w:tcPr>
            <w:tcW w:w="2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40">
              <w:r>
                <w:rPr>
                  <w:rFonts w:ascii="Arial" w:cs="Arial" w:eastAsia="Arial" w:hAnsi="Arial"/>
                  <w:sz w:val="14"/>
                  <w:szCs w:val="14"/>
                  <w:color w:val="0000FF"/>
                  <w:w w:val="88"/>
                </w:rPr>
                <w:t>Item 6.</w:t>
              </w:r>
            </w:hyperlink>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40">
              <w:r>
                <w:rPr>
                  <w:rFonts w:ascii="Arial" w:cs="Arial" w:eastAsia="Arial" w:hAnsi="Arial"/>
                  <w:sz w:val="14"/>
                  <w:szCs w:val="14"/>
                  <w:color w:val="0000FF"/>
                </w:rPr>
                <w:t>Exhibits</w:t>
              </w:r>
            </w:hyperlink>
          </w:p>
        </w:tc>
        <w:tc>
          <w:tcPr>
            <w:tcW w:w="920" w:type="dxa"/>
            <w:vAlign w:val="bottom"/>
          </w:tcPr>
          <w:p>
            <w:pPr>
              <w:jc w:val="right"/>
              <w:spacing w:after="0"/>
              <w:rPr>
                <w:rFonts w:ascii="Arial" w:cs="Arial" w:eastAsia="Arial" w:hAnsi="Arial"/>
                <w:sz w:val="14"/>
                <w:szCs w:val="14"/>
                <w:color w:val="0000FF"/>
              </w:rPr>
            </w:pPr>
            <w:hyperlink w:anchor="page40">
              <w:r>
                <w:rPr>
                  <w:rFonts w:ascii="Arial" w:cs="Arial" w:eastAsia="Arial" w:hAnsi="Arial"/>
                  <w:sz w:val="14"/>
                  <w:szCs w:val="14"/>
                  <w:color w:val="0000FF"/>
                </w:rPr>
                <w:t>40</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4"/>
        </w:trPr>
        <w:tc>
          <w:tcPr>
            <w:tcW w:w="280" w:type="dxa"/>
            <w:vAlign w:val="bottom"/>
          </w:tcPr>
          <w:p>
            <w:pPr>
              <w:spacing w:after="0"/>
              <w:rPr>
                <w:sz w:val="21"/>
                <w:szCs w:val="21"/>
                <w:color w:val="auto"/>
              </w:rPr>
            </w:pPr>
          </w:p>
        </w:tc>
        <w:tc>
          <w:tcPr>
            <w:tcW w:w="580" w:type="dxa"/>
            <w:vAlign w:val="bottom"/>
            <w:tcBorders>
              <w:bottom w:val="single" w:sz="8" w:color="0000FF"/>
            </w:tcBorders>
            <w:gridSpan w:val="4"/>
          </w:tcPr>
          <w:p>
            <w:pPr>
              <w:spacing w:after="0"/>
              <w:rPr>
                <w:rFonts w:ascii="Arial" w:cs="Arial" w:eastAsia="Arial" w:hAnsi="Arial"/>
                <w:sz w:val="14"/>
                <w:szCs w:val="14"/>
                <w:color w:val="0000FF"/>
                <w:w w:val="83"/>
              </w:rPr>
            </w:pPr>
            <w:hyperlink w:anchor="page41">
              <w:r>
                <w:rPr>
                  <w:rFonts w:ascii="Arial" w:cs="Arial" w:eastAsia="Arial" w:hAnsi="Arial"/>
                  <w:sz w:val="14"/>
                  <w:szCs w:val="14"/>
                  <w:color w:val="0000FF"/>
                  <w:w w:val="83"/>
                </w:rPr>
                <w:t>Signatures</w:t>
              </w:r>
            </w:hyperlink>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920" w:type="dxa"/>
            <w:vAlign w:val="bottom"/>
          </w:tcPr>
          <w:p>
            <w:pPr>
              <w:jc w:val="right"/>
              <w:spacing w:after="0"/>
              <w:rPr>
                <w:rFonts w:ascii="Arial" w:cs="Arial" w:eastAsia="Arial" w:hAnsi="Arial"/>
                <w:sz w:val="14"/>
                <w:szCs w:val="14"/>
                <w:color w:val="0000FF"/>
              </w:rPr>
            </w:pPr>
            <w:hyperlink w:anchor="page41">
              <w:r>
                <w:rPr>
                  <w:rFonts w:ascii="Arial" w:cs="Arial" w:eastAsia="Arial" w:hAnsi="Arial"/>
                  <w:sz w:val="14"/>
                  <w:szCs w:val="14"/>
                  <w:color w:val="0000FF"/>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118110</wp:posOffset>
            </wp:positionV>
            <wp:extent cx="717804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40" w:top="129" w:right="339" w:bottom="1440" w:gutter="0" w:footer="0" w:header="0"/>
        </w:sectPr>
      </w:pPr>
    </w:p>
    <w:bookmarkStart w:id="2" w:name="page3"/>
    <w:bookmarkEnd w:id="2"/>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291" w:lineRule="exact"/>
        <w:rPr>
          <w:sz w:val="20"/>
          <w:szCs w:val="20"/>
          <w:color w:val="auto"/>
        </w:rPr>
      </w:pPr>
    </w:p>
    <w:p>
      <w:pPr>
        <w:ind w:firstLine="345"/>
        <w:spacing w:after="0" w:line="277" w:lineRule="auto"/>
        <w:rPr>
          <w:sz w:val="20"/>
          <w:szCs w:val="20"/>
          <w:color w:val="auto"/>
        </w:rPr>
      </w:pPr>
      <w:r>
        <w:rPr>
          <w:rFonts w:ascii="Arial" w:cs="Arial" w:eastAsia="Arial" w:hAnsi="Arial"/>
          <w:sz w:val="14"/>
          <w:szCs w:val="14"/>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our ability to consummate acquisitions and integrate the businesses we have acquired or may acquire into our existing operations, new or planned features, products or services, management strategies, our competitive position and the COVID-19 pandemic. You can identify many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recently filed Annual Report on Form 10-K, which was filed with the Securities and Exchange Commission (the “SEC”) on February 11, 2021 (our “2020 Form 10-K”), and in our consolidated financial statements, related notes, and the other information appearing elsewhere in the 2020 Form 10-K. such Annual Report,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63" w:lineRule="exact"/>
        <w:rPr>
          <w:sz w:val="20"/>
          <w:szCs w:val="20"/>
          <w:color w:val="auto"/>
        </w:rPr>
      </w:pPr>
    </w:p>
    <w:p>
      <w:pPr>
        <w:ind w:right="240" w:firstLine="345"/>
        <w:spacing w:after="0" w:line="266" w:lineRule="auto"/>
        <w:rPr>
          <w:sz w:val="20"/>
          <w:szCs w:val="20"/>
          <w:color w:val="auto"/>
        </w:rPr>
      </w:pPr>
      <w:r>
        <w:rPr>
          <w:rFonts w:ascii="Arial" w:cs="Arial" w:eastAsia="Arial" w:hAnsi="Arial"/>
          <w:sz w:val="15"/>
          <w:szCs w:val="15"/>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7380" w:type="dxa"/>
            <w:vAlign w:val="bottom"/>
            <w:gridSpan w:val="3"/>
          </w:tcPr>
          <w:p>
            <w:pPr>
              <w:spacing w:after="0"/>
              <w:rPr>
                <w:rFonts w:ascii="Arial" w:cs="Arial" w:eastAsia="Arial" w:hAnsi="Arial"/>
                <w:sz w:val="15"/>
                <w:szCs w:val="15"/>
                <w:color w:val="0000FF"/>
              </w:rPr>
            </w:pPr>
            <w:hyperlink w:anchor="page2">
              <w:r>
                <w:rPr>
                  <w:rFonts w:ascii="Arial" w:cs="Arial" w:eastAsia="Arial" w:hAnsi="Arial"/>
                  <w:sz w:val="15"/>
                  <w:szCs w:val="15"/>
                  <w:color w:val="0000FF"/>
                </w:rPr>
                <w:t>Table of Contents</w:t>
              </w:r>
            </w:hyperlink>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540" w:type="dxa"/>
            <w:vAlign w:val="bottom"/>
            <w:gridSpan w:val="2"/>
          </w:tcPr>
          <w:p>
            <w:pPr>
              <w:spacing w:after="0"/>
              <w:rPr>
                <w:sz w:val="20"/>
                <w:szCs w:val="20"/>
                <w:color w:val="auto"/>
              </w:rPr>
            </w:pPr>
            <w:r>
              <w:rPr>
                <w:rFonts w:ascii="Arial" w:cs="Arial" w:eastAsia="Arial" w:hAnsi="Arial"/>
                <w:sz w:val="15"/>
                <w:szCs w:val="15"/>
                <w:b w:val="1"/>
                <w:bCs w:val="1"/>
                <w:color w:val="auto"/>
                <w:w w:val="97"/>
              </w:rPr>
              <w:t>PART I.</w:t>
            </w:r>
          </w:p>
        </w:tc>
        <w:tc>
          <w:tcPr>
            <w:tcW w:w="7180" w:type="dxa"/>
            <w:vAlign w:val="bottom"/>
            <w:gridSpan w:val="2"/>
          </w:tcPr>
          <w:p>
            <w:pPr>
              <w:ind w:left="180"/>
              <w:spacing w:after="0"/>
              <w:rPr>
                <w:sz w:val="20"/>
                <w:szCs w:val="20"/>
                <w:color w:val="auto"/>
              </w:rPr>
            </w:pPr>
            <w:r>
              <w:rPr>
                <w:rFonts w:ascii="Arial" w:cs="Arial" w:eastAsia="Arial" w:hAnsi="Arial"/>
                <w:sz w:val="15"/>
                <w:szCs w:val="15"/>
                <w:b w:val="1"/>
                <w:bCs w:val="1"/>
                <w:color w:val="auto"/>
              </w:rPr>
              <w:t>FINANCIAL INFORMATION</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 w:type="dxa"/>
            <w:vAlign w:val="bottom"/>
            <w:gridSpan w:val="2"/>
          </w:tcPr>
          <w:p>
            <w:pPr>
              <w:spacing w:after="0"/>
              <w:rPr>
                <w:sz w:val="20"/>
                <w:szCs w:val="20"/>
                <w:color w:val="auto"/>
              </w:rPr>
            </w:pPr>
            <w:r>
              <w:rPr>
                <w:rFonts w:ascii="Arial" w:cs="Arial" w:eastAsia="Arial" w:hAnsi="Arial"/>
                <w:sz w:val="15"/>
                <w:szCs w:val="15"/>
                <w:b w:val="1"/>
                <w:bCs w:val="1"/>
                <w:color w:val="auto"/>
              </w:rPr>
              <w:t>Item 1.</w:t>
            </w:r>
          </w:p>
        </w:tc>
        <w:tc>
          <w:tcPr>
            <w:tcW w:w="7180" w:type="dxa"/>
            <w:vAlign w:val="bottom"/>
            <w:gridSpan w:val="2"/>
          </w:tcPr>
          <w:p>
            <w:pPr>
              <w:ind w:left="220"/>
              <w:spacing w:after="0"/>
              <w:rPr>
                <w:sz w:val="20"/>
                <w:szCs w:val="20"/>
                <w:color w:val="auto"/>
              </w:rPr>
            </w:pPr>
            <w:r>
              <w:rPr>
                <w:rFonts w:ascii="Arial" w:cs="Arial" w:eastAsia="Arial" w:hAnsi="Arial"/>
                <w:sz w:val="15"/>
                <w:szCs w:val="15"/>
                <w:b w:val="1"/>
                <w:bCs w:val="1"/>
                <w:color w:val="auto"/>
              </w:rPr>
              <w:t>Financial Statements.</w:t>
            </w: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92"/>
              </w:rPr>
              <w:t>Shutterstock, Inc.</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89"/>
              </w:rPr>
              <w:t>Consolidated Balance Sheets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91"/>
              </w:rPr>
              <w:t>(In thousands, except par value amount)</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93"/>
              </w:rPr>
              <w:t>(unaudited)</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492"/>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492"/>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1"/>
        </w:trPr>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ASSETS</w:t>
            </w: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3"/>
        </w:trPr>
        <w:tc>
          <w:tcPr>
            <w:tcW w:w="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Current assets:</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300,579</w:t>
            </w:r>
          </w:p>
        </w:tc>
        <w:tc>
          <w:tcPr>
            <w:tcW w:w="10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428,574</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Accounts receivable, net of allowance of $2,463 and $4,942</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43,846</w:t>
            </w:r>
          </w:p>
        </w:tc>
        <w:tc>
          <w:tcPr>
            <w:tcW w:w="0" w:type="dxa"/>
            <w:vAlign w:val="bottom"/>
          </w:tcPr>
          <w:p>
            <w:pPr>
              <w:spacing w:after="0"/>
              <w:rPr>
                <w:sz w:val="1"/>
                <w:szCs w:val="1"/>
                <w:color w:val="auto"/>
              </w:rPr>
            </w:pPr>
          </w:p>
        </w:tc>
      </w:tr>
      <w:tr>
        <w:trPr>
          <w:trHeight w:val="181"/>
        </w:trPr>
        <w:tc>
          <w:tcPr>
            <w:tcW w:w="340" w:type="dxa"/>
            <w:vAlign w:val="bottom"/>
            <w:tcBorders>
              <w:bottom w:val="single" w:sz="8" w:color="CCEEFF"/>
            </w:tcBorders>
          </w:tcPr>
          <w:p>
            <w:pPr>
              <w:spacing w:after="0"/>
              <w:rPr>
                <w:sz w:val="15"/>
                <w:szCs w:val="15"/>
                <w:color w:val="auto"/>
              </w:rPr>
            </w:pPr>
          </w:p>
        </w:tc>
        <w:tc>
          <w:tcPr>
            <w:tcW w:w="73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16,650</w:t>
            </w:r>
          </w:p>
        </w:tc>
        <w:tc>
          <w:tcPr>
            <w:tcW w:w="0" w:type="dxa"/>
            <w:vAlign w:val="bottom"/>
          </w:tcPr>
          <w:p>
            <w:pPr>
              <w:spacing w:after="0"/>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375,676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489,070</w:t>
            </w: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48,866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50,906</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Right-of-use assets</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36,194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39,552</w:t>
            </w: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Intangible assets, net</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130,196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25,765</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89,413</w:t>
            </w: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Deferred tax assets, net</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13,566</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21,702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21,372</w:t>
            </w:r>
          </w:p>
        </w:tc>
        <w:tc>
          <w:tcPr>
            <w:tcW w:w="0" w:type="dxa"/>
            <w:vAlign w:val="bottom"/>
          </w:tcPr>
          <w:p>
            <w:pPr>
              <w:spacing w:after="0"/>
              <w:rPr>
                <w:sz w:val="1"/>
                <w:szCs w:val="1"/>
                <w:color w:val="auto"/>
              </w:rPr>
            </w:pPr>
          </w:p>
        </w:tc>
      </w:tr>
      <w:tr>
        <w:trPr>
          <w:trHeight w:val="172"/>
        </w:trPr>
        <w:tc>
          <w:tcPr>
            <w:tcW w:w="7720" w:type="dxa"/>
            <w:vAlign w:val="bottom"/>
            <w:gridSpan w:val="4"/>
          </w:tcPr>
          <w:p>
            <w:pPr>
              <w:spacing w:after="0" w:line="158" w:lineRule="exact"/>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841,177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729,644</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20" w:type="dxa"/>
            <w:vAlign w:val="bottom"/>
            <w:gridSpan w:val="4"/>
            <w:shd w:val="clear" w:color="auto" w:fill="CCEEFF"/>
          </w:tcPr>
          <w:p>
            <w:pPr>
              <w:spacing w:after="0" w:line="150" w:lineRule="exact"/>
              <w:rPr>
                <w:sz w:val="20"/>
                <w:szCs w:val="20"/>
                <w:color w:val="auto"/>
              </w:rPr>
            </w:pPr>
            <w:r>
              <w:rPr>
                <w:rFonts w:ascii="Arial" w:cs="Arial" w:eastAsia="Arial" w:hAnsi="Arial"/>
                <w:sz w:val="14"/>
                <w:szCs w:val="14"/>
                <w:b w:val="1"/>
                <w:bCs w:val="1"/>
                <w:color w:val="auto"/>
              </w:rPr>
              <w:t>LIABILITIES AND STOCKHOLDERS</w:t>
            </w:r>
            <w:r>
              <w:rPr>
                <w:rFonts w:ascii="Arial" w:cs="Arial" w:eastAsia="Arial" w:hAnsi="Arial"/>
                <w:sz w:val="14"/>
                <w:szCs w:val="14"/>
                <w:color w:val="auto"/>
              </w:rPr>
              <w:t>’</w:t>
            </w:r>
            <w:r>
              <w:rPr>
                <w:rFonts w:ascii="Arial" w:cs="Arial" w:eastAsia="Arial" w:hAnsi="Arial"/>
                <w:sz w:val="14"/>
                <w:szCs w:val="14"/>
                <w:b w:val="1"/>
                <w:bCs w:val="1"/>
                <w:color w:val="auto"/>
              </w:rPr>
              <w:t xml:space="preserve"> EQUITY</w:t>
            </w:r>
          </w:p>
        </w:tc>
        <w:tc>
          <w:tcPr>
            <w:tcW w:w="3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Current liabilities: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Accrued expenses</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95,043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67,909</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Contributor royalties payable</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26,336</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Deferred revenue</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171,131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149,843</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10,399</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18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315,454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256,929</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Deferred tax liability, net</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Lease liabilities</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38,209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41,620</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Other non-current liabilities</w:t>
            </w: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9,170</w:t>
            </w:r>
          </w:p>
        </w:tc>
        <w:tc>
          <w:tcPr>
            <w:tcW w:w="0" w:type="dxa"/>
            <w:vAlign w:val="bottom"/>
          </w:tcPr>
          <w:p>
            <w:pPr>
              <w:spacing w:after="0"/>
              <w:rPr>
                <w:sz w:val="1"/>
                <w:szCs w:val="1"/>
                <w:color w:val="auto"/>
              </w:rPr>
            </w:pPr>
          </w:p>
        </w:tc>
      </w:tr>
      <w:tr>
        <w:trPr>
          <w:trHeight w:val="172"/>
        </w:trPr>
        <w:tc>
          <w:tcPr>
            <w:tcW w:w="7720" w:type="dxa"/>
            <w:vAlign w:val="bottom"/>
            <w:tcBorders>
              <w:bottom w:val="single" w:sz="8" w:color="CCEEFF"/>
            </w:tcBorders>
            <w:gridSpan w:val="4"/>
          </w:tcPr>
          <w:p>
            <w:pPr>
              <w:ind w:left="180"/>
              <w:spacing w:after="0" w:line="158" w:lineRule="exact"/>
              <w:rPr>
                <w:sz w:val="20"/>
                <w:szCs w:val="20"/>
                <w:color w:val="auto"/>
              </w:rPr>
            </w:pPr>
            <w:r>
              <w:rPr>
                <w:rFonts w:ascii="Arial" w:cs="Arial" w:eastAsia="Arial" w:hAnsi="Arial"/>
                <w:sz w:val="14"/>
                <w:szCs w:val="14"/>
                <w:color w:val="auto"/>
              </w:rPr>
              <w:t>Total liabilities</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366,281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307,719</w:t>
            </w:r>
          </w:p>
        </w:tc>
        <w:tc>
          <w:tcPr>
            <w:tcW w:w="0" w:type="dxa"/>
            <w:vAlign w:val="bottom"/>
          </w:tcPr>
          <w:p>
            <w:pPr>
              <w:spacing w:after="0"/>
              <w:rPr>
                <w:sz w:val="1"/>
                <w:szCs w:val="1"/>
                <w:color w:val="auto"/>
              </w:rPr>
            </w:pPr>
          </w:p>
        </w:tc>
      </w:tr>
      <w:tr>
        <w:trPr>
          <w:trHeight w:val="16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Commitments and contingencies (Note 13)</w:t>
            </w: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Stockholders’ equity:</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0" w:type="dxa"/>
            <w:vAlign w:val="bottom"/>
            <w:shd w:val="clear" w:color="auto" w:fill="CCEEFF"/>
          </w:tcPr>
          <w:p>
            <w:pPr>
              <w:spacing w:after="0"/>
              <w:rPr>
                <w:sz w:val="12"/>
                <w:szCs w:val="12"/>
                <w:color w:val="auto"/>
              </w:rPr>
            </w:pPr>
          </w:p>
        </w:tc>
        <w:tc>
          <w:tcPr>
            <w:tcW w:w="7380" w:type="dxa"/>
            <w:vAlign w:val="bottom"/>
            <w:gridSpan w:val="3"/>
            <w:shd w:val="clear" w:color="auto" w:fill="CCEEFF"/>
          </w:tcPr>
          <w:p>
            <w:pPr>
              <w:ind w:left="40"/>
              <w:spacing w:after="0" w:line="144" w:lineRule="exact"/>
              <w:rPr>
                <w:sz w:val="20"/>
                <w:szCs w:val="20"/>
                <w:color w:val="auto"/>
              </w:rPr>
            </w:pPr>
            <w:r>
              <w:rPr>
                <w:rFonts w:ascii="Arial" w:cs="Arial" w:eastAsia="Arial" w:hAnsi="Arial"/>
                <w:sz w:val="14"/>
                <w:szCs w:val="14"/>
                <w:color w:val="auto"/>
                <w:w w:val="93"/>
              </w:rPr>
              <w:t>Common stock, $0.01 par value; 200,000 shares authorized; 39,191 and 38,803 shares issued and 36,591 and 36,245 shares</w:t>
            </w:r>
          </w:p>
        </w:tc>
        <w:tc>
          <w:tcPr>
            <w:tcW w:w="3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spacing w:after="0"/>
              <w:rPr>
                <w:sz w:val="15"/>
                <w:szCs w:val="15"/>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outstanding as of September 30, 2021 and December 31, 2020, respectively</w:t>
            </w:r>
          </w:p>
        </w:tc>
        <w:tc>
          <w:tcPr>
            <w:tcW w:w="38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Treasury stock, at cost; 2,600 and 2,558 shares as of September 30, 2021 and December 31, 2020, respectively</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(104,885)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(100,027)</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368,320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360,939</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Accumulated comprehensive loss</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(9,233)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(7,681)</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Retained earnings</w:t>
            </w: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220,302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168,305</w:t>
            </w:r>
          </w:p>
        </w:tc>
        <w:tc>
          <w:tcPr>
            <w:tcW w:w="0" w:type="dxa"/>
            <w:vAlign w:val="bottom"/>
          </w:tcPr>
          <w:p>
            <w:pPr>
              <w:spacing w:after="0"/>
              <w:rPr>
                <w:sz w:val="1"/>
                <w:szCs w:val="1"/>
                <w:color w:val="auto"/>
              </w:rPr>
            </w:pPr>
          </w:p>
        </w:tc>
      </w:tr>
      <w:tr>
        <w:trPr>
          <w:trHeight w:val="172"/>
        </w:trPr>
        <w:tc>
          <w:tcPr>
            <w:tcW w:w="7720" w:type="dxa"/>
            <w:vAlign w:val="bottom"/>
            <w:tcBorders>
              <w:bottom w:val="single" w:sz="8" w:color="CCEEFF"/>
            </w:tcBorders>
            <w:gridSpan w:val="4"/>
          </w:tcPr>
          <w:p>
            <w:pPr>
              <w:ind w:left="180"/>
              <w:spacing w:after="0" w:line="158" w:lineRule="exact"/>
              <w:rPr>
                <w:sz w:val="20"/>
                <w:szCs w:val="20"/>
                <w:color w:val="auto"/>
              </w:rPr>
            </w:pPr>
            <w:r>
              <w:rPr>
                <w:rFonts w:ascii="Arial" w:cs="Arial" w:eastAsia="Arial" w:hAnsi="Arial"/>
                <w:sz w:val="14"/>
                <w:szCs w:val="14"/>
                <w:color w:val="auto"/>
              </w:rPr>
              <w:t>Total stockholders’ equity</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474,896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421,925</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841,177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729,644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 w:name="page5"/>
    <w:bookmarkEnd w:id="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1"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(In thousands, except for per share data)</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600" w:type="dxa"/>
            <w:vAlign w:val="bottom"/>
          </w:tcPr>
          <w:p>
            <w:pPr>
              <w:spacing w:after="0"/>
              <w:rPr>
                <w:sz w:val="12"/>
                <w:szCs w:val="12"/>
                <w:color w:val="auto"/>
              </w:rPr>
            </w:pPr>
          </w:p>
        </w:tc>
      </w:tr>
      <w:tr>
        <w:trPr>
          <w:trHeight w:val="159"/>
        </w:trPr>
        <w:tc>
          <w:tcPr>
            <w:tcW w:w="5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jc w:val="right"/>
              <w:ind w:right="271"/>
              <w:spacing w:after="0"/>
              <w:rPr>
                <w:sz w:val="20"/>
                <w:szCs w:val="20"/>
                <w:color w:val="auto"/>
              </w:rPr>
            </w:pPr>
            <w:r>
              <w:rPr>
                <w:rFonts w:ascii="Arial" w:cs="Arial" w:eastAsia="Arial" w:hAnsi="Arial"/>
                <w:sz w:val="12"/>
                <w:szCs w:val="12"/>
                <w:b w:val="1"/>
                <w:bCs w:val="1"/>
                <w:color w:val="auto"/>
              </w:rPr>
              <w:t>September 30,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jc w:val="right"/>
              <w:ind w:right="91"/>
              <w:spacing w:after="0"/>
              <w:rPr>
                <w:sz w:val="20"/>
                <w:szCs w:val="20"/>
                <w:color w:val="auto"/>
              </w:rPr>
            </w:pPr>
            <w:r>
              <w:rPr>
                <w:rFonts w:ascii="Arial" w:cs="Arial" w:eastAsia="Arial" w:hAnsi="Arial"/>
                <w:sz w:val="12"/>
                <w:szCs w:val="12"/>
                <w:b w:val="1"/>
                <w:bCs w:val="1"/>
                <w:color w:val="auto"/>
              </w:rPr>
              <w:t>September 30,</w:t>
            </w:r>
          </w:p>
        </w:tc>
        <w:tc>
          <w:tcPr>
            <w:tcW w:w="600" w:type="dxa"/>
            <w:vAlign w:val="bottom"/>
          </w:tcPr>
          <w:p>
            <w:pPr>
              <w:spacing w:after="0"/>
              <w:rPr>
                <w:sz w:val="13"/>
                <w:szCs w:val="13"/>
                <w:color w:val="auto"/>
              </w:rPr>
            </w:pPr>
          </w:p>
        </w:tc>
      </w:tr>
      <w:tr>
        <w:trPr>
          <w:trHeight w:val="21"/>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54"/>
        </w:trPr>
        <w:tc>
          <w:tcPr>
            <w:tcW w:w="5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252"/>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jc w:val="right"/>
              <w:ind w:right="252"/>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272"/>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jc w:val="right"/>
              <w:ind w:right="272"/>
              <w:spacing w:after="0"/>
              <w:rPr>
                <w:sz w:val="20"/>
                <w:szCs w:val="20"/>
                <w:color w:val="auto"/>
              </w:rPr>
            </w:pPr>
            <w:r>
              <w:rPr>
                <w:rFonts w:ascii="Arial" w:cs="Arial" w:eastAsia="Arial" w:hAnsi="Arial"/>
                <w:sz w:val="12"/>
                <w:szCs w:val="12"/>
                <w:b w:val="1"/>
                <w:bCs w:val="1"/>
                <w:color w:val="auto"/>
                <w:w w:val="89"/>
              </w:rPr>
              <w:t>2020</w:t>
            </w:r>
          </w:p>
        </w:tc>
      </w:tr>
      <w:tr>
        <w:trPr>
          <w:trHeight w:val="21"/>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18"/>
        </w:trPr>
        <w:tc>
          <w:tcPr>
            <w:tcW w:w="5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194,439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165,227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567,632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485,742</w:t>
            </w:r>
          </w:p>
        </w:tc>
      </w:tr>
      <w:tr>
        <w:trPr>
          <w:trHeight w:val="172"/>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69,634</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60,331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199,223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193,265</w:t>
            </w:r>
          </w:p>
        </w:tc>
      </w:tr>
      <w:tr>
        <w:trPr>
          <w:trHeight w:val="187"/>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54,456</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142,273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114,872</w:t>
            </w: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13,565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36,289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36,171</w:t>
            </w:r>
          </w:p>
        </w:tc>
      </w:tr>
      <w:tr>
        <w:trPr>
          <w:trHeight w:val="187"/>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34,615</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83,761</w:t>
            </w:r>
          </w:p>
        </w:tc>
      </w:tr>
      <w:tr>
        <w:trPr>
          <w:trHeight w:val="172"/>
        </w:trPr>
        <w:tc>
          <w:tcPr>
            <w:tcW w:w="5940" w:type="dxa"/>
            <w:vAlign w:val="bottom"/>
            <w:tcBorders>
              <w:bottom w:val="single" w:sz="8" w:color="CCEEFF"/>
            </w:tcBorders>
          </w:tcPr>
          <w:p>
            <w:pPr>
              <w:ind w:left="280"/>
              <w:spacing w:after="0" w:line="158" w:lineRule="exact"/>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172,270</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135,880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474,120</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428,069</w:t>
            </w:r>
          </w:p>
        </w:tc>
      </w:tr>
      <w:tr>
        <w:trPr>
          <w:trHeight w:val="178"/>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operations</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93,512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57,673</w:t>
            </w:r>
          </w:p>
        </w:tc>
      </w:tr>
      <w:tr>
        <w:trPr>
          <w:trHeight w:val="181"/>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 / income, net</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178"/>
        </w:trPr>
        <w:tc>
          <w:tcPr>
            <w:tcW w:w="5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Income before income taxes</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90,624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57,167</w:t>
            </w:r>
          </w:p>
        </w:tc>
      </w:tr>
      <w:tr>
        <w:trPr>
          <w:trHeight w:val="181"/>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15,627</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11,280</w:t>
            </w:r>
          </w:p>
        </w:tc>
      </w:tr>
      <w:tr>
        <w:trPr>
          <w:trHeight w:val="180"/>
        </w:trPr>
        <w:tc>
          <w:tcPr>
            <w:tcW w:w="5940" w:type="dxa"/>
            <w:vAlign w:val="bottom"/>
            <w:tcBorders>
              <w:bottom w:val="single" w:sz="8" w:color="CCEEFF"/>
            </w:tcBorders>
            <w:shd w:val="clear" w:color="auto" w:fill="CCEEFF"/>
          </w:tcPr>
          <w:p>
            <w:pPr>
              <w:ind w:left="300"/>
              <w:spacing w:after="0" w:line="155" w:lineRule="exact"/>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auto"/>
            </w:tcBorders>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16,029</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1"/>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22,582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1"/>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74,997</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1"/>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45,887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5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5"/>
        </w:trPr>
        <w:tc>
          <w:tcPr>
            <w:tcW w:w="594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30"/>
        </w:trPr>
        <w:tc>
          <w:tcPr>
            <w:tcW w:w="5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36,622</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36,510</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35,713</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5"/>
        </w:trPr>
        <w:tc>
          <w:tcPr>
            <w:tcW w:w="594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37,417</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37,285</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36,095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 w:name="page6"/>
    <w:bookmarkEnd w:id="5"/>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4"/>
              </w:rPr>
              <w:t>Three Months Ended</w:t>
            </w:r>
          </w:p>
        </w:tc>
        <w:tc>
          <w:tcPr>
            <w:tcW w:w="360" w:type="dxa"/>
            <w:vAlign w:val="bottom"/>
          </w:tcPr>
          <w:p>
            <w:pPr>
              <w:spacing w:after="0"/>
              <w:rPr>
                <w:sz w:val="12"/>
                <w:szCs w:val="12"/>
                <w:color w:val="auto"/>
              </w:rPr>
            </w:pPr>
          </w:p>
        </w:tc>
        <w:tc>
          <w:tcPr>
            <w:tcW w:w="19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Nine Months Ended</w:t>
            </w:r>
          </w:p>
        </w:tc>
      </w:tr>
      <w:tr>
        <w:trPr>
          <w:trHeight w:val="159"/>
        </w:trPr>
        <w:tc>
          <w:tcPr>
            <w:tcW w:w="6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3"/>
          </w:tcPr>
          <w:p>
            <w:pPr>
              <w:jc w:val="center"/>
              <w:ind w:left="474"/>
              <w:spacing w:after="0"/>
              <w:rPr>
                <w:sz w:val="20"/>
                <w:szCs w:val="20"/>
                <w:color w:val="auto"/>
              </w:rPr>
            </w:pPr>
            <w:r>
              <w:rPr>
                <w:rFonts w:ascii="Arial" w:cs="Arial" w:eastAsia="Arial" w:hAnsi="Arial"/>
                <w:sz w:val="12"/>
                <w:szCs w:val="12"/>
                <w:b w:val="1"/>
                <w:bCs w:val="1"/>
                <w:color w:val="auto"/>
                <w:w w:val="92"/>
              </w:rPr>
              <w:t>September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left="474"/>
              <w:spacing w:after="0"/>
              <w:rPr>
                <w:sz w:val="20"/>
                <w:szCs w:val="20"/>
                <w:color w:val="auto"/>
              </w:rPr>
            </w:pPr>
            <w:r>
              <w:rPr>
                <w:rFonts w:ascii="Arial" w:cs="Arial" w:eastAsia="Arial" w:hAnsi="Arial"/>
                <w:sz w:val="12"/>
                <w:szCs w:val="12"/>
                <w:b w:val="1"/>
                <w:bCs w:val="1"/>
                <w:color w:val="auto"/>
                <w:w w:val="90"/>
              </w:rPr>
              <w:t>September 30,</w:t>
            </w:r>
          </w:p>
        </w:tc>
        <w:tc>
          <w:tcPr>
            <w:tcW w:w="540" w:type="dxa"/>
            <w:vAlign w:val="bottom"/>
          </w:tcPr>
          <w:p>
            <w:pPr>
              <w:spacing w:after="0"/>
              <w:rPr>
                <w:sz w:val="13"/>
                <w:szCs w:val="13"/>
                <w:color w:val="auto"/>
              </w:rPr>
            </w:pP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4"/>
        </w:trPr>
        <w:tc>
          <w:tcPr>
            <w:tcW w:w="6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26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jc w:val="right"/>
              <w:ind w:right="193"/>
              <w:spacing w:after="0"/>
              <w:rPr>
                <w:sz w:val="20"/>
                <w:szCs w:val="20"/>
                <w:color w:val="auto"/>
              </w:rPr>
            </w:pPr>
            <w:r>
              <w:rPr>
                <w:rFonts w:ascii="Arial" w:cs="Arial" w:eastAsia="Arial" w:hAnsi="Arial"/>
                <w:sz w:val="12"/>
                <w:szCs w:val="12"/>
                <w:b w:val="1"/>
                <w:bCs w:val="1"/>
                <w:color w:val="auto"/>
                <w:w w:val="97"/>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ind w:left="26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2020</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64"/>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4"/>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7"/>
              </w:rPr>
              <w:t>16,029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7"/>
              </w:rPr>
              <w:t>74,997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45,887</w:t>
            </w:r>
          </w:p>
        </w:tc>
      </w:tr>
      <w:tr>
        <w:trPr>
          <w:trHeight w:val="181"/>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 currency translation loss</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w w:val="90"/>
              </w:rPr>
              <w:t>(1,842)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94"/>
              </w:rPr>
              <w:t>(1,552)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0"/>
              </w:rPr>
              <w:t>(2,908)</w:t>
            </w:r>
          </w:p>
        </w:tc>
      </w:tr>
      <w:tr>
        <w:trPr>
          <w:trHeight w:val="178"/>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90"/>
              </w:rPr>
              <w:t>(1,842)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4"/>
              </w:rPr>
              <w:t>(1,552)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90"/>
              </w:rPr>
              <w:t>(2,908)</w:t>
            </w:r>
          </w:p>
        </w:tc>
      </w:tr>
      <w:tr>
        <w:trPr>
          <w:trHeight w:val="172"/>
        </w:trPr>
        <w:tc>
          <w:tcPr>
            <w:tcW w:w="6560" w:type="dxa"/>
            <w:vAlign w:val="bottom"/>
          </w:tcPr>
          <w:p>
            <w:pPr>
              <w:spacing w:after="0" w:line="158" w:lineRule="exact"/>
              <w:rPr>
                <w:sz w:val="20"/>
                <w:szCs w:val="20"/>
                <w:color w:val="auto"/>
              </w:rPr>
            </w:pPr>
            <w:r>
              <w:rPr>
                <w:rFonts w:ascii="Arial" w:cs="Arial" w:eastAsia="Arial" w:hAnsi="Arial"/>
                <w:sz w:val="14"/>
                <w:szCs w:val="14"/>
                <w:color w:val="auto"/>
              </w:rPr>
              <w:t>Comprehensive income</w:t>
            </w: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97"/>
              </w:rPr>
              <w:t>14,187</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21,868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97"/>
              </w:rPr>
              <w:t>73,445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7"/>
              </w:rPr>
              <w:t>42,979</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 w:name="page7"/>
    <w:bookmarkEnd w:id="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860" w:type="dxa"/>
            <w:vAlign w:val="bottom"/>
          </w:tcPr>
          <w:p>
            <w:pPr>
              <w:spacing w:after="0"/>
              <w:rPr>
                <w:sz w:val="8"/>
                <w:szCs w:val="8"/>
                <w:color w:val="auto"/>
              </w:rPr>
            </w:pPr>
          </w:p>
        </w:tc>
        <w:tc>
          <w:tcPr>
            <w:tcW w:w="1640" w:type="dxa"/>
            <w:vAlign w:val="bottom"/>
            <w:gridSpan w:val="5"/>
            <w:vMerge w:val="restart"/>
          </w:tcPr>
          <w:p>
            <w:pPr>
              <w:ind w:left="460"/>
              <w:spacing w:after="0"/>
              <w:rPr>
                <w:sz w:val="20"/>
                <w:szCs w:val="20"/>
                <w:color w:val="auto"/>
              </w:rPr>
            </w:pPr>
            <w:r>
              <w:rPr>
                <w:rFonts w:ascii="Arial" w:cs="Arial" w:eastAsia="Arial" w:hAnsi="Arial"/>
                <w:sz w:val="9"/>
                <w:szCs w:val="9"/>
                <w:b w:val="1"/>
                <w:bCs w:val="1"/>
                <w:color w:val="auto"/>
              </w:rPr>
              <w:t>Common Stock</w:t>
            </w:r>
          </w:p>
        </w:tc>
        <w:tc>
          <w:tcPr>
            <w:tcW w:w="1780" w:type="dxa"/>
            <w:vAlign w:val="bottom"/>
            <w:gridSpan w:val="5"/>
            <w:vMerge w:val="restart"/>
          </w:tcPr>
          <w:p>
            <w:pPr>
              <w:jc w:val="center"/>
              <w:ind w:right="100"/>
              <w:spacing w:after="0"/>
              <w:rPr>
                <w:sz w:val="20"/>
                <w:szCs w:val="20"/>
                <w:color w:val="auto"/>
              </w:rPr>
            </w:pPr>
            <w:r>
              <w:rPr>
                <w:rFonts w:ascii="Arial" w:cs="Arial" w:eastAsia="Arial" w:hAnsi="Arial"/>
                <w:sz w:val="9"/>
                <w:szCs w:val="9"/>
                <w:b w:val="1"/>
                <w:bCs w:val="1"/>
                <w:color w:val="auto"/>
                <w:w w:val="92"/>
              </w:rPr>
              <w:t>Treasury Stock</w:t>
            </w:r>
          </w:p>
        </w:tc>
        <w:tc>
          <w:tcPr>
            <w:tcW w:w="160" w:type="dxa"/>
            <w:vAlign w:val="bottom"/>
          </w:tcPr>
          <w:p>
            <w:pPr>
              <w:spacing w:after="0"/>
              <w:rPr>
                <w:sz w:val="8"/>
                <w:szCs w:val="8"/>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8"/>
                <w:szCs w:val="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860" w:type="dxa"/>
            <w:vAlign w:val="bottom"/>
          </w:tcPr>
          <w:p>
            <w:pPr>
              <w:spacing w:after="0"/>
              <w:rPr>
                <w:sz w:val="7"/>
                <w:szCs w:val="7"/>
                <w:color w:val="auto"/>
              </w:rPr>
            </w:pPr>
          </w:p>
        </w:tc>
        <w:tc>
          <w:tcPr>
            <w:tcW w:w="1640" w:type="dxa"/>
            <w:vAlign w:val="bottom"/>
            <w:gridSpan w:val="5"/>
            <w:vMerge w:val="continue"/>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tcPr>
          <w:p>
            <w:pPr>
              <w:jc w:val="center"/>
              <w:ind w:right="240"/>
              <w:spacing w:after="0" w:line="92" w:lineRule="exact"/>
              <w:rPr>
                <w:sz w:val="20"/>
                <w:szCs w:val="20"/>
                <w:color w:val="auto"/>
              </w:rPr>
            </w:pPr>
            <w:r>
              <w:rPr>
                <w:rFonts w:ascii="Arial" w:cs="Arial" w:eastAsia="Arial" w:hAnsi="Arial"/>
                <w:sz w:val="9"/>
                <w:szCs w:val="9"/>
                <w:b w:val="1"/>
                <w:bCs w:val="1"/>
                <w:color w:val="auto"/>
                <w:w w:val="99"/>
              </w:rPr>
              <w:t>Other</w:t>
            </w: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3860" w:type="dxa"/>
            <w:vAlign w:val="bottom"/>
            <w:vMerge w:val="restart"/>
          </w:tcPr>
          <w:p>
            <w:pPr>
              <w:spacing w:after="0"/>
              <w:rPr>
                <w:sz w:val="20"/>
                <w:szCs w:val="20"/>
                <w:color w:val="auto"/>
              </w:rPr>
            </w:pPr>
            <w:r>
              <w:rPr>
                <w:rFonts w:ascii="Arial" w:cs="Arial" w:eastAsia="Arial" w:hAnsi="Arial"/>
                <w:sz w:val="12"/>
                <w:szCs w:val="12"/>
                <w:b w:val="1"/>
                <w:bCs w:val="1"/>
                <w:color w:val="auto"/>
              </w:rPr>
              <w:t>Three Months Ended September 30, 2021</w:t>
            </w: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vMerge w:val="restart"/>
          </w:tcPr>
          <w:p>
            <w:pPr>
              <w:jc w:val="center"/>
              <w:ind w:right="260"/>
              <w:spacing w:after="0" w:line="92" w:lineRule="exact"/>
              <w:rPr>
                <w:sz w:val="20"/>
                <w:szCs w:val="20"/>
                <w:color w:val="auto"/>
              </w:rPr>
            </w:pPr>
            <w:r>
              <w:rPr>
                <w:rFonts w:ascii="Arial" w:cs="Arial" w:eastAsia="Arial" w:hAnsi="Arial"/>
                <w:sz w:val="9"/>
                <w:szCs w:val="9"/>
                <w:b w:val="1"/>
                <w:bCs w:val="1"/>
                <w:color w:val="auto"/>
                <w:w w:val="93"/>
              </w:rPr>
              <w:t>Paid-in</w:t>
            </w:r>
          </w:p>
        </w:tc>
        <w:tc>
          <w:tcPr>
            <w:tcW w:w="140" w:type="dxa"/>
            <w:vAlign w:val="bottom"/>
          </w:tcPr>
          <w:p>
            <w:pPr>
              <w:spacing w:after="0"/>
              <w:rPr>
                <w:sz w:val="3"/>
                <w:szCs w:val="3"/>
                <w:color w:val="auto"/>
              </w:rPr>
            </w:pPr>
          </w:p>
        </w:tc>
        <w:tc>
          <w:tcPr>
            <w:tcW w:w="1000" w:type="dxa"/>
            <w:vAlign w:val="bottom"/>
            <w:gridSpan w:val="2"/>
            <w:vMerge w:val="restart"/>
          </w:tcPr>
          <w:p>
            <w:pPr>
              <w:jc w:val="center"/>
              <w:ind w:right="240"/>
              <w:spacing w:after="0" w:line="92" w:lineRule="exact"/>
              <w:rPr>
                <w:sz w:val="20"/>
                <w:szCs w:val="20"/>
                <w:color w:val="auto"/>
              </w:rPr>
            </w:pPr>
            <w:r>
              <w:rPr>
                <w:rFonts w:ascii="Arial" w:cs="Arial" w:eastAsia="Arial" w:hAnsi="Arial"/>
                <w:sz w:val="9"/>
                <w:szCs w:val="9"/>
                <w:b w:val="1"/>
                <w:bCs w:val="1"/>
                <w:color w:val="auto"/>
                <w:w w:val="88"/>
              </w:rPr>
              <w:t>Comprehensive</w:t>
            </w:r>
          </w:p>
        </w:tc>
        <w:tc>
          <w:tcPr>
            <w:tcW w:w="180" w:type="dxa"/>
            <w:vAlign w:val="bottom"/>
          </w:tcPr>
          <w:p>
            <w:pPr>
              <w:spacing w:after="0"/>
              <w:rPr>
                <w:sz w:val="3"/>
                <w:szCs w:val="3"/>
                <w:color w:val="auto"/>
              </w:rPr>
            </w:pPr>
          </w:p>
        </w:tc>
        <w:tc>
          <w:tcPr>
            <w:tcW w:w="800" w:type="dxa"/>
            <w:vAlign w:val="bottom"/>
            <w:gridSpan w:val="2"/>
            <w:vMerge w:val="restart"/>
          </w:tcPr>
          <w:p>
            <w:pPr>
              <w:ind w:left="80"/>
              <w:spacing w:after="0" w:line="92" w:lineRule="exact"/>
              <w:rPr>
                <w:sz w:val="20"/>
                <w:szCs w:val="20"/>
                <w:color w:val="auto"/>
              </w:rPr>
            </w:pPr>
            <w:r>
              <w:rPr>
                <w:rFonts w:ascii="Arial" w:cs="Arial" w:eastAsia="Arial" w:hAnsi="Arial"/>
                <w:sz w:val="9"/>
                <w:szCs w:val="9"/>
                <w:b w:val="1"/>
                <w:bCs w:val="1"/>
                <w:color w:val="auto"/>
              </w:rPr>
              <w:t>Retained</w:t>
            </w: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3860" w:type="dxa"/>
            <w:vAlign w:val="bottom"/>
            <w:vMerge w:val="continue"/>
          </w:tcPr>
          <w:p>
            <w:pPr>
              <w:spacing w:after="0"/>
              <w:rPr>
                <w:sz w:val="2"/>
                <w:szCs w:val="2"/>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2"/>
                <w:szCs w:val="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80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2"/>
                <w:szCs w:val="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vMerge w:val="restart"/>
          </w:tcPr>
          <w:p>
            <w:pPr>
              <w:jc w:val="right"/>
              <w:ind w:right="279"/>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line="20" w:lineRule="exact"/>
              <w:rPr>
                <w:sz w:val="1"/>
                <w:szCs w:val="1"/>
                <w:color w:val="auto"/>
              </w:rPr>
            </w:pPr>
          </w:p>
        </w:tc>
      </w:tr>
      <w:tr>
        <w:trPr>
          <w:trHeight w:val="133"/>
        </w:trPr>
        <w:tc>
          <w:tcPr>
            <w:tcW w:w="38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Capital</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Income / (Loss)</w:t>
            </w:r>
          </w:p>
        </w:tc>
        <w:tc>
          <w:tcPr>
            <w:tcW w:w="1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39,173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360,404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211,956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465,334</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8,743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8,743</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(1,044)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(1,044)</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treasury shares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(7,683)</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(1,842)</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16,029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16,029</w:t>
            </w:r>
          </w:p>
        </w:tc>
        <w:tc>
          <w:tcPr>
            <w:tcW w:w="0" w:type="dxa"/>
            <w:vAlign w:val="bottom"/>
          </w:tcPr>
          <w:p>
            <w:pPr>
              <w:spacing w:after="0"/>
              <w:rPr>
                <w:sz w:val="1"/>
                <w:szCs w:val="1"/>
                <w:color w:val="auto"/>
              </w:rPr>
            </w:pPr>
          </w:p>
        </w:tc>
      </w:tr>
      <w:tr>
        <w:trPr>
          <w:trHeight w:val="18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September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(104,885)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368,320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220,302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474,896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Three Months Ended September 30, 2020</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20"/>
                <w:szCs w:val="20"/>
                <w:color w:val="auto"/>
              </w:rPr>
            </w:pPr>
            <w:r>
              <w:rPr>
                <w:rFonts w:ascii="Arial" w:cs="Arial" w:eastAsia="Arial" w:hAnsi="Arial"/>
                <w:sz w:val="12"/>
                <w:szCs w:val="12"/>
                <w:color w:val="auto"/>
              </w:rPr>
              <w:t>Balance at June 30, 2020</w:t>
            </w:r>
          </w:p>
        </w:tc>
        <w:tc>
          <w:tcPr>
            <w:tcW w:w="700" w:type="dxa"/>
            <w:vAlign w:val="bottom"/>
          </w:tcPr>
          <w:p>
            <w:pPr>
              <w:jc w:val="right"/>
              <w:spacing w:after="0"/>
              <w:rPr>
                <w:sz w:val="20"/>
                <w:szCs w:val="20"/>
                <w:color w:val="auto"/>
              </w:rPr>
            </w:pPr>
            <w:r>
              <w:rPr>
                <w:rFonts w:ascii="Arial" w:cs="Arial" w:eastAsia="Arial" w:hAnsi="Arial"/>
                <w:sz w:val="12"/>
                <w:szCs w:val="12"/>
                <w:color w:val="auto"/>
              </w:rPr>
              <w:t>38,245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(100,027)</w:t>
            </w:r>
          </w:p>
        </w:tc>
        <w:tc>
          <w:tcPr>
            <w:tcW w:w="10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319,412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(8,414)</w:t>
            </w:r>
          </w:p>
        </w:tc>
        <w:tc>
          <w:tcPr>
            <w:tcW w:w="10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132,147</w:t>
            </w:r>
          </w:p>
        </w:tc>
        <w:tc>
          <w:tcPr>
            <w:tcW w:w="10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343,500</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8,285</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Issuance of common stock, net of issuance costs</w:t>
            </w:r>
          </w:p>
        </w:tc>
        <w:tc>
          <w:tcPr>
            <w:tcW w:w="700" w:type="dxa"/>
            <w:vAlign w:val="bottom"/>
          </w:tcPr>
          <w:p>
            <w:pPr>
              <w:jc w:val="right"/>
              <w:spacing w:after="0"/>
              <w:rPr>
                <w:sz w:val="20"/>
                <w:szCs w:val="20"/>
                <w:color w:val="auto"/>
              </w:rPr>
            </w:pPr>
            <w:r>
              <w:rPr>
                <w:rFonts w:ascii="Arial" w:cs="Arial" w:eastAsia="Arial" w:hAnsi="Arial"/>
                <w:sz w:val="12"/>
                <w:szCs w:val="12"/>
                <w:color w:val="auto"/>
              </w:rPr>
              <w:t>516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23,148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23,153</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(417)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(6,149)</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(714)</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22,582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22,582</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Arial" w:cs="Arial" w:eastAsia="Arial" w:hAnsi="Arial"/>
                <w:sz w:val="12"/>
                <w:szCs w:val="12"/>
                <w:color w:val="auto"/>
              </w:rPr>
              <w:t>Balance at September 30,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38,776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350,428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(9,128)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148,580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390,240</w:t>
            </w:r>
          </w:p>
        </w:tc>
        <w:tc>
          <w:tcPr>
            <w:tcW w:w="0" w:type="dxa"/>
            <w:vAlign w:val="bottom"/>
          </w:tcPr>
          <w:p>
            <w:pPr>
              <w:spacing w:after="0"/>
              <w:rPr>
                <w:sz w:val="1"/>
                <w:szCs w:val="1"/>
                <w:color w:val="auto"/>
              </w:rPr>
            </w:pPr>
          </w:p>
        </w:tc>
      </w:tr>
      <w:tr>
        <w:trPr>
          <w:trHeight w:val="29"/>
        </w:trPr>
        <w:tc>
          <w:tcPr>
            <w:tcW w:w="38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20"/>
                <w:szCs w:val="20"/>
                <w:color w:val="auto"/>
              </w:rPr>
            </w:pPr>
            <w:r>
              <w:rPr>
                <w:rFonts w:ascii="Arial" w:cs="Arial" w:eastAsia="Arial" w:hAnsi="Arial"/>
                <w:sz w:val="12"/>
                <w:szCs w:val="12"/>
                <w:b w:val="1"/>
                <w:bCs w:val="1"/>
                <w:color w:val="auto"/>
              </w:rPr>
              <w:t>Nine Months Ended September 30, 2021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360,939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168,305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421,925</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26,639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26,639</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2,012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(241)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(21,270)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(21,273)</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treasury shares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(23,000)</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(1,552)</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74,997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74,997</w:t>
            </w:r>
          </w:p>
        </w:tc>
        <w:tc>
          <w:tcPr>
            <w:tcW w:w="0" w:type="dxa"/>
            <w:vAlign w:val="bottom"/>
          </w:tcPr>
          <w:p>
            <w:pPr>
              <w:spacing w:after="0"/>
              <w:rPr>
                <w:sz w:val="1"/>
                <w:szCs w:val="1"/>
                <w:color w:val="auto"/>
              </w:rPr>
            </w:pPr>
          </w:p>
        </w:tc>
      </w:tr>
      <w:tr>
        <w:trPr>
          <w:trHeight w:val="18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September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(104,885)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368,320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220,302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474,896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Nine Months Ended September 30, 2020</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20"/>
                <w:szCs w:val="20"/>
                <w:color w:val="auto"/>
              </w:rPr>
            </w:pPr>
            <w:r>
              <w:rPr>
                <w:rFonts w:ascii="Arial" w:cs="Arial" w:eastAsia="Arial" w:hAnsi="Arial"/>
                <w:sz w:val="12"/>
                <w:szCs w:val="12"/>
                <w:color w:val="auto"/>
              </w:rPr>
              <w:t>Balance at December 31, 2019</w:t>
            </w:r>
          </w:p>
        </w:tc>
        <w:tc>
          <w:tcPr>
            <w:tcW w:w="700" w:type="dxa"/>
            <w:vAlign w:val="bottom"/>
          </w:tcPr>
          <w:p>
            <w:pPr>
              <w:jc w:val="right"/>
              <w:spacing w:after="0"/>
              <w:rPr>
                <w:sz w:val="20"/>
                <w:szCs w:val="20"/>
                <w:color w:val="auto"/>
              </w:rPr>
            </w:pPr>
            <w:r>
              <w:rPr>
                <w:rFonts w:ascii="Arial" w:cs="Arial" w:eastAsia="Arial" w:hAnsi="Arial"/>
                <w:sz w:val="12"/>
                <w:szCs w:val="12"/>
                <w:color w:val="auto"/>
              </w:rPr>
              <w:t>38,055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(100,027)</w:t>
            </w:r>
          </w:p>
        </w:tc>
        <w:tc>
          <w:tcPr>
            <w:tcW w:w="100" w:type="dxa"/>
            <w:vAlign w:val="bottom"/>
          </w:tcPr>
          <w:p>
            <w:pPr>
              <w:spacing w:after="0"/>
              <w:rPr>
                <w:sz w:val="13"/>
                <w:szCs w:val="13"/>
                <w:color w:val="auto"/>
              </w:rPr>
            </w:pPr>
          </w:p>
        </w:tc>
        <w:tc>
          <w:tcPr>
            <w:tcW w:w="160" w:type="dxa"/>
            <w:vAlign w:val="bottom"/>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312,824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(6,220)</w:t>
            </w:r>
          </w:p>
        </w:tc>
        <w:tc>
          <w:tcPr>
            <w:tcW w:w="10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121,187</w:t>
            </w:r>
          </w:p>
        </w:tc>
        <w:tc>
          <w:tcPr>
            <w:tcW w:w="100" w:type="dxa"/>
            <w:vAlign w:val="bottom"/>
          </w:tcPr>
          <w:p>
            <w:pPr>
              <w:spacing w:after="0"/>
              <w:rPr>
                <w:sz w:val="13"/>
                <w:szCs w:val="13"/>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328,145</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Cumulative effect of accounting change (Note 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50"/>
        </w:trPr>
        <w:tc>
          <w:tcPr>
            <w:tcW w:w="3860" w:type="dxa"/>
            <w:vAlign w:val="bottom"/>
          </w:tcPr>
          <w:p>
            <w:pPr>
              <w:spacing w:after="0"/>
              <w:rPr>
                <w:sz w:val="20"/>
                <w:szCs w:val="20"/>
                <w:color w:val="auto"/>
              </w:rPr>
            </w:pPr>
            <w:r>
              <w:rPr>
                <w:rFonts w:ascii="Arial" w:cs="Arial" w:eastAsia="Arial" w:hAnsi="Arial"/>
                <w:sz w:val="12"/>
                <w:szCs w:val="12"/>
                <w:color w:val="auto"/>
              </w:rPr>
              <w:t>Balance at January 1, 2020</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38,055</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(100,027)</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312,824</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(6,220)</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120,940</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327,898</w:t>
            </w: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17,681</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Issuance of common stock, net of issuance costs</w:t>
            </w:r>
          </w:p>
        </w:tc>
        <w:tc>
          <w:tcPr>
            <w:tcW w:w="700" w:type="dxa"/>
            <w:vAlign w:val="bottom"/>
          </w:tcPr>
          <w:p>
            <w:pPr>
              <w:jc w:val="right"/>
              <w:spacing w:after="0"/>
              <w:rPr>
                <w:sz w:val="20"/>
                <w:szCs w:val="20"/>
                <w:color w:val="auto"/>
              </w:rPr>
            </w:pPr>
            <w:r>
              <w:rPr>
                <w:rFonts w:ascii="Arial" w:cs="Arial" w:eastAsia="Arial" w:hAnsi="Arial"/>
                <w:sz w:val="12"/>
                <w:szCs w:val="12"/>
                <w:color w:val="auto"/>
              </w:rPr>
              <w:t>516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23,148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23,153</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(3,851)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(3,853)</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(18,247)</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(2,908)</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45,887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45,887</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Arial" w:cs="Arial" w:eastAsia="Arial" w:hAnsi="Arial"/>
                <w:sz w:val="12"/>
                <w:szCs w:val="12"/>
                <w:color w:val="auto"/>
              </w:rPr>
              <w:t>Balance at September 30,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38,776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350,428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(9,128)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148,580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390,240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 w:name="page8"/>
    <w:bookmarkEnd w:id="7"/>
    <w:p>
      <w:pPr>
        <w:ind w:left="32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8" w:lineRule="exact"/>
        <w:rPr>
          <w:sz w:val="20"/>
          <w:szCs w:val="20"/>
          <w:color w:val="auto"/>
        </w:rPr>
      </w:pPr>
    </w:p>
    <w:p>
      <w:pPr>
        <w:jc w:val="center"/>
        <w:ind w:left="8700"/>
        <w:spacing w:after="0"/>
        <w:rPr>
          <w:sz w:val="20"/>
          <w:szCs w:val="20"/>
          <w:color w:val="auto"/>
        </w:rPr>
      </w:pPr>
      <w:r>
        <w:rPr>
          <w:rFonts w:ascii="Arial" w:cs="Arial" w:eastAsia="Arial" w:hAnsi="Arial"/>
          <w:sz w:val="12"/>
          <w:szCs w:val="12"/>
          <w:b w:val="1"/>
          <w:bCs w:val="1"/>
          <w:color w:val="auto"/>
        </w:rPr>
        <w:t>Nine Months Ended</w:t>
      </w:r>
    </w:p>
    <w:p>
      <w:pPr>
        <w:spacing w:after="0" w:line="14" w:lineRule="exact"/>
        <w:rPr>
          <w:sz w:val="20"/>
          <w:szCs w:val="20"/>
          <w:color w:val="auto"/>
        </w:rPr>
      </w:pPr>
    </w:p>
    <w:p>
      <w:pPr>
        <w:jc w:val="center"/>
        <w:ind w:left="8700"/>
        <w:spacing w:after="0"/>
        <w:rPr>
          <w:sz w:val="20"/>
          <w:szCs w:val="20"/>
          <w:color w:val="auto"/>
        </w:rPr>
      </w:pPr>
      <w:r>
        <w:rPr>
          <w:rFonts w:ascii="Arial" w:cs="Arial" w:eastAsia="Arial" w:hAnsi="Arial"/>
          <w:sz w:val="12"/>
          <w:szCs w:val="12"/>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2020</w:t>
            </w:r>
          </w:p>
        </w:tc>
      </w:tr>
      <w:tr>
        <w:trPr>
          <w:trHeight w:val="21"/>
        </w:trPr>
        <w:tc>
          <w:tcPr>
            <w:tcW w:w="8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4"/>
        </w:trPr>
        <w:tc>
          <w:tcPr>
            <w:tcW w:w="8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1"/>
        </w:trPr>
        <w:tc>
          <w:tcPr>
            <w:tcW w:w="8360" w:type="dxa"/>
            <w:vAlign w:val="bottom"/>
          </w:tcPr>
          <w:p>
            <w:pPr>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74,997</w:t>
            </w:r>
          </w:p>
        </w:tc>
        <w:tc>
          <w:tcPr>
            <w:tcW w:w="10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45,887</w:t>
            </w:r>
          </w:p>
        </w:tc>
      </w:tr>
      <w:tr>
        <w:trPr>
          <w:trHeight w:val="18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33,731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31,120</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Non-cash equity-based compensation</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26,639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17,681</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r>
      <w:tr>
        <w:trPr>
          <w:trHeight w:val="181"/>
        </w:trPr>
        <w:tc>
          <w:tcPr>
            <w:tcW w:w="8360" w:type="dxa"/>
            <w:vAlign w:val="bottom"/>
          </w:tcPr>
          <w:p>
            <w:pPr>
              <w:ind w:left="380"/>
              <w:spacing w:after="0"/>
              <w:rPr>
                <w:sz w:val="20"/>
                <w:szCs w:val="20"/>
                <w:color w:val="auto"/>
              </w:rPr>
            </w:pPr>
            <w:r>
              <w:rPr>
                <w:rFonts w:ascii="Arial" w:cs="Arial" w:eastAsia="Arial" w:hAnsi="Arial"/>
                <w:sz w:val="14"/>
                <w:szCs w:val="14"/>
                <w:color w:val="auto"/>
              </w:rPr>
              <w:t>Prepaid expenses and other current and non-current assets</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(11,469)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7,184</w:t>
            </w:r>
          </w:p>
        </w:tc>
      </w:tr>
      <w:tr>
        <w:trPr>
          <w:trHeight w:val="18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other current and non-current liabilities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5,297</w:t>
            </w:r>
          </w:p>
        </w:tc>
      </w:tr>
      <w:tr>
        <w:trPr>
          <w:trHeight w:val="181"/>
        </w:trPr>
        <w:tc>
          <w:tcPr>
            <w:tcW w:w="8360" w:type="dxa"/>
            <w:vAlign w:val="bottom"/>
          </w:tcPr>
          <w:p>
            <w:pPr>
              <w:ind w:left="380"/>
              <w:spacing w:after="0"/>
              <w:rPr>
                <w:sz w:val="20"/>
                <w:szCs w:val="20"/>
                <w:color w:val="auto"/>
              </w:rPr>
            </w:pPr>
            <w:r>
              <w:rPr>
                <w:rFonts w:ascii="Arial" w:cs="Arial" w:eastAsia="Arial" w:hAnsi="Arial"/>
                <w:sz w:val="14"/>
                <w:szCs w:val="14"/>
                <w:color w:val="auto"/>
              </w:rPr>
              <w:t>Long-term incentives related to acquisitions</w:t>
            </w:r>
          </w:p>
        </w:tc>
        <w:tc>
          <w:tcPr>
            <w:tcW w:w="4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(7,759)</w:t>
            </w:r>
          </w:p>
        </w:tc>
      </w:tr>
      <w:tr>
        <w:trPr>
          <w:trHeight w:val="18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Contributor royalties payable</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1"/>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revenue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13,147</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r>
      <w:tr>
        <w:trPr>
          <w:trHeight w:val="175"/>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161,858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100,225</w:t>
            </w:r>
          </w:p>
        </w:tc>
      </w:tr>
      <w:tr>
        <w:trPr>
          <w:trHeight w:val="167"/>
        </w:trPr>
        <w:tc>
          <w:tcPr>
            <w:tcW w:w="8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(21,167)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(20,277)</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Business combination, net of cash acquired</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(181,772)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Asset acquisitions</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(31,440)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content</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r>
      <w:tr>
        <w:trPr>
          <w:trHeight w:val="18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Security deposit (payment) / release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r>
      <w:tr>
        <w:trPr>
          <w:trHeight w:val="175"/>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(242,407)</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(22,088)</w:t>
            </w:r>
          </w:p>
        </w:tc>
      </w:tr>
      <w:tr>
        <w:trPr>
          <w:trHeight w:val="167"/>
        </w:trPr>
        <w:tc>
          <w:tcPr>
            <w:tcW w:w="8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Net proceeds from issuance of common stock</w:t>
            </w:r>
          </w:p>
        </w:tc>
        <w:tc>
          <w:tcPr>
            <w:tcW w:w="4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23,153</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treasury shares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629</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related to settlement of employee taxes related to RSU vesting</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(3,861)</w:t>
            </w:r>
          </w:p>
        </w:tc>
      </w:tr>
      <w:tr>
        <w:trPr>
          <w:trHeight w:val="18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Payment of cash dividend</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(18,247)</w:t>
            </w:r>
          </w:p>
        </w:tc>
      </w:tr>
      <w:tr>
        <w:trPr>
          <w:trHeight w:val="175"/>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 provided by financing activities</w:t>
            </w: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(46,426)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r>
      <w:tr>
        <w:trPr>
          <w:trHeight w:val="167"/>
        </w:trPr>
        <w:tc>
          <w:tcPr>
            <w:tcW w:w="8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exchange rate changes on cash</w:t>
            </w: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r>
      <w:tr>
        <w:trPr>
          <w:trHeight w:val="172"/>
        </w:trPr>
        <w:tc>
          <w:tcPr>
            <w:tcW w:w="8360" w:type="dxa"/>
            <w:vAlign w:val="bottom"/>
          </w:tcPr>
          <w:p>
            <w:pPr>
              <w:spacing w:after="0" w:line="158" w:lineRule="exact"/>
              <w:rPr>
                <w:sz w:val="20"/>
                <w:szCs w:val="20"/>
                <w:color w:val="auto"/>
              </w:rPr>
            </w:pPr>
            <w:r>
              <w:rPr>
                <w:rFonts w:ascii="Arial" w:cs="Arial" w:eastAsia="Arial" w:hAnsi="Arial"/>
                <w:sz w:val="14"/>
                <w:szCs w:val="14"/>
                <w:color w:val="auto"/>
              </w:rPr>
              <w:t>Net (decrease) / increase in cash, cash equivalents and restricted cash</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(127,995)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77,253</w:t>
            </w:r>
          </w:p>
        </w:tc>
      </w:tr>
      <w:tr>
        <w:trPr>
          <w:trHeight w:val="187"/>
        </w:trPr>
        <w:tc>
          <w:tcPr>
            <w:tcW w:w="8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428,574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305,874</w:t>
            </w:r>
          </w:p>
        </w:tc>
      </w:tr>
      <w:tr>
        <w:trPr>
          <w:trHeight w:val="200"/>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300,579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383,127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0"/>
        </w:trPr>
        <w:tc>
          <w:tcPr>
            <w:tcW w:w="8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Information:</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8"/>
        </w:trPr>
        <w:tc>
          <w:tcPr>
            <w:tcW w:w="8360" w:type="dxa"/>
            <w:vAlign w:val="bottom"/>
          </w:tcPr>
          <w:p>
            <w:pPr>
              <w:ind w:left="180"/>
              <w:spacing w:after="0"/>
              <w:rPr>
                <w:sz w:val="20"/>
                <w:szCs w:val="20"/>
                <w:color w:val="auto"/>
              </w:rPr>
            </w:pPr>
            <w:r>
              <w:rPr>
                <w:rFonts w:ascii="Arial" w:cs="Arial" w:eastAsia="Arial" w:hAnsi="Arial"/>
                <w:sz w:val="14"/>
                <w:szCs w:val="14"/>
                <w:color w:val="auto"/>
              </w:rPr>
              <w:t>Cash paid for income taxes</w:t>
            </w: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14,811</w:t>
            </w:r>
          </w:p>
        </w:tc>
        <w:tc>
          <w:tcPr>
            <w:tcW w:w="10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2,767</w:t>
            </w:r>
          </w:p>
        </w:tc>
      </w:tr>
    </w:tbl>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118110</wp:posOffset>
            </wp:positionV>
            <wp:extent cx="717804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40" w:top="129" w:right="339" w:bottom="1440" w:gutter="0" w:footer="0" w:header="0"/>
        </w:sectPr>
      </w:pPr>
    </w:p>
    <w:bookmarkStart w:id="8" w:name="page9"/>
    <w:bookmarkEnd w:id="8"/>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Operations and Significant Accounting Policies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Summary of Operations</w:t>
      </w:r>
    </w:p>
    <w:p>
      <w:pPr>
        <w:spacing w:after="0" w:line="138" w:lineRule="exact"/>
        <w:rPr>
          <w:sz w:val="20"/>
          <w:szCs w:val="20"/>
          <w:color w:val="auto"/>
        </w:rPr>
      </w:pPr>
    </w:p>
    <w:p>
      <w:pPr>
        <w:ind w:right="80" w:firstLine="345"/>
        <w:spacing w:after="0" w:line="266" w:lineRule="auto"/>
        <w:rPr>
          <w:sz w:val="20"/>
          <w:szCs w:val="20"/>
          <w:color w:val="auto"/>
        </w:rPr>
      </w:pPr>
      <w:r>
        <w:rPr>
          <w:rFonts w:ascii="Arial" w:cs="Arial" w:eastAsia="Arial" w:hAnsi="Arial"/>
          <w:sz w:val="15"/>
          <w:szCs w:val="15"/>
          <w:color w:val="auto"/>
        </w:rPr>
        <w:t>Shutterstock, Inc. (the “Company” or “Shutterstock”) is a leading global creative platform offering full-service solutions, high-quality content, and applications for brands, businesses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key offerings include:</w:t>
      </w:r>
    </w:p>
    <w:p>
      <w:pPr>
        <w:spacing w:after="0" w:line="138" w:lineRule="exact"/>
        <w:rPr>
          <w:sz w:val="20"/>
          <w:szCs w:val="20"/>
          <w:color w:val="auto"/>
        </w:rPr>
      </w:pPr>
    </w:p>
    <w:p>
      <w:pPr>
        <w:ind w:left="820" w:right="60" w:hanging="276"/>
        <w:spacing w:after="0" w:line="286"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48" w:lineRule="exact"/>
        <w:rPr>
          <w:rFonts w:ascii="Arial" w:cs="Arial" w:eastAsia="Arial" w:hAnsi="Arial"/>
          <w:sz w:val="15"/>
          <w:szCs w:val="15"/>
          <w:color w:val="auto"/>
        </w:rPr>
      </w:pPr>
    </w:p>
    <w:p>
      <w:pPr>
        <w:ind w:left="820" w:right="500" w:hanging="276"/>
        <w:spacing w:after="0" w:line="286"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48" w:lineRule="exact"/>
        <w:rPr>
          <w:rFonts w:ascii="Arial" w:cs="Arial" w:eastAsia="Arial" w:hAnsi="Arial"/>
          <w:sz w:val="15"/>
          <w:szCs w:val="15"/>
          <w:color w:val="auto"/>
        </w:rPr>
      </w:pPr>
    </w:p>
    <w:p>
      <w:pPr>
        <w:ind w:left="820" w:hanging="276"/>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Music - consisting of high-quality music tracks and sound effects, which are often used to complement images and footage.</w:t>
      </w:r>
    </w:p>
    <w:p>
      <w:pPr>
        <w:spacing w:after="0" w:line="103" w:lineRule="exact"/>
        <w:rPr>
          <w:rFonts w:ascii="Arial" w:cs="Arial" w:eastAsia="Arial" w:hAnsi="Arial"/>
          <w:sz w:val="15"/>
          <w:szCs w:val="15"/>
          <w:color w:val="auto"/>
        </w:rPr>
      </w:pPr>
    </w:p>
    <w:p>
      <w:pPr>
        <w:ind w:left="820" w:right="620" w:hanging="276"/>
        <w:spacing w:after="0" w:line="286"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3D - consisting of 3D models, used in a variety of industries such as advertising, media and video production, gaming, retail, education, design and architecture, following the Company’s acquisition of TurboSquid, Inc. on February 1, 2021. See Note 3 Acquisitions.</w:t>
      </w:r>
    </w:p>
    <w:p>
      <w:pPr>
        <w:spacing w:after="0" w:line="48" w:lineRule="exact"/>
        <w:rPr>
          <w:rFonts w:ascii="Arial" w:cs="Arial" w:eastAsia="Arial" w:hAnsi="Arial"/>
          <w:sz w:val="15"/>
          <w:szCs w:val="15"/>
          <w:color w:val="auto"/>
        </w:rPr>
      </w:pPr>
    </w:p>
    <w:p>
      <w:pPr>
        <w:ind w:left="820" w:right="680" w:hanging="276"/>
        <w:spacing w:after="0" w:line="286"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Creative Design Software - consisting of the Company’s online graphic design and image editing platform. On September 3, 2021, the Company completed the acquisition of substantially all of the assets and assumption of certain liabilities from PicMonkey, LLC. See Note 3 Acquisitions.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03" w:lineRule="exact"/>
        <w:rPr>
          <w:sz w:val="20"/>
          <w:szCs w:val="20"/>
          <w:color w:val="auto"/>
        </w:rPr>
      </w:pPr>
    </w:p>
    <w:p>
      <w:pPr>
        <w:ind w:right="400" w:firstLine="345"/>
        <w:spacing w:after="0" w:line="271" w:lineRule="auto"/>
        <w:rPr>
          <w:sz w:val="20"/>
          <w:szCs w:val="20"/>
          <w:color w:val="auto"/>
        </w:rPr>
      </w:pPr>
      <w:r>
        <w:rPr>
          <w:rFonts w:ascii="Arial" w:cs="Arial" w:eastAsia="Arial" w:hAnsi="Arial"/>
          <w:sz w:val="15"/>
          <w:szCs w:val="15"/>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59" w:lineRule="exact"/>
        <w:rPr>
          <w:sz w:val="20"/>
          <w:szCs w:val="20"/>
          <w:color w:val="auto"/>
        </w:rPr>
      </w:pPr>
    </w:p>
    <w:p>
      <w:pPr>
        <w:ind w:right="120" w:firstLine="345"/>
        <w:spacing w:after="0" w:line="280" w:lineRule="auto"/>
        <w:rPr>
          <w:sz w:val="20"/>
          <w:szCs w:val="20"/>
          <w:color w:val="auto"/>
        </w:rPr>
      </w:pPr>
      <w:r>
        <w:rPr>
          <w:rFonts w:ascii="Arial" w:cs="Arial" w:eastAsia="Arial" w:hAnsi="Arial"/>
          <w:sz w:val="14"/>
          <w:szCs w:val="14"/>
          <w:color w:val="auto"/>
        </w:rPr>
        <w:t>The interim Consolidated Balance Sheet as of September 30, 2021, and the Consolidated Statements of Operations, Comprehensive Income and Stockholders’ Equity for the three and nine months ended September 30, 2021 and 2020, and the Consolidated Statements of Cash Flows for the nine months ended September 30, 2021 and 2020, are unaudited. The Consolidated Balance Sheet as of December 31, 2020,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September 30, 2021, and its consolidated results of operations, comprehensive income and stockholders’ equity for the three and nine months ended September 30, 2021 and 2020, and its cash flows for the nine months ended September 30, 2021 and 2020. The financial data and the other financial information disclosed in the notes to the financial statements related to these periods are also unaudited. The results of operations for the nine months ended September 30, 2021 are not necessarily indicative of the results to be expected for the fiscal year ending December 31, 2021 or for any other future annual or interim period.</w:t>
      </w:r>
    </w:p>
    <w:p>
      <w:pPr>
        <w:spacing w:after="0" w:line="57"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These financial statements should be read in conjunction with the Company’s audited consolidated financial statements and notes thereto as of and for the year ended December 31, 2020 included in the Company’s Annual Report on Form 10-K, which was filed with the SEC on February 11, 2021.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 w:name="page10"/>
    <w:bookmarkEnd w:id="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3" w:lineRule="exact"/>
        <w:rPr>
          <w:sz w:val="20"/>
          <w:szCs w:val="20"/>
          <w:color w:val="auto"/>
        </w:rPr>
      </w:pPr>
    </w:p>
    <w:p>
      <w:pPr>
        <w:ind w:right="60" w:firstLine="345"/>
        <w:spacing w:after="0" w:line="286" w:lineRule="auto"/>
        <w:rPr>
          <w:sz w:val="20"/>
          <w:szCs w:val="20"/>
          <w:color w:val="auto"/>
        </w:rPr>
      </w:pPr>
      <w:r>
        <w:rPr>
          <w:rFonts w:ascii="Arial" w:cs="Arial" w:eastAsia="Arial" w:hAnsi="Arial"/>
          <w:sz w:val="14"/>
          <w:szCs w:val="14"/>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cash and cash equivalents consist primarily of bank deposits and money market funds.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03" w:lineRule="exact"/>
        <w:rPr>
          <w:sz w:val="20"/>
          <w:szCs w:val="20"/>
          <w:color w:val="auto"/>
        </w:rPr>
      </w:pPr>
    </w:p>
    <w:p>
      <w:pPr>
        <w:ind w:firstLine="345"/>
        <w:spacing w:after="0" w:line="271" w:lineRule="auto"/>
        <w:rPr>
          <w:sz w:val="20"/>
          <w:szCs w:val="20"/>
          <w:color w:val="auto"/>
        </w:rPr>
      </w:pPr>
      <w:r>
        <w:rPr>
          <w:rFonts w:ascii="Arial" w:cs="Arial" w:eastAsia="Arial" w:hAnsi="Arial"/>
          <w:sz w:val="15"/>
          <w:szCs w:val="15"/>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59" w:lineRule="exact"/>
        <w:rPr>
          <w:sz w:val="20"/>
          <w:szCs w:val="20"/>
          <w:color w:val="auto"/>
        </w:rPr>
      </w:pPr>
    </w:p>
    <w:p>
      <w:pPr>
        <w:jc w:val="both"/>
        <w:ind w:right="100" w:firstLine="345"/>
        <w:spacing w:after="0" w:line="271" w:lineRule="auto"/>
        <w:rPr>
          <w:sz w:val="20"/>
          <w:szCs w:val="20"/>
          <w:color w:val="auto"/>
        </w:rPr>
      </w:pPr>
      <w:r>
        <w:rPr>
          <w:rFonts w:ascii="Arial" w:cs="Arial" w:eastAsia="Arial" w:hAnsi="Arial"/>
          <w:sz w:val="15"/>
          <w:szCs w:val="15"/>
          <w:color w:val="auto"/>
        </w:rPr>
        <w:t>During the nine months ended September 30, 2021, the Company recorded bad debt expense of $0.2 million. As of September 30, 2021 and December 31, 2020, the Company’s allowance for doubtful accounts was approximately $2.5 million and $4.9 million, respectively. The allowance for doubtful accounts is included as a reduction of accounts receivable on the Consolidated Balance Sheets.</w:t>
      </w:r>
    </w:p>
    <w:p>
      <w:pPr>
        <w:spacing w:after="0" w:line="94" w:lineRule="exact"/>
        <w:rPr>
          <w:sz w:val="20"/>
          <w:szCs w:val="20"/>
          <w:color w:val="auto"/>
        </w:rPr>
      </w:pPr>
    </w:p>
    <w:p>
      <w:pPr>
        <w:ind w:firstLine="345"/>
        <w:spacing w:after="0" w:line="324" w:lineRule="auto"/>
        <w:rPr>
          <w:sz w:val="20"/>
          <w:szCs w:val="20"/>
          <w:color w:val="auto"/>
        </w:rPr>
      </w:pPr>
      <w:r>
        <w:rPr>
          <w:rFonts w:ascii="Arial" w:cs="Arial" w:eastAsia="Arial" w:hAnsi="Arial"/>
          <w:sz w:val="14"/>
          <w:szCs w:val="14"/>
          <w:color w:val="auto"/>
        </w:rPr>
        <w:t xml:space="preserve">The Company adopted ASU 2016-13, </w:t>
      </w:r>
      <w:r>
        <w:rPr>
          <w:rFonts w:ascii="Arial" w:cs="Arial" w:eastAsia="Arial" w:hAnsi="Arial"/>
          <w:sz w:val="14"/>
          <w:szCs w:val="14"/>
          <w:i w:val="1"/>
          <w:iCs w:val="1"/>
          <w:color w:val="auto"/>
        </w:rPr>
        <w:t>Financial Instruments - Credit Losses (Topic 326): Measurement of Credit Losses of Financial Instruments</w:t>
      </w:r>
      <w:r>
        <w:rPr>
          <w:rFonts w:ascii="Arial" w:cs="Arial" w:eastAsia="Arial" w:hAnsi="Arial"/>
          <w:sz w:val="14"/>
          <w:szCs w:val="14"/>
          <w:color w:val="auto"/>
        </w:rPr>
        <w:t xml:space="preserve"> (“ASU 2016-13”) on January 1, 2020, using the modified retrospective method and recorded a cumulative-effect adjustment of $0.2 million, net of tax, in retained earnings as of January 1, 2020.</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Chargeback and Sales Refund Allowance</w:t>
      </w:r>
    </w:p>
    <w:p>
      <w:pPr>
        <w:spacing w:after="0" w:line="103" w:lineRule="exact"/>
        <w:rPr>
          <w:sz w:val="20"/>
          <w:szCs w:val="20"/>
          <w:color w:val="auto"/>
        </w:rPr>
      </w:pPr>
    </w:p>
    <w:p>
      <w:pPr>
        <w:jc w:val="both"/>
        <w:ind w:right="400" w:firstLine="345"/>
        <w:spacing w:after="0" w:line="271" w:lineRule="auto"/>
        <w:rPr>
          <w:sz w:val="20"/>
          <w:szCs w:val="20"/>
          <w:color w:val="auto"/>
        </w:rPr>
      </w:pPr>
      <w:r>
        <w:rPr>
          <w:rFonts w:ascii="Arial" w:cs="Arial" w:eastAsia="Arial" w:hAnsi="Arial"/>
          <w:sz w:val="15"/>
          <w:szCs w:val="15"/>
          <w:color w:val="auto"/>
        </w:rPr>
        <w:t>The Company establishes a chargeback allowance and sales refund reserve allowance based on factors surrounding historical credit card chargeback trends, historical sales refund trends and other information. As of September 30, 2021 and December 31, 2020, the Company’s combined allowance for chargebacks and sales refunds was $0.5 million, which was included as a component of other current liabilities on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3" w:lineRule="exact"/>
        <w:rPr>
          <w:sz w:val="20"/>
          <w:szCs w:val="20"/>
          <w:color w:val="auto"/>
        </w:rPr>
      </w:pPr>
    </w:p>
    <w:p>
      <w:pPr>
        <w:jc w:val="both"/>
        <w:ind w:right="120" w:firstLine="345"/>
        <w:spacing w:after="0" w:line="271" w:lineRule="auto"/>
        <w:rPr>
          <w:sz w:val="20"/>
          <w:szCs w:val="20"/>
          <w:color w:val="auto"/>
        </w:rPr>
      </w:pPr>
      <w:r>
        <w:rPr>
          <w:rFonts w:ascii="Arial" w:cs="Arial" w:eastAsia="Arial" w:hAnsi="Arial"/>
          <w:sz w:val="15"/>
          <w:szCs w:val="15"/>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w:t>
      </w:r>
    </w:p>
    <w:p>
      <w:pPr>
        <w:spacing w:after="0" w:line="59" w:lineRule="exact"/>
        <w:rPr>
          <w:sz w:val="20"/>
          <w:szCs w:val="20"/>
          <w:color w:val="auto"/>
        </w:rPr>
      </w:pPr>
    </w:p>
    <w:p>
      <w:pPr>
        <w:ind w:right="20" w:firstLine="345"/>
        <w:spacing w:after="0" w:line="262" w:lineRule="auto"/>
        <w:rPr>
          <w:sz w:val="20"/>
          <w:szCs w:val="20"/>
          <w:color w:val="auto"/>
        </w:rPr>
      </w:pPr>
      <w:r>
        <w:rPr>
          <w:rFonts w:ascii="Arial" w:cs="Arial" w:eastAsia="Arial" w:hAnsi="Arial"/>
          <w:sz w:val="15"/>
          <w:szCs w:val="15"/>
          <w:color w:val="auto"/>
        </w:rPr>
        <w:t>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The Company expenses contract acquisition costs as incurred, to the extent that the amortization period would otherwise be one year or less.</w:t>
      </w:r>
    </w:p>
    <w:p>
      <w:pPr>
        <w:spacing w:after="0" w:line="89" w:lineRule="exact"/>
        <w:rPr>
          <w:sz w:val="20"/>
          <w:szCs w:val="20"/>
          <w:color w:val="auto"/>
        </w:rPr>
      </w:pPr>
    </w:p>
    <w:p>
      <w:pPr>
        <w:ind w:right="180" w:firstLine="345"/>
        <w:spacing w:after="0" w:line="319" w:lineRule="auto"/>
        <w:rPr>
          <w:sz w:val="20"/>
          <w:szCs w:val="20"/>
          <w:color w:val="auto"/>
        </w:rPr>
      </w:pPr>
      <w:r>
        <w:rPr>
          <w:rFonts w:ascii="Arial" w:cs="Arial" w:eastAsia="Arial" w:hAnsi="Arial"/>
          <w:sz w:val="13"/>
          <w:szCs w:val="13"/>
          <w:color w:val="auto"/>
        </w:rPr>
        <w:t>Collectability is reasonably assured at the time the electronic order or contract is entered. The majority of the Company’s customers purchase products by making an electronic payment with a credit card at the time of a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200" w:lineRule="exact"/>
        <w:rPr>
          <w:sz w:val="20"/>
          <w:szCs w:val="20"/>
          <w:color w:val="auto"/>
        </w:rPr>
      </w:pPr>
    </w:p>
    <w:p>
      <w:pPr>
        <w:spacing w:after="0" w:line="28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 w:name="page11"/>
    <w:bookmarkEnd w:id="1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60" w:firstLine="345"/>
        <w:spacing w:after="0" w:line="331" w:lineRule="auto"/>
        <w:rPr>
          <w:sz w:val="20"/>
          <w:szCs w:val="20"/>
          <w:color w:val="auto"/>
        </w:rPr>
      </w:pPr>
      <w:r>
        <w:rPr>
          <w:rFonts w:ascii="Arial" w:cs="Arial" w:eastAsia="Arial" w:hAnsi="Arial"/>
          <w:sz w:val="13"/>
          <w:szCs w:val="13"/>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Adopted Accounting Standard Updates</w:t>
      </w:r>
    </w:p>
    <w:p>
      <w:pPr>
        <w:spacing w:after="0" w:line="138" w:lineRule="exact"/>
        <w:rPr>
          <w:sz w:val="20"/>
          <w:szCs w:val="20"/>
          <w:color w:val="auto"/>
        </w:rPr>
      </w:pPr>
    </w:p>
    <w:p>
      <w:pPr>
        <w:ind w:firstLine="345"/>
        <w:spacing w:after="0" w:line="262"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The Company adopted ASU 2019-12, effective January 1, 2021. The impact of adoption of this standard on the consolidated financial statements, including accounting policies, processes and systems, was not material.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Fair Value Measurements and Long-term Investments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Measurements</w:t>
      </w:r>
    </w:p>
    <w:p>
      <w:pPr>
        <w:spacing w:after="0" w:line="103" w:lineRule="exact"/>
        <w:rPr>
          <w:sz w:val="20"/>
          <w:szCs w:val="20"/>
          <w:color w:val="auto"/>
        </w:rPr>
      </w:pPr>
    </w:p>
    <w:p>
      <w:pPr>
        <w:ind w:right="1380" w:firstLine="345"/>
        <w:spacing w:after="0" w:line="383" w:lineRule="auto"/>
        <w:rPr>
          <w:sz w:val="20"/>
          <w:szCs w:val="20"/>
          <w:color w:val="auto"/>
        </w:rPr>
      </w:pPr>
      <w:r>
        <w:rPr>
          <w:rFonts w:ascii="Arial" w:cs="Arial" w:eastAsia="Arial" w:hAnsi="Arial"/>
          <w:sz w:val="15"/>
          <w:szCs w:val="15"/>
          <w:color w:val="auto"/>
        </w:rPr>
        <w:t xml:space="preserve">The Company had no assets or liabilities requiring fair value hierarchy disclosures as of September 30, 2021 or December 31, 2020, except as noted below. </w:t>
      </w:r>
      <w:r>
        <w:rPr>
          <w:rFonts w:ascii="Arial" w:cs="Arial" w:eastAsia="Arial" w:hAnsi="Arial"/>
          <w:sz w:val="15"/>
          <w:szCs w:val="15"/>
          <w:i w:val="1"/>
          <w:iCs w:val="1"/>
          <w:color w:val="auto"/>
        </w:rPr>
        <w:t>Cash Equivalents</w:t>
      </w:r>
    </w:p>
    <w:p>
      <w:pPr>
        <w:spacing w:after="0" w:line="1" w:lineRule="exact"/>
        <w:rPr>
          <w:sz w:val="20"/>
          <w:szCs w:val="20"/>
          <w:color w:val="auto"/>
        </w:rPr>
      </w:pPr>
    </w:p>
    <w:p>
      <w:pPr>
        <w:ind w:right="340" w:firstLine="345"/>
        <w:spacing w:after="0" w:line="271" w:lineRule="auto"/>
        <w:rPr>
          <w:sz w:val="20"/>
          <w:szCs w:val="20"/>
          <w:color w:val="auto"/>
        </w:rPr>
      </w:pPr>
      <w:r>
        <w:rPr>
          <w:rFonts w:ascii="Arial" w:cs="Arial" w:eastAsia="Arial" w:hAnsi="Arial"/>
          <w:sz w:val="15"/>
          <w:szCs w:val="15"/>
          <w:color w:val="auto"/>
        </w:rPr>
        <w:t>Cash equivalents includes money market accounts and are classified as a level 1 measurement based on quoted prices in active markets for identical assets that the reporting entity can access at the measurement date. As of September 30, 2021 and December 31, 2020, the Company had cash equivalent balances of $205.1 million and $250.0 million,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Fair Value Measurements</w:t>
      </w:r>
    </w:p>
    <w:p>
      <w:pPr>
        <w:spacing w:after="0" w:line="57" w:lineRule="exact"/>
        <w:rPr>
          <w:sz w:val="20"/>
          <w:szCs w:val="20"/>
          <w:color w:val="auto"/>
        </w:rPr>
      </w:pPr>
    </w:p>
    <w:p>
      <w:pPr>
        <w:ind w:right="40" w:firstLine="345"/>
        <w:spacing w:after="0" w:line="266" w:lineRule="auto"/>
        <w:rPr>
          <w:sz w:val="20"/>
          <w:szCs w:val="20"/>
          <w:color w:val="auto"/>
        </w:rPr>
      </w:pPr>
      <w:r>
        <w:rPr>
          <w:rFonts w:ascii="Arial" w:cs="Arial" w:eastAsia="Arial" w:hAnsi="Arial"/>
          <w:sz w:val="15"/>
          <w:szCs w:val="15"/>
          <w:color w:val="auto"/>
        </w:rPr>
        <w:t>The carrying amounts of cash and cash equivalents, accounts receivable,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Long-term Investments</w:t>
      </w:r>
    </w:p>
    <w:p>
      <w:pPr>
        <w:spacing w:after="0" w:line="142" w:lineRule="exact"/>
        <w:rPr>
          <w:sz w:val="20"/>
          <w:szCs w:val="20"/>
          <w:color w:val="auto"/>
        </w:rPr>
      </w:pPr>
    </w:p>
    <w:p>
      <w:pPr>
        <w:ind w:right="40" w:firstLine="345"/>
        <w:spacing w:after="0" w:line="271" w:lineRule="auto"/>
        <w:rPr>
          <w:sz w:val="20"/>
          <w:szCs w:val="20"/>
          <w:color w:val="auto"/>
        </w:rPr>
      </w:pPr>
      <w:r>
        <w:rPr>
          <w:rFonts w:ascii="Arial" w:cs="Arial" w:eastAsia="Arial" w:hAnsi="Arial"/>
          <w:sz w:val="15"/>
          <w:szCs w:val="15"/>
          <w:color w:val="auto"/>
        </w:rPr>
        <w:t>As of September 30, 2021 and December 31, 2020,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82"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On a quarterly basis, the Company evaluates the carrying value of its long-term investments for impairment, which includes an assessment of revenue growth, earnings performance, working capital and general market conditions. As of September 30, 2021,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8" w:right="9900" w:hanging="348"/>
        <w:spacing w:after="0" w:line="414" w:lineRule="auto"/>
        <w:tabs>
          <w:tab w:leader="none" w:pos="212"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Acquisitions </w:t>
      </w:r>
      <w:r>
        <w:rPr>
          <w:rFonts w:ascii="Arial" w:cs="Arial" w:eastAsia="Arial" w:hAnsi="Arial"/>
          <w:sz w:val="14"/>
          <w:szCs w:val="14"/>
          <w:i w:val="1"/>
          <w:iCs w:val="1"/>
          <w:color w:val="auto"/>
        </w:rPr>
        <w:t>PicMonkey, LLC</w:t>
      </w:r>
    </w:p>
    <w:p>
      <w:pPr>
        <w:ind w:left="8" w:right="180" w:firstLine="345"/>
        <w:spacing w:after="0" w:line="299" w:lineRule="auto"/>
        <w:rPr>
          <w:sz w:val="20"/>
          <w:szCs w:val="20"/>
          <w:color w:val="auto"/>
        </w:rPr>
      </w:pPr>
      <w:r>
        <w:rPr>
          <w:rFonts w:ascii="Arial" w:cs="Arial" w:eastAsia="Arial" w:hAnsi="Arial"/>
          <w:sz w:val="14"/>
          <w:szCs w:val="14"/>
          <w:color w:val="auto"/>
        </w:rPr>
        <w:t>On September 3, 2021, the Company completed the acquisition of substantially all of the assets and assumption of certain liabilities from PicMonkey, LLC (“PicMonkey”), for approximately $110 million. The total purchase price was paid with existing cash on hand in the three months ended September 30, 2021. In connection with the acquisition, the Company incurred approximately $2 million of transaction costs, which is included in general and administrative expenses on the Consolidated Statements of Operations.</w:t>
      </w:r>
    </w:p>
    <w:p>
      <w:pPr>
        <w:spacing w:after="0" w:line="42" w:lineRule="exact"/>
        <w:rPr>
          <w:sz w:val="20"/>
          <w:szCs w:val="20"/>
          <w:color w:val="auto"/>
        </w:rPr>
      </w:pPr>
    </w:p>
    <w:p>
      <w:pPr>
        <w:ind w:left="8" w:firstLine="345"/>
        <w:spacing w:after="0" w:line="286" w:lineRule="auto"/>
        <w:rPr>
          <w:sz w:val="20"/>
          <w:szCs w:val="20"/>
          <w:color w:val="auto"/>
        </w:rPr>
      </w:pPr>
      <w:r>
        <w:rPr>
          <w:rFonts w:ascii="Arial" w:cs="Arial" w:eastAsia="Arial" w:hAnsi="Arial"/>
          <w:sz w:val="15"/>
          <w:szCs w:val="15"/>
          <w:color w:val="auto"/>
        </w:rPr>
        <w:t>PicMonkey is a Washington-based company that operates an online graphic design and image editing platform that enables creators of any skill level to design high-quality visual assets. The Company believes this acquisition provides Shutterstock’s global customer community with professional-grade, easy-to-use design tools.</w:t>
      </w:r>
    </w:p>
    <w:p>
      <w:pPr>
        <w:spacing w:after="0" w:line="49" w:lineRule="exact"/>
        <w:rPr>
          <w:sz w:val="20"/>
          <w:szCs w:val="20"/>
          <w:color w:val="auto"/>
        </w:rPr>
      </w:pPr>
    </w:p>
    <w:p>
      <w:pPr>
        <w:ind w:left="8" w:right="40" w:firstLine="345"/>
        <w:spacing w:after="0" w:line="266" w:lineRule="auto"/>
        <w:rPr>
          <w:sz w:val="20"/>
          <w:szCs w:val="20"/>
          <w:color w:val="auto"/>
        </w:rPr>
      </w:pPr>
      <w:r>
        <w:rPr>
          <w:rFonts w:ascii="Arial" w:cs="Arial" w:eastAsia="Arial" w:hAnsi="Arial"/>
          <w:sz w:val="15"/>
          <w:szCs w:val="15"/>
          <w:color w:val="auto"/>
        </w:rPr>
        <w:t>The identifiable intangible assets, which include customer relationships, developed technology and trade names, have a weighted average life of approximately 9.8 years. The goodwill arising from the transaction is primarily attributable to expected operational synergies and is expected to be deductible for income tax purposes. The allocation of the purchase price is preliminary and will be finalized within the allowable measurement period once independent valuations of the fair value of the assets acquired and liabilities assumed are completed.</w:t>
      </w:r>
    </w:p>
    <w:p>
      <w:pPr>
        <w:spacing w:after="0" w:line="362" w:lineRule="exact"/>
        <w:rPr>
          <w:sz w:val="20"/>
          <w:szCs w:val="20"/>
          <w:color w:val="auto"/>
        </w:rPr>
      </w:pPr>
    </w:p>
    <w:p>
      <w:pPr>
        <w:ind w:left="348"/>
        <w:spacing w:after="0"/>
        <w:rPr>
          <w:sz w:val="20"/>
          <w:szCs w:val="20"/>
          <w:color w:val="auto"/>
        </w:rPr>
      </w:pPr>
      <w:r>
        <w:rPr>
          <w:rFonts w:ascii="Arial" w:cs="Arial" w:eastAsia="Arial" w:hAnsi="Arial"/>
          <w:sz w:val="15"/>
          <w:szCs w:val="15"/>
          <w:i w:val="1"/>
          <w:iCs w:val="1"/>
          <w:color w:val="auto"/>
        </w:rPr>
        <w:t>TurboSquid, Inc.</w:t>
      </w:r>
    </w:p>
    <w:p>
      <w:pPr>
        <w:spacing w:after="0" w:line="103" w:lineRule="exact"/>
        <w:rPr>
          <w:sz w:val="20"/>
          <w:szCs w:val="20"/>
          <w:color w:val="auto"/>
        </w:rPr>
      </w:pPr>
    </w:p>
    <w:p>
      <w:pPr>
        <w:ind w:left="8" w:right="20" w:firstLine="345"/>
        <w:spacing w:after="0" w:line="271" w:lineRule="auto"/>
        <w:rPr>
          <w:sz w:val="20"/>
          <w:szCs w:val="20"/>
          <w:color w:val="auto"/>
        </w:rPr>
      </w:pPr>
      <w:r>
        <w:rPr>
          <w:rFonts w:ascii="Arial" w:cs="Arial" w:eastAsia="Arial" w:hAnsi="Arial"/>
          <w:sz w:val="15"/>
          <w:szCs w:val="15"/>
          <w:color w:val="auto"/>
        </w:rPr>
        <w:t>On February 1, 2021, the Company completed its acquisition of all of the outstanding shares of TurboSquid, Inc. (“TurboSquid”), for approximately $77.3 million. The total purchase price was paid with existing cash on hand in the three months ended March 31, 2021. In connection with the acquisition, the Company incurred approximately $1.6 million of transaction costs, which is included in general and administrative expenses on the Consolidated Statements of Operations.</w:t>
      </w:r>
    </w:p>
    <w:p>
      <w:pPr>
        <w:spacing w:after="0" w:line="59" w:lineRule="exact"/>
        <w:rPr>
          <w:sz w:val="20"/>
          <w:szCs w:val="20"/>
          <w:color w:val="auto"/>
        </w:rPr>
      </w:pPr>
    </w:p>
    <w:p>
      <w:pPr>
        <w:jc w:val="both"/>
        <w:ind w:left="8" w:right="180" w:firstLine="345"/>
        <w:spacing w:after="0" w:line="271" w:lineRule="auto"/>
        <w:rPr>
          <w:sz w:val="20"/>
          <w:szCs w:val="20"/>
          <w:color w:val="auto"/>
        </w:rPr>
      </w:pPr>
      <w:r>
        <w:rPr>
          <w:rFonts w:ascii="Arial" w:cs="Arial" w:eastAsia="Arial" w:hAnsi="Arial"/>
          <w:sz w:val="15"/>
          <w:szCs w:val="15"/>
          <w:color w:val="auto"/>
        </w:rPr>
        <w:t>TurboSquid is a Louisiana-based company that operates a marketplace offering more than one million 3D models, a marketplace for 2D images derived from 3D objects and a digital asset management solution. The Company believes this acquisition establishes Shutterstock as the premium destination for 3D models as well as 3D models in an easy-to-use 2D format.</w:t>
      </w:r>
    </w:p>
    <w:p>
      <w:pPr>
        <w:spacing w:after="0" w:line="59" w:lineRule="exact"/>
        <w:rPr>
          <w:sz w:val="20"/>
          <w:szCs w:val="20"/>
          <w:color w:val="auto"/>
        </w:rPr>
      </w:pPr>
    </w:p>
    <w:p>
      <w:pPr>
        <w:ind w:left="8" w:right="740" w:firstLine="345"/>
        <w:spacing w:after="0" w:line="367" w:lineRule="auto"/>
        <w:rPr>
          <w:sz w:val="20"/>
          <w:szCs w:val="20"/>
          <w:color w:val="auto"/>
        </w:rPr>
      </w:pPr>
      <w:r>
        <w:rPr>
          <w:rFonts w:ascii="Arial" w:cs="Arial" w:eastAsia="Arial" w:hAnsi="Arial"/>
          <w:sz w:val="13"/>
          <w:szCs w:val="13"/>
          <w:color w:val="auto"/>
        </w:rPr>
        <w:t>The identifiable intangible assets, which include customer relationships, developed technology, trade names and contributor content, have a weighted average life of approximately 8.2 years. The goodwill arising from the transaction is primarily attributable to expected operational synergies and is not deductible for income tax purposes.</w:t>
      </w:r>
    </w:p>
    <w:p>
      <w:pPr>
        <w:spacing w:after="0" w:line="301" w:lineRule="exact"/>
        <w:rPr>
          <w:sz w:val="20"/>
          <w:szCs w:val="20"/>
          <w:color w:val="auto"/>
        </w:rPr>
      </w:pPr>
    </w:p>
    <w:p>
      <w:pPr>
        <w:ind w:left="8" w:right="20" w:firstLine="345"/>
        <w:spacing w:after="0" w:line="282" w:lineRule="auto"/>
        <w:rPr>
          <w:sz w:val="20"/>
          <w:szCs w:val="20"/>
          <w:color w:val="auto"/>
        </w:rPr>
      </w:pPr>
      <w:r>
        <w:rPr>
          <w:rFonts w:ascii="Arial" w:cs="Arial" w:eastAsia="Arial" w:hAnsi="Arial"/>
          <w:sz w:val="14"/>
          <w:szCs w:val="14"/>
          <w:color w:val="auto"/>
        </w:rPr>
        <w:t>The PicMonkey and TurboSquid transactions were accounted for using the acquisition method and, accordingly, the results of the acquired businesses have been included in the Company’s results of operations from the respective acquisition dates. For the three and nine months ended September 30, 2021, revenue of $8.9 million and $20.6 million, respectively, was included in the Consolidated Statements of Operations related to these acquired companies.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12" w:name="page13"/>
    <w:bookmarkEnd w:id="12"/>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8"/>
        <w:spacing w:after="0"/>
        <w:rPr>
          <w:sz w:val="20"/>
          <w:szCs w:val="20"/>
          <w:color w:val="auto"/>
        </w:rPr>
      </w:pPr>
      <w:r>
        <w:rPr>
          <w:rFonts w:ascii="Arial" w:cs="Arial" w:eastAsia="Arial" w:hAnsi="Arial"/>
          <w:sz w:val="15"/>
          <w:szCs w:val="15"/>
          <w:color w:val="auto"/>
        </w:rPr>
        <w:t>The aggregate purchase price for these acquisitions have been allocated to the assets acquired and liabilities assumed as follows (in thousands):</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6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 acquired and liabilities assumed (in thousands):</w:t>
            </w:r>
          </w:p>
        </w:tc>
        <w:tc>
          <w:tcPr>
            <w:tcW w:w="2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2"/>
                <w:szCs w:val="12"/>
                <w:b w:val="1"/>
                <w:bCs w:val="1"/>
                <w:color w:val="auto"/>
              </w:rPr>
              <w:t>PicMonkey</w:t>
            </w:r>
            <w:r>
              <w:rPr>
                <w:rFonts w:ascii="Arial" w:cs="Arial" w:eastAsia="Arial" w:hAnsi="Arial"/>
                <w:sz w:val="15"/>
                <w:szCs w:val="15"/>
                <w:b w:val="1"/>
                <w:bCs w:val="1"/>
                <w:color w:val="auto"/>
                <w:vertAlign w:val="superscript"/>
              </w:rPr>
              <w:t>1</w:t>
            </w: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2"/>
                <w:szCs w:val="12"/>
                <w:b w:val="1"/>
                <w:bCs w:val="1"/>
                <w:color w:val="auto"/>
              </w:rPr>
              <w:t>TurboSquid</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2"/>
                <w:szCs w:val="12"/>
                <w:b w:val="1"/>
                <w:bCs w:val="1"/>
                <w:color w:val="auto"/>
              </w:rPr>
              <w:t>Total</w:t>
            </w:r>
          </w:p>
        </w:tc>
      </w:tr>
      <w:tr>
        <w:trPr>
          <w:trHeight w:val="172"/>
        </w:trPr>
        <w:tc>
          <w:tcPr>
            <w:tcW w:w="666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5,165</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5,165</w:t>
            </w:r>
          </w:p>
        </w:tc>
      </w:tr>
      <w:tr>
        <w:trPr>
          <w:trHeight w:val="187"/>
        </w:trPr>
        <w:tc>
          <w:tcPr>
            <w:tcW w:w="6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r>
      <w:tr>
        <w:trPr>
          <w:trHeight w:val="181"/>
        </w:trPr>
        <w:tc>
          <w:tcPr>
            <w:tcW w:w="6660" w:type="dxa"/>
            <w:vAlign w:val="bottom"/>
          </w:tcPr>
          <w:p>
            <w:pPr>
              <w:ind w:left="200"/>
              <w:spacing w:after="0"/>
              <w:rPr>
                <w:sz w:val="20"/>
                <w:szCs w:val="20"/>
                <w:color w:val="auto"/>
              </w:rPr>
            </w:pPr>
            <w:r>
              <w:rPr>
                <w:rFonts w:ascii="Arial" w:cs="Arial" w:eastAsia="Arial" w:hAnsi="Arial"/>
                <w:sz w:val="14"/>
                <w:szCs w:val="14"/>
                <w:color w:val="auto"/>
              </w:rPr>
              <w:t>Property and equipment</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472</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472</w:t>
            </w:r>
          </w:p>
        </w:tc>
      </w:tr>
      <w:tr>
        <w:trPr>
          <w:trHeight w:val="187"/>
        </w:trPr>
        <w:tc>
          <w:tcPr>
            <w:tcW w:w="6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Right of use asset</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r>
      <w:tr>
        <w:trPr>
          <w:trHeight w:val="181"/>
        </w:trPr>
        <w:tc>
          <w:tcPr>
            <w:tcW w:w="6660" w:type="dxa"/>
            <w:vAlign w:val="bottom"/>
          </w:tcPr>
          <w:p>
            <w:pPr>
              <w:ind w:left="100"/>
              <w:spacing w:after="0"/>
              <w:rPr>
                <w:sz w:val="20"/>
                <w:szCs w:val="20"/>
                <w:color w:val="auto"/>
              </w:rPr>
            </w:pPr>
            <w:r>
              <w:rPr>
                <w:rFonts w:ascii="Arial" w:cs="Arial" w:eastAsia="Arial" w:hAnsi="Arial"/>
                <w:sz w:val="14"/>
                <w:szCs w:val="14"/>
                <w:color w:val="auto"/>
              </w:rPr>
              <w:t>Intangible assets: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7"/>
        </w:trPr>
        <w:tc>
          <w:tcPr>
            <w:tcW w:w="6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Customer relationships</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37,800</w:t>
            </w:r>
          </w:p>
        </w:tc>
      </w:tr>
      <w:tr>
        <w:trPr>
          <w:trHeight w:val="181"/>
        </w:trPr>
        <w:tc>
          <w:tcPr>
            <w:tcW w:w="6660" w:type="dxa"/>
            <w:vAlign w:val="bottom"/>
          </w:tcPr>
          <w:p>
            <w:pPr>
              <w:ind w:left="280"/>
              <w:spacing w:after="0"/>
              <w:rPr>
                <w:sz w:val="20"/>
                <w:szCs w:val="20"/>
                <w:color w:val="auto"/>
              </w:rPr>
            </w:pPr>
            <w:r>
              <w:rPr>
                <w:rFonts w:ascii="Arial" w:cs="Arial" w:eastAsia="Arial" w:hAnsi="Arial"/>
                <w:sz w:val="14"/>
                <w:szCs w:val="14"/>
                <w:color w:val="auto"/>
              </w:rPr>
              <w:t>Trademarks</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3,000</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2,200</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5,200</w:t>
            </w:r>
          </w:p>
        </w:tc>
      </w:tr>
      <w:tr>
        <w:trPr>
          <w:trHeight w:val="187"/>
        </w:trPr>
        <w:tc>
          <w:tcPr>
            <w:tcW w:w="6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Developed technology</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20,700</w:t>
            </w:r>
          </w:p>
        </w:tc>
      </w:tr>
      <w:tr>
        <w:trPr>
          <w:trHeight w:val="181"/>
        </w:trPr>
        <w:tc>
          <w:tcPr>
            <w:tcW w:w="6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Content library</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r>
      <w:tr>
        <w:trPr>
          <w:trHeight w:val="178"/>
        </w:trPr>
        <w:tc>
          <w:tcPr>
            <w:tcW w:w="6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Intangible assets</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44,700</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21,500</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66,200</w:t>
            </w:r>
          </w:p>
        </w:tc>
      </w:tr>
      <w:tr>
        <w:trPr>
          <w:trHeight w:val="181"/>
        </w:trPr>
        <w:tc>
          <w:tcPr>
            <w:tcW w:w="6660" w:type="dxa"/>
            <w:vAlign w:val="bottom"/>
          </w:tcPr>
          <w:p>
            <w:pPr>
              <w:ind w:left="20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71,247</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59,491</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130,738</w:t>
            </w:r>
          </w:p>
        </w:tc>
      </w:tr>
      <w:tr>
        <w:trPr>
          <w:trHeight w:val="187"/>
        </w:trPr>
        <w:tc>
          <w:tcPr>
            <w:tcW w:w="6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tax asset</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172"/>
        </w:trPr>
        <w:tc>
          <w:tcPr>
            <w:tcW w:w="6660" w:type="dxa"/>
            <w:vAlign w:val="bottom"/>
          </w:tcPr>
          <w:p>
            <w:pPr>
              <w:spacing w:after="0"/>
              <w:rPr>
                <w:sz w:val="20"/>
                <w:szCs w:val="20"/>
                <w:color w:val="auto"/>
              </w:rPr>
            </w:pPr>
            <w:r>
              <w:rPr>
                <w:rFonts w:ascii="Arial" w:cs="Arial" w:eastAsia="Arial" w:hAnsi="Arial"/>
                <w:sz w:val="14"/>
                <w:szCs w:val="14"/>
                <w:color w:val="auto"/>
              </w:rPr>
              <w:t>Total assets acquired</w:t>
            </w: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120,325</w:t>
            </w: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88,181</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208,506</w:t>
            </w:r>
          </w:p>
        </w:tc>
      </w:tr>
      <w:tr>
        <w:trPr>
          <w:trHeight w:val="29"/>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6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 accrued expenses and other liabilities</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(4,685)</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(5,432)</w:t>
            </w:r>
          </w:p>
        </w:tc>
      </w:tr>
      <w:tr>
        <w:trPr>
          <w:trHeight w:val="181"/>
        </w:trPr>
        <w:tc>
          <w:tcPr>
            <w:tcW w:w="6660" w:type="dxa"/>
            <w:vAlign w:val="bottom"/>
          </w:tcPr>
          <w:p>
            <w:pPr>
              <w:ind w:left="200"/>
              <w:spacing w:after="0"/>
              <w:rPr>
                <w:sz w:val="20"/>
                <w:szCs w:val="20"/>
                <w:color w:val="auto"/>
              </w:rPr>
            </w:pPr>
            <w:r>
              <w:rPr>
                <w:rFonts w:ascii="Arial" w:cs="Arial" w:eastAsia="Arial" w:hAnsi="Arial"/>
                <w:sz w:val="14"/>
                <w:szCs w:val="14"/>
                <w:color w:val="auto"/>
              </w:rPr>
              <w:t>Contributor royalties payable</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(2,243)</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(2,243)</w:t>
            </w:r>
          </w:p>
        </w:tc>
      </w:tr>
      <w:tr>
        <w:trPr>
          <w:trHeight w:val="187"/>
        </w:trPr>
        <w:tc>
          <w:tcPr>
            <w:tcW w:w="6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(8,068)</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(8,068)</w:t>
            </w:r>
          </w:p>
        </w:tc>
      </w:tr>
      <w:tr>
        <w:trPr>
          <w:trHeight w:val="181"/>
        </w:trPr>
        <w:tc>
          <w:tcPr>
            <w:tcW w:w="6660" w:type="dxa"/>
            <w:vAlign w:val="bottom"/>
          </w:tcPr>
          <w:p>
            <w:pPr>
              <w:ind w:left="200"/>
              <w:spacing w:after="0"/>
              <w:rPr>
                <w:sz w:val="20"/>
                <w:szCs w:val="20"/>
                <w:color w:val="auto"/>
              </w:rPr>
            </w:pPr>
            <w:r>
              <w:rPr>
                <w:rFonts w:ascii="Arial" w:cs="Arial" w:eastAsia="Arial" w:hAnsi="Arial"/>
                <w:sz w:val="14"/>
                <w:szCs w:val="14"/>
                <w:color w:val="auto"/>
              </w:rPr>
              <w:t>Deferred tax liability</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(533)</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(3,923)</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(4,456)</w:t>
            </w:r>
          </w:p>
        </w:tc>
      </w:tr>
      <w:tr>
        <w:trPr>
          <w:trHeight w:val="187"/>
        </w:trPr>
        <w:tc>
          <w:tcPr>
            <w:tcW w:w="6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Lease liability</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r>
      <w:tr>
        <w:trPr>
          <w:trHeight w:val="172"/>
        </w:trPr>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liabilities assumed</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(10,768)</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(21,619)</w:t>
            </w:r>
          </w:p>
        </w:tc>
      </w:tr>
      <w:tr>
        <w:trPr>
          <w:trHeight w:val="20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assets acquired</w:t>
            </w: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109,557</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77,330</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186,887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____________________________________________________</w:t>
      </w:r>
    </w:p>
    <w:p>
      <w:pPr>
        <w:spacing w:after="0" w:line="70" w:lineRule="exact"/>
        <w:rPr>
          <w:sz w:val="20"/>
          <w:szCs w:val="20"/>
          <w:color w:val="auto"/>
        </w:rPr>
      </w:pPr>
    </w:p>
    <w:p>
      <w:pPr>
        <w:ind w:left="88" w:hanging="88"/>
        <w:spacing w:after="0"/>
        <w:tabs>
          <w:tab w:leader="none" w:pos="88"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The allocation of the purchase price is preliminary and will be finalized within the allowable measurement period once independent valuations of the fair value of the assets acquired and liabilities assumed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13" w:name="page14"/>
    <w:bookmarkEnd w:id="13"/>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345"/>
        <w:spacing w:after="0" w:line="283" w:lineRule="auto"/>
        <w:rPr>
          <w:sz w:val="20"/>
          <w:szCs w:val="20"/>
          <w:color w:val="auto"/>
        </w:rPr>
      </w:pPr>
      <w:r>
        <w:rPr>
          <w:rFonts w:ascii="Arial" w:cs="Arial" w:eastAsia="Arial" w:hAnsi="Arial"/>
          <w:sz w:val="14"/>
          <w:szCs w:val="14"/>
          <w:color w:val="auto"/>
        </w:rPr>
        <w:t>The following unaudited pro forma consolidated financial information (in thousands) reflects the results of operations of the Company for the three and nine months ended September 30, 2021 and 2020, as if the PicMonkey and TurboSquid acquisitions had been completed on January 1, 2020, after giving effect to certain purchase accounting adjustments, primarily related to intangible assets and transaction costs.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00" w:type="dxa"/>
            <w:vAlign w:val="bottom"/>
            <w:tcBorders>
              <w:bottom w:val="single" w:sz="8" w:color="CCEEFF"/>
            </w:tcBorders>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2"/>
                <w:szCs w:val="12"/>
                <w:b w:val="1"/>
                <w:bCs w:val="1"/>
                <w:color w:val="auto"/>
              </w:rPr>
              <w:t>Nine Months Ended September 30,</w:t>
            </w:r>
          </w:p>
        </w:tc>
      </w:tr>
      <w:tr>
        <w:trPr>
          <w:trHeight w:val="157"/>
        </w:trPr>
        <w:tc>
          <w:tcPr>
            <w:tcW w:w="45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2"/>
                <w:szCs w:val="12"/>
                <w:b w:val="1"/>
                <w:bCs w:val="1"/>
                <w:color w:val="auto"/>
              </w:rPr>
              <w:t>2021</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2"/>
                <w:szCs w:val="12"/>
                <w:b w:val="1"/>
                <w:bCs w:val="1"/>
                <w:color w:val="auto"/>
              </w:rPr>
              <w:t>2020</w:t>
            </w:r>
          </w:p>
        </w:tc>
      </w:tr>
      <w:tr>
        <w:trPr>
          <w:trHeight w:val="161"/>
        </w:trPr>
        <w:tc>
          <w:tcPr>
            <w:tcW w:w="4500" w:type="dxa"/>
            <w:vAlign w:val="bottom"/>
          </w:tcPr>
          <w:p>
            <w:pPr>
              <w:ind w:left="360"/>
              <w:spacing w:after="0" w:line="158" w:lineRule="exact"/>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4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As Reported</w:t>
            </w:r>
          </w:p>
        </w:tc>
        <w:tc>
          <w:tcPr>
            <w:tcW w:w="1120" w:type="dxa"/>
            <w:vAlign w:val="bottom"/>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194,439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165,227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567,632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485,742</w:t>
            </w:r>
          </w:p>
        </w:tc>
      </w:tr>
      <w:tr>
        <w:trPr>
          <w:trHeight w:val="181"/>
        </w:trPr>
        <w:tc>
          <w:tcPr>
            <w:tcW w:w="4500" w:type="dxa"/>
            <w:vAlign w:val="bottom"/>
          </w:tcPr>
          <w:p>
            <w:pPr>
              <w:ind w:left="440"/>
              <w:spacing w:after="0"/>
              <w:rPr>
                <w:sz w:val="20"/>
                <w:szCs w:val="20"/>
                <w:color w:val="auto"/>
              </w:rPr>
            </w:pPr>
            <w:r>
              <w:rPr>
                <w:rFonts w:ascii="Arial" w:cs="Arial" w:eastAsia="Arial" w:hAnsi="Arial"/>
                <w:sz w:val="14"/>
                <w:szCs w:val="14"/>
                <w:color w:val="auto"/>
              </w:rPr>
              <w:t>Pro Forma</w:t>
            </w:r>
          </w:p>
        </w:tc>
        <w:tc>
          <w:tcPr>
            <w:tcW w:w="1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6"/>
              </w:rPr>
              <w:t>199,090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178,965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589,715</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525,037</w:t>
            </w:r>
          </w:p>
        </w:tc>
      </w:tr>
      <w:tr>
        <w:trPr>
          <w:trHeight w:val="187"/>
        </w:trPr>
        <w:tc>
          <w:tcPr>
            <w:tcW w:w="4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before income taxes</w:t>
            </w: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1"/>
        </w:trPr>
        <w:tc>
          <w:tcPr>
            <w:tcW w:w="4500" w:type="dxa"/>
            <w:vAlign w:val="bottom"/>
          </w:tcPr>
          <w:p>
            <w:pPr>
              <w:ind w:left="440"/>
              <w:spacing w:after="0"/>
              <w:rPr>
                <w:sz w:val="20"/>
                <w:szCs w:val="20"/>
                <w:color w:val="auto"/>
              </w:rPr>
            </w:pPr>
            <w:r>
              <w:rPr>
                <w:rFonts w:ascii="Arial" w:cs="Arial" w:eastAsia="Arial" w:hAnsi="Arial"/>
                <w:sz w:val="14"/>
                <w:szCs w:val="14"/>
                <w:color w:val="auto"/>
              </w:rPr>
              <w:t>As Reported</w:t>
            </w:r>
          </w:p>
        </w:tc>
        <w:tc>
          <w:tcPr>
            <w:tcW w:w="1120" w:type="dxa"/>
            <w:vAlign w:val="bottom"/>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20,420</w:t>
            </w:r>
          </w:p>
        </w:tc>
        <w:tc>
          <w:tcPr>
            <w:tcW w:w="100" w:type="dxa"/>
            <w:vAlign w:val="bottom"/>
          </w:tcPr>
          <w:p>
            <w:pPr>
              <w:spacing w:after="0"/>
              <w:rPr>
                <w:sz w:val="15"/>
                <w:szCs w:val="15"/>
                <w:color w:val="auto"/>
              </w:rPr>
            </w:pPr>
          </w:p>
        </w:tc>
        <w:tc>
          <w:tcPr>
            <w:tcW w:w="1100" w:type="dxa"/>
            <w:vAlign w:val="bottom"/>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28,179</w:t>
            </w:r>
          </w:p>
        </w:tc>
        <w:tc>
          <w:tcPr>
            <w:tcW w:w="80" w:type="dxa"/>
            <w:vAlign w:val="bottom"/>
          </w:tcPr>
          <w:p>
            <w:pPr>
              <w:spacing w:after="0"/>
              <w:rPr>
                <w:sz w:val="15"/>
                <w:szCs w:val="15"/>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90,624</w:t>
            </w:r>
          </w:p>
        </w:tc>
        <w:tc>
          <w:tcPr>
            <w:tcW w:w="80" w:type="dxa"/>
            <w:vAlign w:val="bottom"/>
          </w:tcPr>
          <w:p>
            <w:pPr>
              <w:spacing w:after="0"/>
              <w:rPr>
                <w:sz w:val="15"/>
                <w:szCs w:val="15"/>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57,167</w:t>
            </w:r>
          </w:p>
        </w:tc>
      </w:tr>
      <w:tr>
        <w:trPr>
          <w:trHeight w:val="187"/>
        </w:trPr>
        <w:tc>
          <w:tcPr>
            <w:tcW w:w="4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Pro Forma</w:t>
            </w: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95,738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52,983</w:t>
            </w:r>
          </w:p>
        </w:tc>
      </w:tr>
    </w:tbl>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Asset Acquisitions</w:t>
      </w:r>
    </w:p>
    <w:p>
      <w:pPr>
        <w:spacing w:after="0" w:line="103" w:lineRule="exact"/>
        <w:rPr>
          <w:sz w:val="20"/>
          <w:szCs w:val="20"/>
          <w:color w:val="auto"/>
        </w:rPr>
      </w:pPr>
    </w:p>
    <w:p>
      <w:pPr>
        <w:ind w:right="20" w:firstLine="345"/>
        <w:spacing w:after="0" w:line="263" w:lineRule="auto"/>
        <w:rPr>
          <w:sz w:val="20"/>
          <w:szCs w:val="20"/>
          <w:color w:val="auto"/>
        </w:rPr>
      </w:pPr>
      <w:r>
        <w:rPr>
          <w:rFonts w:ascii="Arial" w:cs="Arial" w:eastAsia="Arial" w:hAnsi="Arial"/>
          <w:sz w:val="15"/>
          <w:szCs w:val="15"/>
          <w:color w:val="auto"/>
        </w:rPr>
        <w:t>In July 2021, the Company completed the acquisitions of Pattern89, Inc., Datasine Limited and assets from Shotzr, Inc. These three entities provide data driven insights through their artificial intelligence platforms. The aggregate purchase price for these transactions was approximately $35 million, and is subject to customary working capital and other adjustments and was paid from existing cash on hand. Approximately $3.6 million of the total purchase consideration was subject to contractual holdback provisions and is expected to be paid within the next 12 months. The Company has accounted for these transactions as asset acquisitions and has recorded a total of $41 million of developed technology intangible assets, which are being amortized on a straight-line basis over a useful life of three years.</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Property and Equipment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September 30, 2021</w:t>
            </w:r>
          </w:p>
        </w:tc>
        <w:tc>
          <w:tcPr>
            <w:tcW w:w="440" w:type="dxa"/>
            <w:vAlign w:val="bottom"/>
          </w:tcPr>
          <w:p>
            <w:pPr>
              <w:spacing w:after="0"/>
              <w:rPr>
                <w:sz w:val="14"/>
                <w:szCs w:val="14"/>
                <w:color w:val="auto"/>
              </w:rPr>
            </w:pPr>
          </w:p>
        </w:tc>
        <w:tc>
          <w:tcPr>
            <w:tcW w:w="1440" w:type="dxa"/>
            <w:vAlign w:val="bottom"/>
          </w:tcPr>
          <w:p>
            <w:pPr>
              <w:jc w:val="right"/>
              <w:ind w:right="52"/>
              <w:spacing w:after="0"/>
              <w:rPr>
                <w:sz w:val="20"/>
                <w:szCs w:val="20"/>
                <w:color w:val="auto"/>
              </w:rPr>
            </w:pPr>
            <w:r>
              <w:rPr>
                <w:rFonts w:ascii="Arial" w:cs="Arial" w:eastAsia="Arial" w:hAnsi="Arial"/>
                <w:sz w:val="12"/>
                <w:szCs w:val="12"/>
                <w:b w:val="1"/>
                <w:bCs w:val="1"/>
                <w:color w:val="auto"/>
                <w:w w:val="91"/>
              </w:rPr>
              <w:t>As of December 31, 2020</w:t>
            </w:r>
          </w:p>
        </w:tc>
      </w:tr>
      <w:tr>
        <w:trPr>
          <w:trHeight w:val="180"/>
        </w:trPr>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Computer equipment and software</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214,571</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193,141</w:t>
            </w:r>
          </w:p>
        </w:tc>
      </w:tr>
      <w:tr>
        <w:trPr>
          <w:trHeight w:val="181"/>
        </w:trPr>
        <w:tc>
          <w:tcPr>
            <w:tcW w:w="7380" w:type="dxa"/>
            <w:vAlign w:val="bottom"/>
          </w:tcPr>
          <w:p>
            <w:pPr>
              <w:ind w:left="360"/>
              <w:spacing w:after="0"/>
              <w:rPr>
                <w:sz w:val="20"/>
                <w:szCs w:val="20"/>
                <w:color w:val="auto"/>
              </w:rPr>
            </w:pPr>
            <w:r>
              <w:rPr>
                <w:rFonts w:ascii="Arial" w:cs="Arial" w:eastAsia="Arial" w:hAnsi="Arial"/>
                <w:sz w:val="14"/>
                <w:szCs w:val="14"/>
                <w:color w:val="auto"/>
              </w:rPr>
              <w:t>Furniture and fixtures</w:t>
            </w: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10,241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10,235</w:t>
            </w:r>
          </w:p>
        </w:tc>
      </w:tr>
      <w:tr>
        <w:trPr>
          <w:trHeight w:val="187"/>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Leasehold improvements</w:t>
            </w: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19,356</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19,382</w:t>
            </w:r>
          </w:p>
        </w:tc>
      </w:tr>
      <w:tr>
        <w:trPr>
          <w:trHeight w:val="172"/>
        </w:trPr>
        <w:tc>
          <w:tcPr>
            <w:tcW w:w="7380" w:type="dxa"/>
            <w:vAlign w:val="bottom"/>
          </w:tcPr>
          <w:p>
            <w:pPr>
              <w:ind w:left="460"/>
              <w:spacing w:after="0" w:line="158" w:lineRule="exact"/>
              <w:rPr>
                <w:sz w:val="20"/>
                <w:szCs w:val="20"/>
                <w:color w:val="auto"/>
              </w:rPr>
            </w:pPr>
            <w:r>
              <w:rPr>
                <w:rFonts w:ascii="Arial" w:cs="Arial" w:eastAsia="Arial" w:hAnsi="Arial"/>
                <w:sz w:val="14"/>
                <w:szCs w:val="14"/>
                <w:color w:val="auto"/>
              </w:rPr>
              <w:t>Property and equipment</w:t>
            </w: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244,168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222,758</w:t>
            </w:r>
          </w:p>
        </w:tc>
      </w:tr>
      <w:tr>
        <w:trPr>
          <w:trHeight w:val="187"/>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w:t>
            </w: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(195,302)</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(171,852)</w:t>
            </w:r>
          </w:p>
        </w:tc>
      </w:tr>
      <w:tr>
        <w:trPr>
          <w:trHeight w:val="172"/>
        </w:trPr>
        <w:tc>
          <w:tcPr>
            <w:tcW w:w="7380" w:type="dxa"/>
            <w:vAlign w:val="bottom"/>
          </w:tcPr>
          <w:p>
            <w:pPr>
              <w:ind w:left="460"/>
              <w:spacing w:after="0" w:line="158" w:lineRule="exact"/>
              <w:rPr>
                <w:sz w:val="20"/>
                <w:szCs w:val="20"/>
                <w:color w:val="auto"/>
              </w:rPr>
            </w:pPr>
            <w:r>
              <w:rPr>
                <w:rFonts w:ascii="Arial" w:cs="Arial" w:eastAsia="Arial" w:hAnsi="Arial"/>
                <w:sz w:val="14"/>
                <w:szCs w:val="14"/>
                <w:color w:val="auto"/>
              </w:rPr>
              <w:t>Property and equipment, net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48,866</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50,906</w:t>
            </w: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expense related to property and equipment was $7.9 million and $8.4 million for the three months ended September 30, 2021 and 2020, respectively, and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$23.8 million and $27.3 million for the nine months ended September 30, 2021 and 2020, respectively. Cost of revenues included depreciation expense of $7.1 million and $7.5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million for the three months ended September 30, 2021 and 2020, respectively, and $21.3 million and $24.3 million for the nine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respectively. General and administrative expense included depreciation expense of $0.8 million and $0.9 million for the three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respectively, and $2.5 million and $3.0 million for the nine months ended September 30, 2021 and 2020,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Capitalized Internal-Use Software</w:t>
      </w:r>
    </w:p>
    <w:p>
      <w:pPr>
        <w:spacing w:after="0" w:line="57" w:lineRule="exact"/>
        <w:rPr>
          <w:sz w:val="20"/>
          <w:szCs w:val="20"/>
          <w:color w:val="auto"/>
        </w:rPr>
      </w:pPr>
    </w:p>
    <w:p>
      <w:pPr>
        <w:ind w:right="100" w:firstLine="345"/>
        <w:spacing w:after="0" w:line="271" w:lineRule="auto"/>
        <w:rPr>
          <w:sz w:val="20"/>
          <w:szCs w:val="20"/>
          <w:color w:val="auto"/>
        </w:rPr>
      </w:pPr>
      <w:r>
        <w:rPr>
          <w:rFonts w:ascii="Arial" w:cs="Arial" w:eastAsia="Arial" w:hAnsi="Arial"/>
          <w:sz w:val="15"/>
          <w:szCs w:val="15"/>
          <w:color w:val="auto"/>
        </w:rPr>
        <w:t>The Company capitalized costs related to the development of internal-use software of $6.7 million and $6.1 million for the three months ended September 30, 2021 and 2020, respectively, and $20.9 million and $19.3 million for the nine months ended September 30, 2021 and 2020, respectively. Capitalized amounts are included as a component of property and equipment under computer equipment and software on the Consolidated Balance Sheets.</w:t>
      </w:r>
    </w:p>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4" w:name="page15"/>
    <w:bookmarkEnd w:id="1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firstLine="345"/>
        <w:spacing w:after="0" w:line="271" w:lineRule="auto"/>
        <w:rPr>
          <w:sz w:val="20"/>
          <w:szCs w:val="20"/>
          <w:color w:val="auto"/>
        </w:rPr>
      </w:pPr>
      <w:r>
        <w:rPr>
          <w:rFonts w:ascii="Arial" w:cs="Arial" w:eastAsia="Arial" w:hAnsi="Arial"/>
          <w:sz w:val="15"/>
          <w:szCs w:val="15"/>
          <w:color w:val="auto"/>
        </w:rPr>
        <w:t>The portion of total depreciation expense related to capitalized internal-use software was $6.7 million and $7.1 million for the three months ended September 30, 2021 and 2020, respectively, and $20.1 million and $22.0 million for the nine months ended September 30, 2021 and 2020, respectively. Depreciation expense related to capitalized internal-use software is included in cost of revenue in the Consolidated Statements of Operations.</w:t>
      </w:r>
    </w:p>
    <w:p>
      <w:pPr>
        <w:spacing w:after="0" w:line="59" w:lineRule="exact"/>
        <w:rPr>
          <w:sz w:val="20"/>
          <w:szCs w:val="20"/>
          <w:color w:val="auto"/>
        </w:rPr>
      </w:pPr>
    </w:p>
    <w:p>
      <w:pPr>
        <w:ind w:right="420" w:firstLine="345"/>
        <w:spacing w:after="0" w:line="286" w:lineRule="auto"/>
        <w:rPr>
          <w:sz w:val="20"/>
          <w:szCs w:val="20"/>
          <w:color w:val="auto"/>
        </w:rPr>
      </w:pPr>
      <w:r>
        <w:rPr>
          <w:rFonts w:ascii="Arial" w:cs="Arial" w:eastAsia="Arial" w:hAnsi="Arial"/>
          <w:sz w:val="15"/>
          <w:szCs w:val="15"/>
          <w:color w:val="auto"/>
        </w:rPr>
        <w:t>As of September 30, 2021 and December 31, 2020, the Company had capitalized internal-use software of $38.8 million and $38.0 million, respectively, net of accumulated depreciation, which was included in property and equipment, net.</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Goodwill and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w:t>
      </w:r>
    </w:p>
    <w:p>
      <w:pPr>
        <w:spacing w:after="0" w:line="103" w:lineRule="exact"/>
        <w:rPr>
          <w:sz w:val="20"/>
          <w:szCs w:val="20"/>
          <w:color w:val="auto"/>
        </w:rPr>
      </w:pPr>
    </w:p>
    <w:p>
      <w:pPr>
        <w:ind w:right="120" w:firstLine="345"/>
        <w:spacing w:after="0" w:line="286" w:lineRule="auto"/>
        <w:rPr>
          <w:sz w:val="20"/>
          <w:szCs w:val="20"/>
          <w:color w:val="auto"/>
        </w:rPr>
      </w:pPr>
      <w:r>
        <w:rPr>
          <w:rFonts w:ascii="Arial" w:cs="Arial" w:eastAsia="Arial" w:hAnsi="Arial"/>
          <w:sz w:val="15"/>
          <w:szCs w:val="15"/>
          <w:color w:val="auto"/>
        </w:rPr>
        <w:t>The Company’s goodwill balance is attributable to its Content reporting unit and is tested for impairment annually on October 1 or upon a triggering event. No triggering events were identified during the nine months ended September 30, 2021.</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the changes in the Company’s goodwill balance during the nine months ended September 30, 2021 (in thousands):</w:t>
      </w:r>
    </w:p>
    <w:p>
      <w:pPr>
        <w:spacing w:after="0" w:line="37"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52640" cy="123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640" cy="12382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p>
      <w:pPr>
        <w:spacing w:after="0" w:line="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Balance as of December 31, 2020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Goodwill related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52640" cy="116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Foreign currency translation adjustment</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Balance as of September 30, 2021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273" w:hanging="1273"/>
        <w:spacing w:after="0"/>
        <w:tabs>
          <w:tab w:leader="none" w:pos="1273" w:val="left"/>
        </w:tabs>
        <w:numPr>
          <w:ilvl w:val="0"/>
          <w:numId w:val="6"/>
        </w:numPr>
        <w:rPr>
          <w:rFonts w:ascii="Arial" w:cs="Arial" w:eastAsia="Arial" w:hAnsi="Arial"/>
          <w:sz w:val="13"/>
          <w:szCs w:val="13"/>
          <w:color w:val="auto"/>
        </w:rPr>
      </w:pPr>
      <w:r>
        <w:rPr>
          <w:rFonts w:ascii="Arial" w:cs="Arial" w:eastAsia="Arial" w:hAnsi="Arial"/>
          <w:sz w:val="13"/>
          <w:szCs w:val="13"/>
          <w:color w:val="auto"/>
        </w:rPr>
        <w:t>89,413</w:t>
      </w:r>
    </w:p>
    <w:p>
      <w:pPr>
        <w:spacing w:after="0" w:line="34" w:lineRule="exact"/>
        <w:rPr>
          <w:rFonts w:ascii="Arial" w:cs="Arial" w:eastAsia="Arial" w:hAnsi="Arial"/>
          <w:sz w:val="13"/>
          <w:szCs w:val="13"/>
          <w:color w:val="auto"/>
        </w:rPr>
      </w:pPr>
    </w:p>
    <w:p>
      <w:pPr>
        <w:ind w:left="1213"/>
        <w:spacing w:after="0"/>
        <w:rPr>
          <w:rFonts w:ascii="Arial" w:cs="Arial" w:eastAsia="Arial" w:hAnsi="Arial"/>
          <w:sz w:val="13"/>
          <w:szCs w:val="13"/>
          <w:color w:val="auto"/>
        </w:rPr>
      </w:pPr>
      <w:r>
        <w:rPr>
          <w:rFonts w:ascii="Arial" w:cs="Arial" w:eastAsia="Arial" w:hAnsi="Arial"/>
          <w:sz w:val="13"/>
          <w:szCs w:val="13"/>
          <w:color w:val="auto"/>
        </w:rPr>
        <w:t>130,738</w:t>
      </w:r>
    </w:p>
    <w:p>
      <w:pPr>
        <w:spacing w:after="0" w:line="34" w:lineRule="exact"/>
        <w:rPr>
          <w:rFonts w:ascii="Arial" w:cs="Arial" w:eastAsia="Arial" w:hAnsi="Arial"/>
          <w:sz w:val="13"/>
          <w:szCs w:val="13"/>
          <w:color w:val="auto"/>
        </w:rPr>
      </w:pPr>
    </w:p>
    <w:p>
      <w:pPr>
        <w:ind w:left="1393"/>
        <w:spacing w:after="0"/>
        <w:rPr>
          <w:rFonts w:ascii="Arial" w:cs="Arial" w:eastAsia="Arial" w:hAnsi="Arial"/>
          <w:sz w:val="13"/>
          <w:szCs w:val="13"/>
          <w:color w:val="auto"/>
        </w:rPr>
      </w:pPr>
      <w:r>
        <w:rPr>
          <w:rFonts w:ascii="Arial" w:cs="Arial" w:eastAsia="Arial" w:hAnsi="Arial"/>
          <w:sz w:val="11"/>
          <w:szCs w:val="11"/>
          <w:color w:val="auto"/>
        </w:rPr>
        <w:t>(329)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34290</wp:posOffset>
            </wp:positionV>
            <wp:extent cx="13138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3815" cy="6985"/>
                    </a:xfrm>
                    <a:prstGeom prst="rect">
                      <a:avLst/>
                    </a:prstGeom>
                    <a:noFill/>
                  </pic:spPr>
                </pic:pic>
              </a:graphicData>
            </a:graphic>
          </wp:anchor>
        </w:drawing>
      </w:r>
    </w:p>
    <w:p>
      <w:pPr>
        <w:spacing w:after="0" w:line="49" w:lineRule="exact"/>
        <w:rPr>
          <w:sz w:val="20"/>
          <w:szCs w:val="20"/>
          <w:color w:val="auto"/>
        </w:rPr>
      </w:pPr>
    </w:p>
    <w:p>
      <w:pPr>
        <w:ind w:left="1213" w:hanging="1213"/>
        <w:spacing w:after="0"/>
        <w:tabs>
          <w:tab w:leader="none" w:pos="1213" w:val="left"/>
        </w:tabs>
        <w:numPr>
          <w:ilvl w:val="0"/>
          <w:numId w:val="7"/>
        </w:numPr>
        <w:rPr>
          <w:rFonts w:ascii="Arial" w:cs="Arial" w:eastAsia="Arial" w:hAnsi="Arial"/>
          <w:sz w:val="13"/>
          <w:szCs w:val="13"/>
          <w:color w:val="auto"/>
        </w:rPr>
      </w:pPr>
      <w:r>
        <w:rPr>
          <w:rFonts w:ascii="Arial" w:cs="Arial" w:eastAsia="Arial" w:hAnsi="Arial"/>
          <w:sz w:val="13"/>
          <w:szCs w:val="13"/>
          <w:color w:val="auto"/>
        </w:rPr>
        <w:t>219,822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19685</wp:posOffset>
            </wp:positionV>
            <wp:extent cx="131381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41910</wp:posOffset>
            </wp:positionV>
            <wp:extent cx="131381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3815" cy="698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827" w:space="720"/>
            <w:col w:w="1713"/>
          </w:cols>
          <w:pgMar w:left="320" w:top="129" w:right="319"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Intangible assets consisted of the following as of September 30, 2021 and December 31, 2020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As of September 30, 2021</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As of December 31, 2020</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gridSpan w:val="2"/>
          </w:tcPr>
          <w:p>
            <w:pPr>
              <w:ind w:left="260"/>
              <w:spacing w:after="0" w:line="115" w:lineRule="exact"/>
              <w:rPr>
                <w:sz w:val="20"/>
                <w:szCs w:val="20"/>
                <w:color w:val="auto"/>
              </w:rPr>
            </w:pPr>
            <w:r>
              <w:rPr>
                <w:rFonts w:ascii="Arial" w:cs="Arial" w:eastAsia="Arial" w:hAnsi="Arial"/>
                <w:sz w:val="12"/>
                <w:szCs w:val="12"/>
                <w:b w:val="1"/>
                <w:bCs w:val="1"/>
                <w:color w:val="auto"/>
              </w:rPr>
              <w:t>Gross</w:t>
            </w:r>
          </w:p>
        </w:tc>
        <w:tc>
          <w:tcPr>
            <w:tcW w:w="480" w:type="dxa"/>
            <w:vAlign w:val="bottom"/>
          </w:tcPr>
          <w:p>
            <w:pPr>
              <w:spacing w:after="0"/>
              <w:rPr>
                <w:sz w:val="9"/>
                <w:szCs w:val="9"/>
                <w:color w:val="auto"/>
              </w:rPr>
            </w:pPr>
          </w:p>
        </w:tc>
        <w:tc>
          <w:tcPr>
            <w:tcW w:w="1200" w:type="dxa"/>
            <w:vAlign w:val="bottom"/>
            <w:gridSpan w:val="3"/>
            <w:vMerge w:val="restart"/>
          </w:tcPr>
          <w:p>
            <w:pPr>
              <w:jc w:val="center"/>
              <w:ind w:right="440"/>
              <w:spacing w:after="0"/>
              <w:rPr>
                <w:sz w:val="20"/>
                <w:szCs w:val="20"/>
                <w:color w:val="auto"/>
              </w:rPr>
            </w:pPr>
            <w:r>
              <w:rPr>
                <w:rFonts w:ascii="Arial" w:cs="Arial" w:eastAsia="Arial" w:hAnsi="Arial"/>
                <w:sz w:val="12"/>
                <w:szCs w:val="12"/>
                <w:b w:val="1"/>
                <w:bCs w:val="1"/>
                <w:color w:val="auto"/>
                <w:w w:val="90"/>
              </w:rPr>
              <w:t>Accumulated</w:t>
            </w:r>
          </w:p>
        </w:tc>
        <w:tc>
          <w:tcPr>
            <w:tcW w:w="220" w:type="dxa"/>
            <w:vAlign w:val="bottom"/>
          </w:tcPr>
          <w:p>
            <w:pPr>
              <w:spacing w:after="0"/>
              <w:rPr>
                <w:sz w:val="9"/>
                <w:szCs w:val="9"/>
                <w:color w:val="auto"/>
              </w:rPr>
            </w:pPr>
          </w:p>
        </w:tc>
        <w:tc>
          <w:tcPr>
            <w:tcW w:w="900" w:type="dxa"/>
            <w:vAlign w:val="bottom"/>
          </w:tcPr>
          <w:p>
            <w:pPr>
              <w:jc w:val="right"/>
              <w:ind w:right="334"/>
              <w:spacing w:after="0" w:line="115" w:lineRule="exact"/>
              <w:rPr>
                <w:sz w:val="20"/>
                <w:szCs w:val="20"/>
                <w:color w:val="auto"/>
              </w:rPr>
            </w:pPr>
            <w:r>
              <w:rPr>
                <w:rFonts w:ascii="Arial" w:cs="Arial" w:eastAsia="Arial" w:hAnsi="Arial"/>
                <w:sz w:val="12"/>
                <w:szCs w:val="12"/>
                <w:b w:val="1"/>
                <w:bCs w:val="1"/>
                <w:color w:val="auto"/>
              </w:rPr>
              <w:t>Net</w:t>
            </w:r>
          </w:p>
        </w:tc>
        <w:tc>
          <w:tcPr>
            <w:tcW w:w="80" w:type="dxa"/>
            <w:vAlign w:val="bottom"/>
          </w:tcPr>
          <w:p>
            <w:pPr>
              <w:spacing w:after="0"/>
              <w:rPr>
                <w:sz w:val="9"/>
                <w:szCs w:val="9"/>
                <w:color w:val="auto"/>
              </w:rPr>
            </w:pPr>
          </w:p>
        </w:tc>
        <w:tc>
          <w:tcPr>
            <w:tcW w:w="1060" w:type="dxa"/>
            <w:vAlign w:val="bottom"/>
            <w:gridSpan w:val="2"/>
          </w:tcPr>
          <w:p>
            <w:pPr>
              <w:ind w:left="420"/>
              <w:spacing w:after="0" w:line="115" w:lineRule="exact"/>
              <w:rPr>
                <w:sz w:val="20"/>
                <w:szCs w:val="20"/>
                <w:color w:val="auto"/>
              </w:rPr>
            </w:pPr>
            <w:r>
              <w:rPr>
                <w:rFonts w:ascii="Arial" w:cs="Arial" w:eastAsia="Arial" w:hAnsi="Arial"/>
                <w:sz w:val="12"/>
                <w:szCs w:val="12"/>
                <w:b w:val="1"/>
                <w:bCs w:val="1"/>
                <w:color w:val="auto"/>
              </w:rPr>
              <w:t>Weighted</w:t>
            </w:r>
          </w:p>
        </w:tc>
        <w:tc>
          <w:tcPr>
            <w:tcW w:w="440" w:type="dxa"/>
            <w:vAlign w:val="bottom"/>
          </w:tcPr>
          <w:p>
            <w:pPr>
              <w:spacing w:after="0"/>
              <w:rPr>
                <w:sz w:val="9"/>
                <w:szCs w:val="9"/>
                <w:color w:val="auto"/>
              </w:rPr>
            </w:pPr>
          </w:p>
        </w:tc>
        <w:tc>
          <w:tcPr>
            <w:tcW w:w="960" w:type="dxa"/>
            <w:vAlign w:val="bottom"/>
            <w:gridSpan w:val="2"/>
          </w:tcPr>
          <w:p>
            <w:pPr>
              <w:ind w:left="240"/>
              <w:spacing w:after="0" w:line="115" w:lineRule="exact"/>
              <w:rPr>
                <w:sz w:val="20"/>
                <w:szCs w:val="20"/>
                <w:color w:val="auto"/>
              </w:rPr>
            </w:pPr>
            <w:r>
              <w:rPr>
                <w:rFonts w:ascii="Arial" w:cs="Arial" w:eastAsia="Arial" w:hAnsi="Arial"/>
                <w:sz w:val="12"/>
                <w:szCs w:val="12"/>
                <w:b w:val="1"/>
                <w:bCs w:val="1"/>
                <w:color w:val="auto"/>
              </w:rPr>
              <w:t>Gross</w:t>
            </w:r>
          </w:p>
        </w:tc>
        <w:tc>
          <w:tcPr>
            <w:tcW w:w="480" w:type="dxa"/>
            <w:vAlign w:val="bottom"/>
          </w:tcPr>
          <w:p>
            <w:pPr>
              <w:spacing w:after="0"/>
              <w:rPr>
                <w:sz w:val="9"/>
                <w:szCs w:val="9"/>
                <w:color w:val="auto"/>
              </w:rPr>
            </w:pPr>
          </w:p>
        </w:tc>
        <w:tc>
          <w:tcPr>
            <w:tcW w:w="1180" w:type="dxa"/>
            <w:vAlign w:val="bottom"/>
            <w:gridSpan w:val="3"/>
            <w:vMerge w:val="restart"/>
          </w:tcPr>
          <w:p>
            <w:pPr>
              <w:jc w:val="center"/>
              <w:ind w:right="400"/>
              <w:spacing w:after="0"/>
              <w:rPr>
                <w:sz w:val="20"/>
                <w:szCs w:val="20"/>
                <w:color w:val="auto"/>
              </w:rPr>
            </w:pPr>
            <w:r>
              <w:rPr>
                <w:rFonts w:ascii="Arial" w:cs="Arial" w:eastAsia="Arial" w:hAnsi="Arial"/>
                <w:sz w:val="12"/>
                <w:szCs w:val="12"/>
                <w:b w:val="1"/>
                <w:bCs w:val="1"/>
                <w:color w:val="auto"/>
                <w:w w:val="92"/>
              </w:rPr>
              <w:t>Accumulated</w:t>
            </w:r>
          </w:p>
        </w:tc>
        <w:tc>
          <w:tcPr>
            <w:tcW w:w="240" w:type="dxa"/>
            <w:vAlign w:val="bottom"/>
          </w:tcPr>
          <w:p>
            <w:pPr>
              <w:spacing w:after="0"/>
              <w:rPr>
                <w:sz w:val="9"/>
                <w:szCs w:val="9"/>
                <w:color w:val="auto"/>
              </w:rPr>
            </w:pPr>
          </w:p>
        </w:tc>
        <w:tc>
          <w:tcPr>
            <w:tcW w:w="880" w:type="dxa"/>
            <w:vAlign w:val="bottom"/>
          </w:tcPr>
          <w:p>
            <w:pPr>
              <w:jc w:val="right"/>
              <w:ind w:right="333"/>
              <w:spacing w:after="0" w:line="115" w:lineRule="exact"/>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15"/>
        </w:trPr>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gridSpan w:val="2"/>
          </w:tcPr>
          <w:p>
            <w:pPr>
              <w:jc w:val="center"/>
              <w:ind w:right="520"/>
              <w:spacing w:after="0" w:line="115" w:lineRule="exact"/>
              <w:rPr>
                <w:sz w:val="20"/>
                <w:szCs w:val="20"/>
                <w:color w:val="auto"/>
              </w:rPr>
            </w:pPr>
            <w:r>
              <w:rPr>
                <w:rFonts w:ascii="Arial" w:cs="Arial" w:eastAsia="Arial" w:hAnsi="Arial"/>
                <w:sz w:val="12"/>
                <w:szCs w:val="12"/>
                <w:b w:val="1"/>
                <w:bCs w:val="1"/>
                <w:color w:val="auto"/>
                <w:w w:val="97"/>
              </w:rPr>
              <w:t>Carrying</w:t>
            </w:r>
          </w:p>
        </w:tc>
        <w:tc>
          <w:tcPr>
            <w:tcW w:w="4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jc w:val="right"/>
              <w:ind w:right="354"/>
              <w:spacing w:after="0" w:line="115" w:lineRule="exact"/>
              <w:rPr>
                <w:sz w:val="20"/>
                <w:szCs w:val="20"/>
                <w:color w:val="auto"/>
              </w:rPr>
            </w:pPr>
            <w:r>
              <w:rPr>
                <w:rFonts w:ascii="Arial" w:cs="Arial" w:eastAsia="Arial" w:hAnsi="Arial"/>
                <w:sz w:val="12"/>
                <w:szCs w:val="12"/>
                <w:b w:val="1"/>
                <w:bCs w:val="1"/>
                <w:color w:val="auto"/>
                <w:w w:val="93"/>
              </w:rPr>
              <w:t>Carrying</w:t>
            </w:r>
          </w:p>
        </w:tc>
        <w:tc>
          <w:tcPr>
            <w:tcW w:w="80" w:type="dxa"/>
            <w:vAlign w:val="bottom"/>
          </w:tcPr>
          <w:p>
            <w:pPr>
              <w:spacing w:after="0"/>
              <w:rPr>
                <w:sz w:val="9"/>
                <w:szCs w:val="9"/>
                <w:color w:val="auto"/>
              </w:rPr>
            </w:pPr>
          </w:p>
        </w:tc>
        <w:tc>
          <w:tcPr>
            <w:tcW w:w="1060" w:type="dxa"/>
            <w:vAlign w:val="bottom"/>
            <w:gridSpan w:val="2"/>
          </w:tcPr>
          <w:p>
            <w:pPr>
              <w:jc w:val="center"/>
              <w:ind w:right="80"/>
              <w:spacing w:after="0" w:line="115" w:lineRule="exact"/>
              <w:rPr>
                <w:sz w:val="20"/>
                <w:szCs w:val="20"/>
                <w:color w:val="auto"/>
              </w:rPr>
            </w:pPr>
            <w:r>
              <w:rPr>
                <w:rFonts w:ascii="Arial" w:cs="Arial" w:eastAsia="Arial" w:hAnsi="Arial"/>
                <w:sz w:val="12"/>
                <w:szCs w:val="12"/>
                <w:b w:val="1"/>
                <w:bCs w:val="1"/>
                <w:color w:val="auto"/>
                <w:w w:val="91"/>
              </w:rPr>
              <w:t>Average Life</w:t>
            </w:r>
          </w:p>
        </w:tc>
        <w:tc>
          <w:tcPr>
            <w:tcW w:w="1400" w:type="dxa"/>
            <w:vAlign w:val="bottom"/>
            <w:gridSpan w:val="3"/>
          </w:tcPr>
          <w:p>
            <w:pPr>
              <w:jc w:val="center"/>
              <w:ind w:right="80"/>
              <w:spacing w:after="0" w:line="115" w:lineRule="exact"/>
              <w:rPr>
                <w:sz w:val="20"/>
                <w:szCs w:val="20"/>
                <w:color w:val="auto"/>
              </w:rPr>
            </w:pPr>
            <w:r>
              <w:rPr>
                <w:rFonts w:ascii="Arial" w:cs="Arial" w:eastAsia="Arial" w:hAnsi="Arial"/>
                <w:sz w:val="12"/>
                <w:szCs w:val="12"/>
                <w:b w:val="1"/>
                <w:bCs w:val="1"/>
                <w:color w:val="auto"/>
                <w:w w:val="97"/>
              </w:rPr>
              <w:t>Carrying</w:t>
            </w:r>
          </w:p>
        </w:tc>
        <w:tc>
          <w:tcPr>
            <w:tcW w:w="48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20" w:type="dxa"/>
            <w:vAlign w:val="bottom"/>
            <w:gridSpan w:val="2"/>
          </w:tcPr>
          <w:p>
            <w:pPr>
              <w:jc w:val="right"/>
              <w:ind w:right="353"/>
              <w:spacing w:after="0" w:line="115" w:lineRule="exact"/>
              <w:rPr>
                <w:sz w:val="20"/>
                <w:szCs w:val="20"/>
                <w:color w:val="auto"/>
              </w:rPr>
            </w:pPr>
            <w:r>
              <w:rPr>
                <w:rFonts w:ascii="Arial" w:cs="Arial" w:eastAsia="Arial" w:hAnsi="Arial"/>
                <w:sz w:val="12"/>
                <w:szCs w:val="12"/>
                <w:b w:val="1"/>
                <w:bCs w:val="1"/>
                <w:color w:val="auto"/>
              </w:rPr>
              <w:t>Carrying</w:t>
            </w:r>
          </w:p>
        </w:tc>
        <w:tc>
          <w:tcPr>
            <w:tcW w:w="0" w:type="dxa"/>
            <w:vAlign w:val="bottom"/>
          </w:tcPr>
          <w:p>
            <w:pPr>
              <w:spacing w:after="0"/>
              <w:rPr>
                <w:sz w:val="1"/>
                <w:szCs w:val="1"/>
                <w:color w:val="auto"/>
              </w:rPr>
            </w:pPr>
          </w:p>
        </w:tc>
      </w:tr>
      <w:tr>
        <w:trPr>
          <w:trHeight w:val="160"/>
        </w:trPr>
        <w:tc>
          <w:tcPr>
            <w:tcW w:w="1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6"/>
              </w:rPr>
              <w:t>Amount</w:t>
            </w:r>
          </w:p>
        </w:tc>
        <w:tc>
          <w:tcPr>
            <w:tcW w:w="1680" w:type="dxa"/>
            <w:vAlign w:val="bottom"/>
            <w:gridSpan w:val="4"/>
          </w:tcPr>
          <w:p>
            <w:pPr>
              <w:ind w:left="34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3"/>
                <w:szCs w:val="13"/>
                <w:color w:val="auto"/>
              </w:rPr>
            </w:pPr>
          </w:p>
        </w:tc>
        <w:tc>
          <w:tcPr>
            <w:tcW w:w="900" w:type="dxa"/>
            <w:vAlign w:val="bottom"/>
          </w:tcPr>
          <w:p>
            <w:pPr>
              <w:jc w:val="right"/>
              <w:ind w:right="394"/>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(Years)</w:t>
            </w:r>
          </w:p>
        </w:tc>
        <w:tc>
          <w:tcPr>
            <w:tcW w:w="440" w:type="dxa"/>
            <w:vAlign w:val="bottom"/>
          </w:tcPr>
          <w:p>
            <w:pPr>
              <w:spacing w:after="0"/>
              <w:rPr>
                <w:sz w:val="13"/>
                <w:szCs w:val="13"/>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6"/>
              </w:rPr>
              <w:t>Amount</w:t>
            </w:r>
          </w:p>
        </w:tc>
        <w:tc>
          <w:tcPr>
            <w:tcW w:w="1660" w:type="dxa"/>
            <w:vAlign w:val="bottom"/>
            <w:gridSpan w:val="4"/>
          </w:tcPr>
          <w:p>
            <w:pPr>
              <w:ind w:left="340"/>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Pr>
          <w:p>
            <w:pPr>
              <w:spacing w:after="0"/>
              <w:rPr>
                <w:sz w:val="13"/>
                <w:szCs w:val="13"/>
                <w:color w:val="auto"/>
              </w:rPr>
            </w:pPr>
          </w:p>
        </w:tc>
        <w:tc>
          <w:tcPr>
            <w:tcW w:w="880" w:type="dxa"/>
            <w:vAlign w:val="bottom"/>
          </w:tcPr>
          <w:p>
            <w:pPr>
              <w:jc w:val="right"/>
              <w:ind w:right="373"/>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22"/>
        </w:trPr>
        <w:tc>
          <w:tcPr>
            <w:tcW w:w="1700" w:type="dxa"/>
            <w:vAlign w:val="bottom"/>
            <w:tcBorders>
              <w:top w:val="single" w:sz="8" w:color="CCEEFF"/>
            </w:tcBorders>
            <w:shd w:val="clear" w:color="auto" w:fill="CCEEFF"/>
          </w:tcPr>
          <w:p>
            <w:pPr>
              <w:ind w:left="360"/>
              <w:spacing w:after="0" w:line="122" w:lineRule="exact"/>
              <w:rPr>
                <w:sz w:val="20"/>
                <w:szCs w:val="20"/>
                <w:color w:val="auto"/>
              </w:rPr>
            </w:pPr>
            <w:r>
              <w:rPr>
                <w:rFonts w:ascii="Arial" w:cs="Arial" w:eastAsia="Arial" w:hAnsi="Arial"/>
                <w:sz w:val="14"/>
                <w:szCs w:val="14"/>
                <w:color w:val="auto"/>
              </w:rPr>
              <w:t>Amortizing intangible</w:t>
            </w:r>
          </w:p>
        </w:tc>
        <w:tc>
          <w:tcPr>
            <w:tcW w:w="4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700" w:type="dxa"/>
            <w:vAlign w:val="bottom"/>
          </w:tcPr>
          <w:p>
            <w:pPr>
              <w:ind w:left="460"/>
              <w:spacing w:after="0" w:line="141" w:lineRule="exact"/>
              <w:rPr>
                <w:sz w:val="20"/>
                <w:szCs w:val="20"/>
                <w:color w:val="auto"/>
              </w:rPr>
            </w:pPr>
            <w:r>
              <w:rPr>
                <w:rFonts w:ascii="Arial" w:cs="Arial" w:eastAsia="Arial" w:hAnsi="Arial"/>
                <w:sz w:val="14"/>
                <w:szCs w:val="14"/>
                <w:color w:val="auto"/>
              </w:rPr>
              <w:t>Customer</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55,720</w:t>
            </w: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(12,787)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42,933</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18,132</w:t>
            </w: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(11,032)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178"/>
        </w:trPr>
        <w:tc>
          <w:tcPr>
            <w:tcW w:w="1700" w:type="dxa"/>
            <w:vAlign w:val="bottom"/>
          </w:tcPr>
          <w:p>
            <w:pPr>
              <w:ind w:left="120"/>
              <w:spacing w:after="0"/>
              <w:rPr>
                <w:sz w:val="20"/>
                <w:szCs w:val="20"/>
                <w:color w:val="auto"/>
              </w:rPr>
            </w:pPr>
            <w:r>
              <w:rPr>
                <w:rFonts w:ascii="Arial" w:cs="Arial" w:eastAsia="Arial" w:hAnsi="Arial"/>
                <w:sz w:val="14"/>
                <w:szCs w:val="14"/>
                <w:color w:val="auto"/>
              </w:rPr>
              <w:t>relationships</w:t>
            </w:r>
          </w:p>
        </w:tc>
        <w:tc>
          <w:tcPr>
            <w:tcW w:w="4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Trade name</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1"/>
        </w:trPr>
        <w:tc>
          <w:tcPr>
            <w:tcW w:w="1700" w:type="dxa"/>
            <w:vAlign w:val="bottom"/>
          </w:tcPr>
          <w:p>
            <w:pPr>
              <w:ind w:left="460"/>
              <w:spacing w:after="0" w:line="141" w:lineRule="exact"/>
              <w:rPr>
                <w:sz w:val="20"/>
                <w:szCs w:val="20"/>
                <w:color w:val="auto"/>
              </w:rPr>
            </w:pPr>
            <w:r>
              <w:rPr>
                <w:rFonts w:ascii="Arial" w:cs="Arial" w:eastAsia="Arial" w:hAnsi="Arial"/>
                <w:sz w:val="14"/>
                <w:szCs w:val="14"/>
                <w:color w:val="auto"/>
              </w:rPr>
              <w:t>Developed</w:t>
            </w:r>
          </w:p>
        </w:tc>
        <w:tc>
          <w:tcPr>
            <w:tcW w:w="4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68,029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(9,613)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58,416</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6,930</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(5,039)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178"/>
        </w:trPr>
        <w:tc>
          <w:tcPr>
            <w:tcW w:w="1700" w:type="dxa"/>
            <w:vAlign w:val="bottom"/>
          </w:tcPr>
          <w:p>
            <w:pPr>
              <w:ind w:left="120"/>
              <w:spacing w:after="0"/>
              <w:rPr>
                <w:sz w:val="20"/>
                <w:szCs w:val="20"/>
                <w:color w:val="auto"/>
              </w:rPr>
            </w:pPr>
            <w:r>
              <w:rPr>
                <w:rFonts w:ascii="Arial" w:cs="Arial" w:eastAsia="Arial" w:hAnsi="Arial"/>
                <w:sz w:val="14"/>
                <w:szCs w:val="14"/>
                <w:color w:val="auto"/>
              </w:rPr>
              <w:t>technology</w:t>
            </w:r>
          </w:p>
        </w:tc>
        <w:tc>
          <w:tcPr>
            <w:tcW w:w="4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Contributor content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37,023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16,291</w:t>
            </w:r>
          </w:p>
        </w:tc>
        <w:tc>
          <w:tcPr>
            <w:tcW w:w="0" w:type="dxa"/>
            <w:vAlign w:val="bottom"/>
          </w:tcPr>
          <w:p>
            <w:pPr>
              <w:spacing w:after="0"/>
              <w:rPr>
                <w:sz w:val="1"/>
                <w:szCs w:val="1"/>
                <w:color w:val="auto"/>
              </w:rPr>
            </w:pPr>
          </w:p>
        </w:tc>
      </w:tr>
      <w:tr>
        <w:trPr>
          <w:trHeight w:val="181"/>
        </w:trPr>
        <w:tc>
          <w:tcPr>
            <w:tcW w:w="17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Patents</w:t>
            </w: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0"/>
        </w:trPr>
        <w:tc>
          <w:tcPr>
            <w:tcW w:w="1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172,852</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(42,656)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130,196</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25,765</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180" w:firstLine="345"/>
        <w:spacing w:after="0" w:line="263" w:lineRule="auto"/>
        <w:rPr>
          <w:sz w:val="20"/>
          <w:szCs w:val="20"/>
          <w:color w:val="auto"/>
        </w:rPr>
      </w:pPr>
      <w:r>
        <w:rPr>
          <w:rFonts w:ascii="Arial" w:cs="Arial" w:eastAsia="Arial" w:hAnsi="Arial"/>
          <w:sz w:val="15"/>
          <w:szCs w:val="15"/>
          <w:color w:val="auto"/>
        </w:rPr>
        <w:t>Amortization expense was $5.6 million and $1.3 million for the three months ended September 30, 2021 and 2020, respectively, and $9.9 million and $3.8 million for the nine months ended September 30, 2021 and 2020, respectively. Cost of revenue included amortization expense of $4.2 million and $0.7 million for the three months ended September 30, 2021 and 2020, respectively, and $6.5 million and $2.0 million for the nine months ended September 30, 2021 and 2020, respectively. General and administrative expense included amortization expense of $1.4 million and $0.6 million for the three months ended September 30, 2021 and 2020, respectively, and $3.4 million and $1.8 million for the nine months ended September 30, 2021 and 2020, respectively.</w:t>
      </w:r>
    </w:p>
    <w:p>
      <w:pPr>
        <w:spacing w:after="0" w:line="66" w:lineRule="exact"/>
        <w:rPr>
          <w:sz w:val="20"/>
          <w:szCs w:val="20"/>
          <w:color w:val="auto"/>
        </w:rPr>
      </w:pPr>
    </w:p>
    <w:p>
      <w:pPr>
        <w:ind w:right="260" w:firstLine="345"/>
        <w:spacing w:after="0" w:line="324" w:lineRule="auto"/>
        <w:rPr>
          <w:sz w:val="20"/>
          <w:szCs w:val="20"/>
          <w:color w:val="auto"/>
        </w:rPr>
      </w:pPr>
      <w:r>
        <w:rPr>
          <w:rFonts w:ascii="Arial" w:cs="Arial" w:eastAsia="Arial" w:hAnsi="Arial"/>
          <w:sz w:val="14"/>
          <w:szCs w:val="14"/>
          <w:color w:val="auto"/>
        </w:rPr>
        <w:t>The Company determined that there was no indication of impairment of the intangible assets for any period presented. Estimated amortization expense is: $7.1 million for the remaining three months of 2021, $28.3 million in 2022, $27.9 million in 2023, $20.8 million in 2024, $10.1 million in 2025, $8.1 million in 2026 and $27.9 million thereafter.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15" w:name="page16"/>
    <w:bookmarkEnd w:id="15"/>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380" w:type="dxa"/>
            <w:vAlign w:val="bottom"/>
          </w:tcPr>
          <w:p>
            <w:pPr>
              <w:spacing w:after="0"/>
              <w:rPr>
                <w:sz w:val="14"/>
                <w:szCs w:val="14"/>
                <w:color w:val="auto"/>
              </w:rPr>
            </w:pPr>
          </w:p>
        </w:tc>
        <w:tc>
          <w:tcPr>
            <w:tcW w:w="1920" w:type="dxa"/>
            <w:vAlign w:val="bottom"/>
            <w:gridSpan w:val="3"/>
          </w:tcPr>
          <w:p>
            <w:pPr>
              <w:ind w:left="420"/>
              <w:spacing w:after="0"/>
              <w:rPr>
                <w:sz w:val="20"/>
                <w:szCs w:val="20"/>
                <w:color w:val="auto"/>
              </w:rPr>
            </w:pPr>
            <w:r>
              <w:rPr>
                <w:rFonts w:ascii="Arial" w:cs="Arial" w:eastAsia="Arial" w:hAnsi="Arial"/>
                <w:sz w:val="12"/>
                <w:szCs w:val="12"/>
                <w:b w:val="1"/>
                <w:bCs w:val="1"/>
                <w:color w:val="auto"/>
              </w:rPr>
              <w:t>As of September 30, 2021</w:t>
            </w:r>
          </w:p>
        </w:tc>
        <w:tc>
          <w:tcPr>
            <w:tcW w:w="440" w:type="dxa"/>
            <w:vAlign w:val="bottom"/>
          </w:tcPr>
          <w:p>
            <w:pPr>
              <w:spacing w:after="0"/>
              <w:rPr>
                <w:sz w:val="14"/>
                <w:szCs w:val="14"/>
                <w:color w:val="auto"/>
              </w:rPr>
            </w:pPr>
          </w:p>
        </w:tc>
        <w:tc>
          <w:tcPr>
            <w:tcW w:w="1380" w:type="dxa"/>
            <w:vAlign w:val="bottom"/>
          </w:tcPr>
          <w:p>
            <w:pPr>
              <w:jc w:val="right"/>
              <w:ind w:right="32"/>
              <w:spacing w:after="0"/>
              <w:rPr>
                <w:sz w:val="20"/>
                <w:szCs w:val="20"/>
                <w:color w:val="auto"/>
              </w:rPr>
            </w:pPr>
            <w:r>
              <w:rPr>
                <w:rFonts w:ascii="Arial" w:cs="Arial" w:eastAsia="Arial" w:hAnsi="Arial"/>
                <w:sz w:val="12"/>
                <w:szCs w:val="12"/>
                <w:b w:val="1"/>
                <w:bCs w:val="1"/>
                <w:color w:val="auto"/>
                <w:w w:val="89"/>
              </w:rPr>
              <w:t>As of December 31, 2020</w:t>
            </w:r>
          </w:p>
        </w:tc>
      </w:tr>
      <w:tr>
        <w:trPr>
          <w:trHeight w:val="180"/>
        </w:trPr>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Compensation</w:t>
            </w:r>
          </w:p>
        </w:tc>
        <w:tc>
          <w:tcPr>
            <w:tcW w:w="90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38,257</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31,499</w:t>
            </w:r>
          </w:p>
        </w:tc>
      </w:tr>
      <w:tr>
        <w:trPr>
          <w:trHeight w:val="181"/>
        </w:trPr>
        <w:tc>
          <w:tcPr>
            <w:tcW w:w="7380" w:type="dxa"/>
            <w:vAlign w:val="bottom"/>
          </w:tcPr>
          <w:p>
            <w:pPr>
              <w:ind w:left="360"/>
              <w:spacing w:after="0"/>
              <w:rPr>
                <w:sz w:val="20"/>
                <w:szCs w:val="20"/>
                <w:color w:val="auto"/>
              </w:rPr>
            </w:pPr>
            <w:r>
              <w:rPr>
                <w:rFonts w:ascii="Arial" w:cs="Arial" w:eastAsia="Arial" w:hAnsi="Arial"/>
                <w:sz w:val="14"/>
                <w:szCs w:val="14"/>
                <w:color w:val="auto"/>
              </w:rPr>
              <w:t>Non-income taxes</w:t>
            </w:r>
          </w:p>
        </w:tc>
        <w:tc>
          <w:tcPr>
            <w:tcW w:w="9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20,784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17,164</w:t>
            </w:r>
          </w:p>
        </w:tc>
      </w:tr>
      <w:tr>
        <w:trPr>
          <w:trHeight w:val="187"/>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Website hosting and marketing fees</w:t>
            </w: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9,991</w:t>
            </w:r>
          </w:p>
        </w:tc>
      </w:tr>
      <w:tr>
        <w:trPr>
          <w:trHeight w:val="181"/>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expenses</w:t>
            </w: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9,255</w:t>
            </w:r>
          </w:p>
        </w:tc>
      </w:tr>
      <w:tr>
        <w:trPr>
          <w:trHeight w:val="200"/>
        </w:trPr>
        <w:tc>
          <w:tcPr>
            <w:tcW w:w="7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accrued expenses</w:t>
            </w:r>
          </w:p>
        </w:tc>
        <w:tc>
          <w:tcPr>
            <w:tcW w:w="9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95,043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67,909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Stockholders’ Equity and Equity-Based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Common Stock</w:t>
      </w:r>
    </w:p>
    <w:p>
      <w:pPr>
        <w:spacing w:after="0" w:line="57" w:lineRule="exact"/>
        <w:rPr>
          <w:sz w:val="20"/>
          <w:szCs w:val="20"/>
          <w:color w:val="auto"/>
        </w:rPr>
      </w:pPr>
    </w:p>
    <w:p>
      <w:pPr>
        <w:ind w:right="220" w:firstLine="345"/>
        <w:spacing w:after="0" w:line="324" w:lineRule="auto"/>
        <w:rPr>
          <w:sz w:val="20"/>
          <w:szCs w:val="20"/>
          <w:color w:val="auto"/>
        </w:rPr>
      </w:pPr>
      <w:r>
        <w:rPr>
          <w:rFonts w:ascii="Arial" w:cs="Arial" w:eastAsia="Arial" w:hAnsi="Arial"/>
          <w:sz w:val="14"/>
          <w:szCs w:val="14"/>
          <w:color w:val="auto"/>
        </w:rPr>
        <w:t>The Company issued approximately 18,000 and 15,000 shares of common stock during the three months ended September 30, 2021 and 2020, respectively, and 388,000 and 206,000 for the nine months ended September 30, 2021 and 2020, respectively, related to the exercise of stock options and the vesting of Restricted Stock Units.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Treasury Stock</w:t>
      </w:r>
    </w:p>
    <w:p>
      <w:pPr>
        <w:spacing w:after="0" w:line="57" w:lineRule="exact"/>
        <w:rPr>
          <w:sz w:val="20"/>
          <w:szCs w:val="20"/>
          <w:color w:val="auto"/>
        </w:rPr>
      </w:pPr>
    </w:p>
    <w:p>
      <w:pPr>
        <w:ind w:right="60" w:firstLine="345"/>
        <w:spacing w:after="0" w:line="271" w:lineRule="auto"/>
        <w:rPr>
          <w:sz w:val="20"/>
          <w:szCs w:val="20"/>
          <w:color w:val="auto"/>
        </w:rPr>
      </w:pPr>
      <w:r>
        <w:rPr>
          <w:rFonts w:ascii="Arial" w:cs="Arial" w:eastAsia="Arial" w:hAnsi="Arial"/>
          <w:sz w:val="15"/>
          <w:szCs w:val="15"/>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w:t>
      </w:r>
    </w:p>
    <w:p>
      <w:pPr>
        <w:spacing w:after="0" w:line="59" w:lineRule="exact"/>
        <w:rPr>
          <w:sz w:val="20"/>
          <w:szCs w:val="20"/>
          <w:color w:val="auto"/>
        </w:rPr>
      </w:pPr>
    </w:p>
    <w:p>
      <w:pPr>
        <w:ind w:right="40" w:firstLine="345"/>
        <w:spacing w:after="0" w:line="266" w:lineRule="auto"/>
        <w:rPr>
          <w:sz w:val="20"/>
          <w:szCs w:val="20"/>
          <w:color w:val="auto"/>
        </w:rPr>
      </w:pPr>
      <w:r>
        <w:rPr>
          <w:rFonts w:ascii="Arial" w:cs="Arial" w:eastAsia="Arial" w:hAnsi="Arial"/>
          <w:sz w:val="15"/>
          <w:szCs w:val="15"/>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63" w:lineRule="exact"/>
        <w:rPr>
          <w:sz w:val="20"/>
          <w:szCs w:val="20"/>
          <w:color w:val="auto"/>
        </w:rPr>
      </w:pPr>
    </w:p>
    <w:p>
      <w:pPr>
        <w:ind w:right="420" w:firstLine="345"/>
        <w:spacing w:after="0" w:line="271" w:lineRule="auto"/>
        <w:rPr>
          <w:sz w:val="20"/>
          <w:szCs w:val="20"/>
          <w:color w:val="auto"/>
        </w:rPr>
      </w:pPr>
      <w:r>
        <w:rPr>
          <w:rFonts w:ascii="Arial" w:cs="Arial" w:eastAsia="Arial" w:hAnsi="Arial"/>
          <w:sz w:val="15"/>
          <w:szCs w:val="15"/>
          <w:color w:val="auto"/>
        </w:rPr>
        <w:t>During the three and nine months ended September 30, 2021, the Company repurchased approximately 41,900 shares of its common stock at an average per share cost of $115.95. During the nine months ended September 30, 2020, the Company did not repurchase any shares of its common stock under the share repurchase program. As of September 30, 2021, the Company had $95 million of remaining authorization for purchases under the share repurchase program.</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103" w:lineRule="exact"/>
        <w:rPr>
          <w:sz w:val="20"/>
          <w:szCs w:val="20"/>
          <w:color w:val="auto"/>
        </w:rPr>
      </w:pPr>
    </w:p>
    <w:p>
      <w:pPr>
        <w:ind w:right="160" w:firstLine="345"/>
        <w:spacing w:after="0" w:line="271" w:lineRule="auto"/>
        <w:rPr>
          <w:sz w:val="20"/>
          <w:szCs w:val="20"/>
          <w:color w:val="auto"/>
        </w:rPr>
      </w:pPr>
      <w:r>
        <w:rPr>
          <w:rFonts w:ascii="Arial" w:cs="Arial" w:eastAsia="Arial" w:hAnsi="Arial"/>
          <w:sz w:val="15"/>
          <w:szCs w:val="15"/>
          <w:color w:val="auto"/>
        </w:rPr>
        <w:t>The Company declared and paid cash dividends of $0.21 and $0.63 per share of common stock, or $7.7 million and $23.0 million, during the three and nine months ended September 30, 2021, respectively, and $0.17 and $0.51 per share of common stock, or $6.1 million and $18.2 million, during the three and nine months ended September 30, 2020, respectively.</w:t>
      </w:r>
    </w:p>
    <w:p>
      <w:pPr>
        <w:spacing w:after="0" w:line="151" w:lineRule="exact"/>
        <w:rPr>
          <w:sz w:val="20"/>
          <w:szCs w:val="20"/>
          <w:color w:val="auto"/>
        </w:rPr>
      </w:pPr>
    </w:p>
    <w:p>
      <w:pPr>
        <w:ind w:firstLine="345"/>
        <w:spacing w:after="0" w:line="290" w:lineRule="auto"/>
        <w:rPr>
          <w:sz w:val="20"/>
          <w:szCs w:val="20"/>
          <w:color w:val="auto"/>
        </w:rPr>
      </w:pPr>
      <w:r>
        <w:rPr>
          <w:rFonts w:ascii="Arial" w:cs="Arial" w:eastAsia="Arial" w:hAnsi="Arial"/>
          <w:sz w:val="14"/>
          <w:szCs w:val="14"/>
          <w:color w:val="auto"/>
        </w:rPr>
        <w:t>On October 18, 2021, the Company’s Board of Directors declared a quarterly cash dividend of $0.21 per share of outstanding common stock payable on December 16, 2021 to stockholders of record at the close of business on December 2, 2021.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355"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40"/>
          </w:cols>
          <w:pgMar w:left="320" w:top="129" w:right="439" w:bottom="1440" w:gutter="0" w:footer="0" w:header="0"/>
        </w:sectPr>
      </w:pPr>
    </w:p>
    <w:bookmarkStart w:id="16" w:name="page17"/>
    <w:bookmarkEnd w:id="1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103" w:lineRule="exact"/>
        <w:rPr>
          <w:sz w:val="20"/>
          <w:szCs w:val="20"/>
          <w:color w:val="auto"/>
        </w:rPr>
      </w:pPr>
    </w:p>
    <w:p>
      <w:pPr>
        <w:jc w:val="both"/>
        <w:ind w:right="60" w:firstLine="345"/>
        <w:spacing w:after="0" w:line="271" w:lineRule="auto"/>
        <w:rPr>
          <w:sz w:val="20"/>
          <w:szCs w:val="20"/>
          <w:color w:val="auto"/>
        </w:rPr>
      </w:pPr>
      <w:r>
        <w:rPr>
          <w:rFonts w:ascii="Arial" w:cs="Arial" w:eastAsia="Arial" w:hAnsi="Arial"/>
          <w:sz w:val="15"/>
          <w:szCs w:val="15"/>
          <w:color w:val="auto"/>
        </w:rPr>
        <w:t>The Company recognizes stock-based compensation expense for all equity-based payment awards, including employee Restricted Stock Units and Performance-based Restricted Stock Units (“PRSUs” and, collectively with Restricted Stock Units, “RSUs”) and stock options granted under the Company’s Amended and Restated 2012 Omnibus Equity Incentive Plan (the “2012 Plan”), based on the fair value of each award on the grant date.</w:t>
      </w:r>
    </w:p>
    <w:p>
      <w:pPr>
        <w:spacing w:after="0" w:line="358" w:lineRule="exact"/>
        <w:rPr>
          <w:sz w:val="20"/>
          <w:szCs w:val="20"/>
          <w:color w:val="auto"/>
        </w:rPr>
      </w:pPr>
    </w:p>
    <w:p>
      <w:pPr>
        <w:ind w:right="280" w:firstLine="345"/>
        <w:spacing w:after="0" w:line="286" w:lineRule="auto"/>
        <w:rPr>
          <w:sz w:val="20"/>
          <w:szCs w:val="20"/>
          <w:color w:val="auto"/>
        </w:rPr>
      </w:pPr>
      <w:r>
        <w:rPr>
          <w:rFonts w:ascii="Arial" w:cs="Arial" w:eastAsia="Arial" w:hAnsi="Arial"/>
          <w:sz w:val="15"/>
          <w:szCs w:val="15"/>
          <w:color w:val="auto"/>
        </w:rPr>
        <w:t>The following table summarizes non-cash equity-based compensation expense, net of forfeitures, by financial statement line item included in the accompanying Consolidated Statements of Operations for the three and nine months ended September 30, 2021 and 2020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2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480" w:type="dxa"/>
            <w:vAlign w:val="bottom"/>
            <w:tcBorders>
              <w:bottom w:val="single" w:sz="8" w:color="auto"/>
            </w:tcBorders>
          </w:tcPr>
          <w:p>
            <w:pPr>
              <w:spacing w:after="0"/>
              <w:rPr>
                <w:sz w:val="14"/>
                <w:szCs w:val="14"/>
                <w:color w:val="auto"/>
              </w:rPr>
            </w:pPr>
          </w:p>
        </w:tc>
      </w:tr>
      <w:tr>
        <w:trPr>
          <w:trHeight w:val="157"/>
        </w:trPr>
        <w:tc>
          <w:tcPr>
            <w:tcW w:w="54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r>
      <w:tr>
        <w:trPr>
          <w:trHeight w:val="176"/>
        </w:trPr>
        <w:tc>
          <w:tcPr>
            <w:tcW w:w="5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 of revenue</w:t>
            </w: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r>
      <w:tr>
        <w:trPr>
          <w:trHeight w:val="181"/>
        </w:trPr>
        <w:tc>
          <w:tcPr>
            <w:tcW w:w="5420" w:type="dxa"/>
            <w:vAlign w:val="bottom"/>
          </w:tcPr>
          <w:p>
            <w:pPr>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187"/>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Product development</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r>
      <w:tr>
        <w:trPr>
          <w:trHeight w:val="181"/>
        </w:trPr>
        <w:tc>
          <w:tcPr>
            <w:tcW w:w="5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6,479</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19,596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12,649</w:t>
            </w:r>
          </w:p>
        </w:tc>
      </w:tr>
      <w:tr>
        <w:trPr>
          <w:trHeight w:val="20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8,285</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26,639</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17,681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summarizes non-cash equity-based compensation expense, net of forfeitures, by award type included in the accompanying Consolidated Statements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Operations for the three and nine months ended September 30, 2021 and 2020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0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2"/>
                <w:szCs w:val="12"/>
                <w:b w:val="1"/>
                <w:bCs w:val="1"/>
                <w:color w:val="auto"/>
              </w:rPr>
              <w:t>Three Months Ended September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2"/>
                <w:szCs w:val="12"/>
                <w:b w:val="1"/>
                <w:bCs w:val="1"/>
                <w:color w:val="auto"/>
              </w:rPr>
              <w:t>Nine Months Ended September 30,</w:t>
            </w:r>
          </w:p>
        </w:tc>
        <w:tc>
          <w:tcPr>
            <w:tcW w:w="480" w:type="dxa"/>
            <w:vAlign w:val="bottom"/>
            <w:tcBorders>
              <w:bottom w:val="single" w:sz="8" w:color="auto"/>
            </w:tcBorders>
          </w:tcPr>
          <w:p>
            <w:pPr>
              <w:spacing w:after="0"/>
              <w:rPr>
                <w:sz w:val="14"/>
                <w:szCs w:val="14"/>
                <w:color w:val="auto"/>
              </w:rPr>
            </w:pPr>
          </w:p>
        </w:tc>
      </w:tr>
      <w:tr>
        <w:trPr>
          <w:trHeight w:val="157"/>
        </w:trPr>
        <w:tc>
          <w:tcPr>
            <w:tcW w:w="45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r>
      <w:tr>
        <w:trPr>
          <w:trHeight w:val="176"/>
        </w:trPr>
        <w:tc>
          <w:tcPr>
            <w:tcW w:w="45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Stock options</w:t>
            </w:r>
          </w:p>
        </w:tc>
        <w:tc>
          <w:tcPr>
            <w:tcW w:w="118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w:t>
            </w:r>
          </w:p>
        </w:tc>
      </w:tr>
      <w:tr>
        <w:trPr>
          <w:trHeight w:val="181"/>
        </w:trPr>
        <w:tc>
          <w:tcPr>
            <w:tcW w:w="45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RSUs</w:t>
            </w:r>
          </w:p>
        </w:tc>
        <w:tc>
          <w:tcPr>
            <w:tcW w:w="1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8,564</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8,106</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26,108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15,772</w:t>
            </w:r>
          </w:p>
        </w:tc>
      </w:tr>
      <w:tr>
        <w:trPr>
          <w:trHeight w:val="200"/>
        </w:trPr>
        <w:tc>
          <w:tcPr>
            <w:tcW w:w="4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8,743</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8,285</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26,639</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17,681</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 Awards</w:t>
      </w:r>
    </w:p>
    <w:p>
      <w:pPr>
        <w:spacing w:after="0" w:line="195" w:lineRule="exact"/>
        <w:rPr>
          <w:sz w:val="20"/>
          <w:szCs w:val="20"/>
          <w:color w:val="auto"/>
        </w:rPr>
      </w:pPr>
    </w:p>
    <w:p>
      <w:pPr>
        <w:ind w:right="40" w:firstLine="345"/>
        <w:spacing w:after="0" w:line="271" w:lineRule="auto"/>
        <w:rPr>
          <w:sz w:val="20"/>
          <w:szCs w:val="20"/>
          <w:color w:val="auto"/>
        </w:rPr>
      </w:pPr>
      <w:r>
        <w:rPr>
          <w:rFonts w:ascii="Arial" w:cs="Arial" w:eastAsia="Arial" w:hAnsi="Arial"/>
          <w:sz w:val="15"/>
          <w:szCs w:val="15"/>
          <w:color w:val="auto"/>
        </w:rPr>
        <w:t>During the nine months ended September 30, 2021, no options to purchase shares of its common stock were granted. As of September 30, 2021, there were approximately 318,000 options vested and exercisable with a weighted average exercise price of $34.38. As of September 30, 2021, the total unrecognized compensation charge related to non-vested options was approximately $1.1 million, which is expected to be recognized through 2023.</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Unit Awards</w:t>
      </w:r>
    </w:p>
    <w:p>
      <w:pPr>
        <w:spacing w:after="0" w:line="57" w:lineRule="exact"/>
        <w:rPr>
          <w:sz w:val="20"/>
          <w:szCs w:val="20"/>
          <w:color w:val="auto"/>
        </w:rPr>
      </w:pPr>
    </w:p>
    <w:p>
      <w:pPr>
        <w:ind w:right="260" w:firstLine="345"/>
        <w:spacing w:after="0" w:line="299" w:lineRule="auto"/>
        <w:rPr>
          <w:sz w:val="20"/>
          <w:szCs w:val="20"/>
          <w:color w:val="auto"/>
        </w:rPr>
      </w:pPr>
      <w:r>
        <w:rPr>
          <w:rFonts w:ascii="Arial" w:cs="Arial" w:eastAsia="Arial" w:hAnsi="Arial"/>
          <w:sz w:val="14"/>
          <w:szCs w:val="14"/>
          <w:color w:val="auto"/>
        </w:rPr>
        <w:t>During the nine months ended September 30, 2021, the Company had RSU grants, net of forfeitures, of approximately 367,000. As of September 30, 2021, there are approximately 1,203,000 non-vested RSUs outstanding with a weighted average grant-date fair value of $59.37. As of September 30, 2021, the total unrecognized non-cash equity-based compensation charge related to the non-vested RSUs was approximately $49.8 million, which is expected to be recognized through 2024.</w:t>
      </w:r>
    </w:p>
    <w:p>
      <w:pPr>
        <w:spacing w:after="0" w:line="42" w:lineRule="exact"/>
        <w:rPr>
          <w:sz w:val="20"/>
          <w:szCs w:val="20"/>
          <w:color w:val="auto"/>
        </w:rPr>
      </w:pPr>
    </w:p>
    <w:p>
      <w:pPr>
        <w:ind w:right="160" w:firstLine="345"/>
        <w:spacing w:after="0" w:line="286" w:lineRule="auto"/>
        <w:rPr>
          <w:sz w:val="20"/>
          <w:szCs w:val="20"/>
          <w:color w:val="auto"/>
        </w:rPr>
      </w:pPr>
      <w:r>
        <w:rPr>
          <w:rFonts w:ascii="Arial" w:cs="Arial" w:eastAsia="Arial" w:hAnsi="Arial"/>
          <w:sz w:val="15"/>
          <w:szCs w:val="15"/>
          <w:color w:val="auto"/>
        </w:rPr>
        <w:t>During the nine months ended September 30, 2021 and 2020, shares of common stock with an aggregate value of $21.3 million and $3.9 million were withheld upon vesting of RSUs and paid in connection with related remittance of employee withholding taxes to taxing authorities.</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Revenue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distributes its content offerings through two primary channels:</w:t>
      </w:r>
    </w:p>
    <w:p>
      <w:pPr>
        <w:spacing w:after="0" w:line="103" w:lineRule="exact"/>
        <w:rPr>
          <w:sz w:val="20"/>
          <w:szCs w:val="20"/>
          <w:color w:val="auto"/>
        </w:rPr>
      </w:pPr>
    </w:p>
    <w:p>
      <w:pPr>
        <w:ind w:right="100" w:firstLine="345"/>
        <w:spacing w:after="0" w:line="266" w:lineRule="auto"/>
        <w:rPr>
          <w:sz w:val="20"/>
          <w:szCs w:val="20"/>
          <w:color w:val="auto"/>
        </w:rPr>
      </w:pPr>
      <w:r>
        <w:rPr>
          <w:rFonts w:ascii="Arial" w:cs="Arial" w:eastAsia="Arial" w:hAnsi="Arial"/>
          <w:sz w:val="15"/>
          <w:szCs w:val="15"/>
          <w:i w:val="1"/>
          <w:iCs w:val="1"/>
          <w:color w:val="auto"/>
        </w:rPr>
        <w:t xml:space="preserve">E-commerce: </w:t>
      </w:r>
      <w:r>
        <w:rPr>
          <w:rFonts w:ascii="Arial" w:cs="Arial" w:eastAsia="Arial" w:hAnsi="Arial"/>
          <w:sz w:val="15"/>
          <w:szCs w:val="15"/>
          <w:color w:val="auto"/>
        </w:rPr>
        <w:t>The majority of the Company’s customers license content directly through the Company’s self-service web properties. E-commerce customers have the flexibility</w:t>
      </w:r>
      <w:r>
        <w:rPr>
          <w:rFonts w:ascii="Arial" w:cs="Arial" w:eastAsia="Arial" w:hAnsi="Arial"/>
          <w:sz w:val="15"/>
          <w:szCs w:val="15"/>
          <w:i w:val="1"/>
          <w:iCs w:val="1"/>
          <w:color w:val="auto"/>
        </w:rPr>
        <w:t xml:space="preserve"> </w:t>
      </w:r>
      <w:r>
        <w:rPr>
          <w:rFonts w:ascii="Arial" w:cs="Arial" w:eastAsia="Arial" w:hAnsi="Arial"/>
          <w:sz w:val="15"/>
          <w:szCs w:val="15"/>
          <w:color w:val="auto"/>
        </w:rPr>
        <w:t>to purchase a subscription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 w:name="page18"/>
    <w:bookmarkEnd w:id="17"/>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20" w:firstLine="345"/>
        <w:spacing w:after="0" w:line="266" w:lineRule="auto"/>
        <w:rPr>
          <w:sz w:val="20"/>
          <w:szCs w:val="20"/>
          <w:color w:val="auto"/>
        </w:rPr>
      </w:pPr>
      <w:r>
        <w:rPr>
          <w:rFonts w:ascii="Arial" w:cs="Arial" w:eastAsia="Arial" w:hAnsi="Arial"/>
          <w:sz w:val="15"/>
          <w:szCs w:val="15"/>
          <w:i w:val="1"/>
          <w:iCs w:val="1"/>
          <w:color w:val="auto"/>
        </w:rPr>
        <w:t xml:space="preserve">Enterprise: </w:t>
      </w:r>
      <w:r>
        <w:rPr>
          <w:rFonts w:ascii="Arial" w:cs="Arial" w:eastAsia="Arial" w:hAnsi="Arial"/>
          <w:sz w:val="15"/>
          <w:szCs w:val="15"/>
          <w:color w:val="auto"/>
        </w:rPr>
        <w:t>The Company also has a base of customers with unique content, licensing and workflow needs. These customers benefit from communication with dedicated sales</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revenues by distribution channel for the three and nine months ended September 30, 2021 and 2020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8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2"/>
                <w:szCs w:val="12"/>
                <w:b w:val="1"/>
                <w:bCs w:val="1"/>
                <w:color w:val="auto"/>
              </w:rPr>
              <w:t>Nine Months Ended September 30,</w:t>
            </w:r>
          </w:p>
        </w:tc>
      </w:tr>
      <w:tr>
        <w:trPr>
          <w:trHeight w:val="159"/>
        </w:trPr>
        <w:tc>
          <w:tcPr>
            <w:tcW w:w="4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ind w:right="45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jc w:val="right"/>
              <w:ind w:right="473"/>
              <w:spacing w:after="0"/>
              <w:rPr>
                <w:sz w:val="20"/>
                <w:szCs w:val="20"/>
                <w:color w:val="auto"/>
              </w:rPr>
            </w:pPr>
            <w:r>
              <w:rPr>
                <w:rFonts w:ascii="Arial" w:cs="Arial" w:eastAsia="Arial" w:hAnsi="Arial"/>
                <w:sz w:val="12"/>
                <w:szCs w:val="12"/>
                <w:b w:val="1"/>
                <w:bCs w:val="1"/>
                <w:color w:val="auto"/>
              </w:rPr>
              <w:t>2020</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4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E-commerce</w:t>
            </w:r>
          </w:p>
        </w:tc>
        <w:tc>
          <w:tcPr>
            <w:tcW w:w="1120" w:type="dxa"/>
            <w:vAlign w:val="bottom"/>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121,707</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102,816</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360,822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300,716</w:t>
            </w:r>
          </w:p>
        </w:tc>
      </w:tr>
      <w:tr>
        <w:trPr>
          <w:trHeight w:val="181"/>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Enterprise</w:t>
            </w:r>
          </w:p>
        </w:tc>
        <w:tc>
          <w:tcPr>
            <w:tcW w:w="1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72,732</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62,411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206,810</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185,026</w:t>
            </w:r>
          </w:p>
        </w:tc>
      </w:tr>
      <w:tr>
        <w:trPr>
          <w:trHeight w:val="203"/>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Revenues</w:t>
            </w:r>
          </w:p>
        </w:tc>
        <w:tc>
          <w:tcPr>
            <w:tcW w:w="11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2"/>
              </w:rPr>
              <w:t>194,439</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165,227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567,632</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485,742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right="60" w:firstLine="345"/>
        <w:spacing w:after="0" w:line="271" w:lineRule="auto"/>
        <w:rPr>
          <w:sz w:val="20"/>
          <w:szCs w:val="20"/>
          <w:color w:val="auto"/>
        </w:rPr>
      </w:pPr>
      <w:r>
        <w:rPr>
          <w:rFonts w:ascii="Arial" w:cs="Arial" w:eastAsia="Arial" w:hAnsi="Arial"/>
          <w:sz w:val="15"/>
          <w:szCs w:val="15"/>
          <w:color w:val="auto"/>
        </w:rPr>
        <w:t>The September 30, 2021 deferred revenue balance will be earned as content is downloaded or upon the expiration of subscription-based products, and nearly all is expected to be earned within the next twelve months. $125.5 million of total revenue recognized for the nine months ended September 30, 2021 was reflected in deferred revenue as of December 31, 2020.</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Other (Expense) / Income, net</w:t>
      </w:r>
    </w:p>
    <w:p>
      <w:pPr>
        <w:spacing w:after="0" w:line="107" w:lineRule="exact"/>
        <w:rPr>
          <w:sz w:val="20"/>
          <w:szCs w:val="20"/>
          <w:color w:val="auto"/>
        </w:rPr>
      </w:pPr>
    </w:p>
    <w:p>
      <w:pPr>
        <w:ind w:right="100" w:firstLine="345"/>
        <w:spacing w:after="0" w:line="273" w:lineRule="auto"/>
        <w:rPr>
          <w:sz w:val="20"/>
          <w:szCs w:val="20"/>
          <w:color w:val="auto"/>
        </w:rPr>
      </w:pPr>
      <w:r>
        <w:rPr>
          <w:rFonts w:ascii="Arial" w:cs="Arial" w:eastAsia="Arial" w:hAnsi="Arial"/>
          <w:sz w:val="15"/>
          <w:szCs w:val="15"/>
          <w:color w:val="auto"/>
        </w:rPr>
        <w:t>The following table presents a summary of the Company’s other income and expense activity included in the accompanying Consolidated Statements of Operations for the three and nine months ended September 30, 2021 and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2"/>
                <w:szCs w:val="12"/>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2"/>
                <w:szCs w:val="12"/>
                <w:b w:val="1"/>
                <w:bCs w:val="1"/>
                <w:color w:val="auto"/>
              </w:rPr>
              <w:t>Nine Months Ended September 30,</w:t>
            </w:r>
          </w:p>
        </w:tc>
      </w:tr>
      <w:tr>
        <w:trPr>
          <w:trHeight w:val="157"/>
        </w:trPr>
        <w:tc>
          <w:tcPr>
            <w:tcW w:w="44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2020</w:t>
            </w:r>
          </w:p>
        </w:tc>
      </w:tr>
      <w:tr>
        <w:trPr>
          <w:trHeight w:val="176"/>
        </w:trPr>
        <w:tc>
          <w:tcPr>
            <w:tcW w:w="442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Foreign currency (loss) / gain</w:t>
            </w:r>
          </w:p>
        </w:tc>
        <w:tc>
          <w:tcPr>
            <w:tcW w:w="1140" w:type="dxa"/>
            <w:vAlign w:val="bottom"/>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(1,761)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(1,170)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w:t>
            </w:r>
          </w:p>
        </w:tc>
      </w:tr>
      <w:tr>
        <w:trPr>
          <w:trHeight w:val="181"/>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 net</w:t>
            </w:r>
          </w:p>
        </w:tc>
        <w:tc>
          <w:tcPr>
            <w:tcW w:w="1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w:t>
            </w:r>
          </w:p>
        </w:tc>
      </w:tr>
      <w:tr>
        <w:trPr>
          <w:trHeight w:val="200"/>
        </w:trPr>
        <w:tc>
          <w:tcPr>
            <w:tcW w:w="4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other (expense) / income</w:t>
            </w:r>
          </w:p>
        </w:tc>
        <w:tc>
          <w:tcPr>
            <w:tcW w:w="11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(1,749)</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(1,168)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Income Taxes</w:t>
      </w:r>
    </w:p>
    <w:p>
      <w:pPr>
        <w:spacing w:after="0" w:line="107" w:lineRule="exact"/>
        <w:rPr>
          <w:sz w:val="20"/>
          <w:szCs w:val="20"/>
          <w:color w:val="auto"/>
        </w:rPr>
      </w:pPr>
    </w:p>
    <w:p>
      <w:pPr>
        <w:ind w:right="60" w:firstLine="345"/>
        <w:spacing w:after="0" w:line="286" w:lineRule="auto"/>
        <w:rPr>
          <w:sz w:val="20"/>
          <w:szCs w:val="20"/>
          <w:color w:val="auto"/>
        </w:rPr>
      </w:pPr>
      <w:r>
        <w:rPr>
          <w:rFonts w:ascii="Arial" w:cs="Arial" w:eastAsia="Arial" w:hAnsi="Arial"/>
          <w:sz w:val="15"/>
          <w:szCs w:val="15"/>
          <w:color w:val="auto"/>
        </w:rPr>
        <w:t>The Company’s effective tax rates yielded a net expense of 21.5% and 19.9% for the three months ended September 30, 2021 and 2020, respectively, and a net expense of 17.2% and 19.7% for the nine months ended September 30, 2021 and 2020, respectively.</w:t>
      </w:r>
    </w:p>
    <w:p>
      <w:pPr>
        <w:spacing w:after="0" w:line="49" w:lineRule="exact"/>
        <w:rPr>
          <w:sz w:val="20"/>
          <w:szCs w:val="20"/>
          <w:color w:val="auto"/>
        </w:rPr>
      </w:pPr>
    </w:p>
    <w:p>
      <w:pPr>
        <w:ind w:right="140" w:firstLine="345"/>
        <w:spacing w:after="0" w:line="266" w:lineRule="auto"/>
        <w:rPr>
          <w:sz w:val="20"/>
          <w:szCs w:val="20"/>
          <w:color w:val="auto"/>
        </w:rPr>
      </w:pPr>
      <w:r>
        <w:rPr>
          <w:rFonts w:ascii="Arial" w:cs="Arial" w:eastAsia="Arial" w:hAnsi="Arial"/>
          <w:sz w:val="15"/>
          <w:szCs w:val="15"/>
          <w:color w:val="auto"/>
        </w:rPr>
        <w:t>During the three months ended September 30, 2021, the net effect of discrete items increased the effective tax rate by 1.3%. For the nine months ended September 30, 2021, the net effect of discrete items decreased the effective tax rate by 3.0%. The discrete items for the nine months ended September 30, 2021, primarily relate to windfall tax benefits associated with equity-based compensation. Excluding discrete items, the Company’s effective tax rate would have been 20.2% for the three and nine months ended September 30, 2021.</w:t>
      </w:r>
    </w:p>
    <w:p>
      <w:pPr>
        <w:spacing w:after="0" w:line="63" w:lineRule="exact"/>
        <w:rPr>
          <w:sz w:val="20"/>
          <w:szCs w:val="20"/>
          <w:color w:val="auto"/>
        </w:rPr>
      </w:pPr>
    </w:p>
    <w:p>
      <w:pPr>
        <w:ind w:right="140" w:firstLine="345"/>
        <w:spacing w:after="0" w:line="271" w:lineRule="auto"/>
        <w:rPr>
          <w:sz w:val="20"/>
          <w:szCs w:val="20"/>
          <w:color w:val="auto"/>
        </w:rPr>
      </w:pPr>
      <w:r>
        <w:rPr>
          <w:rFonts w:ascii="Arial" w:cs="Arial" w:eastAsia="Arial" w:hAnsi="Arial"/>
          <w:sz w:val="15"/>
          <w:szCs w:val="15"/>
          <w:color w:val="auto"/>
        </w:rPr>
        <w:t>During the three months ended September 30, 2020, the net effect of discrete items increased the effective tax rate by 2.9%. For the nine months ended September 30, 2020, the effective tax rate increased by 0.9% as a result of a loss jurisdiction with no tax benefit. Discrete items further increased the effective tax rate by 1.8%. Excluding the discrete items, the Company’s effective tax rate would have been 17.0% for the three and nine months ended September 30, 2020.</w:t>
      </w:r>
    </w:p>
    <w:p>
      <w:pPr>
        <w:spacing w:after="0" w:line="59" w:lineRule="exact"/>
        <w:rPr>
          <w:sz w:val="20"/>
          <w:szCs w:val="20"/>
          <w:color w:val="auto"/>
        </w:rPr>
      </w:pPr>
    </w:p>
    <w:p>
      <w:pPr>
        <w:ind w:right="160" w:firstLine="345"/>
        <w:spacing w:after="0" w:line="286" w:lineRule="auto"/>
        <w:rPr>
          <w:sz w:val="20"/>
          <w:szCs w:val="20"/>
          <w:color w:val="auto"/>
        </w:rPr>
      </w:pPr>
      <w:r>
        <w:rPr>
          <w:rFonts w:ascii="Arial" w:cs="Arial" w:eastAsia="Arial" w:hAnsi="Arial"/>
          <w:sz w:val="15"/>
          <w:szCs w:val="15"/>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49" w:lineRule="exact"/>
        <w:rPr>
          <w:sz w:val="20"/>
          <w:szCs w:val="20"/>
          <w:color w:val="auto"/>
        </w:rPr>
      </w:pPr>
    </w:p>
    <w:p>
      <w:pPr>
        <w:ind w:right="480" w:firstLine="345"/>
        <w:spacing w:after="0" w:line="286" w:lineRule="auto"/>
        <w:rPr>
          <w:sz w:val="20"/>
          <w:szCs w:val="20"/>
          <w:color w:val="auto"/>
        </w:rPr>
      </w:pPr>
      <w:r>
        <w:rPr>
          <w:rFonts w:ascii="Arial" w:cs="Arial" w:eastAsia="Arial" w:hAnsi="Arial"/>
          <w:sz w:val="15"/>
          <w:szCs w:val="15"/>
          <w:color w:val="auto"/>
        </w:rPr>
        <w:t>During the three and nine months ended September 30, 2021 and 2020, uncertain tax positions recorded by the Company were not significant. To the extent the remaining uncertain tax positions are ultimately recognized, the Company’s effective tax rate may be impacted in future periods.</w:t>
      </w:r>
    </w:p>
    <w:p>
      <w:pPr>
        <w:spacing w:after="0" w:line="200" w:lineRule="exact"/>
        <w:rPr>
          <w:sz w:val="20"/>
          <w:szCs w:val="20"/>
          <w:color w:val="auto"/>
        </w:r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8" w:name="page19"/>
    <w:bookmarkEnd w:id="18"/>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00" w:firstLine="345"/>
        <w:spacing w:after="0" w:line="324" w:lineRule="auto"/>
        <w:rPr>
          <w:sz w:val="20"/>
          <w:szCs w:val="20"/>
          <w:color w:val="auto"/>
        </w:rPr>
      </w:pPr>
      <w:r>
        <w:rPr>
          <w:rFonts w:ascii="Arial" w:cs="Arial" w:eastAsia="Arial" w:hAnsi="Arial"/>
          <w:sz w:val="14"/>
          <w:szCs w:val="14"/>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nine months ended September 30, 2021 and 2020.</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During the nine months ended September 30, 2021 and 2020, the Company paid net cash taxes of $14.8 million and $2.8 million, respectively.</w:t>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Net Income Per Share</w:t>
      </w:r>
    </w:p>
    <w:p>
      <w:pPr>
        <w:spacing w:after="0" w:line="142" w:lineRule="exact"/>
        <w:rPr>
          <w:sz w:val="20"/>
          <w:szCs w:val="20"/>
          <w:color w:val="auto"/>
        </w:rPr>
      </w:pPr>
    </w:p>
    <w:p>
      <w:pPr>
        <w:ind w:right="160" w:firstLine="345"/>
        <w:spacing w:after="0" w:line="271" w:lineRule="auto"/>
        <w:rPr>
          <w:sz w:val="20"/>
          <w:szCs w:val="20"/>
          <w:color w:val="auto"/>
        </w:rPr>
      </w:pPr>
      <w:r>
        <w:rPr>
          <w:rFonts w:ascii="Arial" w:cs="Arial" w:eastAsia="Arial" w:hAnsi="Arial"/>
          <w:sz w:val="15"/>
          <w:szCs w:val="15"/>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sets forth the computation of basic and diluted net income per share for the three and nine months ended September 30, 2021 and 2020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6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2"/>
                <w:szCs w:val="12"/>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57"/>
        </w:trPr>
        <w:tc>
          <w:tcPr>
            <w:tcW w:w="44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01"/>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16,029</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22,582</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74,997</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Shares used to compute basic net income per share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4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93"/>
              </w:rPr>
              <w:t>36,622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93"/>
              </w:rPr>
              <w:t>35,962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36,510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35,713</w:t>
            </w:r>
          </w:p>
        </w:tc>
        <w:tc>
          <w:tcPr>
            <w:tcW w:w="0" w:type="dxa"/>
            <w:vAlign w:val="bottom"/>
          </w:tcPr>
          <w:p>
            <w:pPr>
              <w:spacing w:after="0"/>
              <w:rPr>
                <w:sz w:val="1"/>
                <w:szCs w:val="1"/>
                <w:color w:val="auto"/>
              </w:rPr>
            </w:pPr>
          </w:p>
        </w:tc>
      </w:tr>
      <w:tr>
        <w:trPr>
          <w:trHeight w:val="187"/>
        </w:trPr>
        <w:tc>
          <w:tcPr>
            <w:tcW w:w="4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Dilutive potential common shares</w:t>
            </w: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60" w:type="dxa"/>
            <w:vAlign w:val="bottom"/>
          </w:tcPr>
          <w:p>
            <w:pPr>
              <w:ind w:left="520"/>
              <w:spacing w:after="0"/>
              <w:rPr>
                <w:sz w:val="20"/>
                <w:szCs w:val="20"/>
                <w:color w:val="auto"/>
              </w:rPr>
            </w:pPr>
            <w:r>
              <w:rPr>
                <w:rFonts w:ascii="Arial" w:cs="Arial" w:eastAsia="Arial" w:hAnsi="Arial"/>
                <w:sz w:val="14"/>
                <w:szCs w:val="14"/>
                <w:color w:val="auto"/>
              </w:rPr>
              <w:t>Stock options</w:t>
            </w:r>
          </w:p>
        </w:tc>
        <w:tc>
          <w:tcPr>
            <w:tcW w:w="1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4"/>
        </w:trPr>
        <w:tc>
          <w:tcPr>
            <w:tcW w:w="4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Unvested restricted stock awards</w:t>
            </w:r>
          </w:p>
        </w:tc>
        <w:tc>
          <w:tcPr>
            <w:tcW w:w="1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78"/>
        </w:trPr>
        <w:tc>
          <w:tcPr>
            <w:tcW w:w="4460" w:type="dxa"/>
            <w:vAlign w:val="bottom"/>
          </w:tcPr>
          <w:p>
            <w:pPr>
              <w:ind w:left="460"/>
              <w:spacing w:after="0"/>
              <w:rPr>
                <w:sz w:val="20"/>
                <w:szCs w:val="20"/>
                <w:color w:val="auto"/>
              </w:rPr>
            </w:pPr>
            <w:r>
              <w:rPr>
                <w:rFonts w:ascii="Arial" w:cs="Arial" w:eastAsia="Arial" w:hAnsi="Arial"/>
                <w:sz w:val="14"/>
                <w:szCs w:val="14"/>
                <w:color w:val="auto"/>
              </w:rPr>
              <w:t>Shares used to compute diluted net income per share</w:t>
            </w: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37,417</w:t>
            </w: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36,494</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37,285</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36,095</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Basic net income per share</w:t>
            </w:r>
          </w:p>
        </w:tc>
        <w:tc>
          <w:tcPr>
            <w:tcW w:w="11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60" w:type="dxa"/>
            <w:vAlign w:val="bottom"/>
          </w:tcPr>
          <w:p>
            <w:pPr>
              <w:ind w:left="460"/>
              <w:spacing w:after="0" w:line="150" w:lineRule="exact"/>
              <w:rPr>
                <w:sz w:val="20"/>
                <w:szCs w:val="20"/>
                <w:color w:val="auto"/>
              </w:rPr>
            </w:pPr>
            <w:r>
              <w:rPr>
                <w:rFonts w:ascii="Arial" w:cs="Arial" w:eastAsia="Arial" w:hAnsi="Arial"/>
                <w:sz w:val="14"/>
                <w:szCs w:val="14"/>
                <w:color w:val="auto"/>
              </w:rPr>
              <w:t>Diluted net income per share</w:t>
            </w:r>
          </w:p>
        </w:tc>
        <w:tc>
          <w:tcPr>
            <w:tcW w:w="1140" w:type="dxa"/>
            <w:vAlign w:val="bottom"/>
            <w:tcBorders>
              <w:bottom w:val="single" w:sz="8" w:color="auto"/>
            </w:tcBorders>
          </w:tcPr>
          <w:p>
            <w:pPr>
              <w:jc w:val="right"/>
              <w:ind w:right="654"/>
              <w:spacing w:after="0" w:line="150"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0.43</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653"/>
              <w:spacing w:after="0" w:line="150"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0.62</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51"/>
              <w:spacing w:after="0" w:line="15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151"/>
              <w:spacing w:after="0" w:line="15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80"/>
        </w:trPr>
        <w:tc>
          <w:tcPr>
            <w:tcW w:w="446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4460" w:type="dxa"/>
            <w:vAlign w:val="bottom"/>
            <w:tcBorders>
              <w:top w:val="single" w:sz="8" w:color="CCEEFF"/>
            </w:tcBorders>
          </w:tcPr>
          <w:p>
            <w:pPr>
              <w:ind w:left="360"/>
              <w:spacing w:after="0"/>
              <w:rPr>
                <w:sz w:val="20"/>
                <w:szCs w:val="20"/>
                <w:color w:val="auto"/>
              </w:rPr>
            </w:pPr>
            <w:r>
              <w:rPr>
                <w:rFonts w:ascii="Arial" w:cs="Arial" w:eastAsia="Arial" w:hAnsi="Arial"/>
                <w:sz w:val="14"/>
                <w:szCs w:val="14"/>
                <w:color w:val="auto"/>
              </w:rPr>
              <w:t>Dilutive shares included in the calculation</w:t>
            </w:r>
          </w:p>
        </w:tc>
        <w:tc>
          <w:tcPr>
            <w:tcW w:w="1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1,385</w:t>
            </w:r>
          </w:p>
        </w:tc>
        <w:tc>
          <w:tcPr>
            <w:tcW w:w="1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7"/>
        </w:trPr>
        <w:tc>
          <w:tcPr>
            <w:tcW w:w="4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Anti-dilutive shares excluded from the calculation</w:t>
            </w: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9" w:name="page20"/>
    <w:bookmarkEnd w:id="1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Geographic Information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Company’s revenue based on customer location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980" w:type="dxa"/>
            <w:vAlign w:val="bottom"/>
            <w:gridSpan w:val="6"/>
            <w:vMerge w:val="restart"/>
          </w:tcPr>
          <w:p>
            <w:pPr>
              <w:ind w:left="48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2"/>
                <w:szCs w:val="12"/>
                <w:color w:val="auto"/>
              </w:rPr>
            </w:pPr>
          </w:p>
        </w:tc>
        <w:tc>
          <w:tcPr>
            <w:tcW w:w="170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ind w:right="131"/>
              <w:spacing w:after="0"/>
              <w:rPr>
                <w:sz w:val="20"/>
                <w:szCs w:val="20"/>
                <w:color w:val="auto"/>
              </w:rPr>
            </w:pPr>
            <w:r>
              <w:rPr>
                <w:rFonts w:ascii="Arial" w:cs="Arial" w:eastAsia="Arial" w:hAnsi="Arial"/>
                <w:sz w:val="12"/>
                <w:szCs w:val="12"/>
                <w:b w:val="1"/>
                <w:bCs w:val="1"/>
                <w:color w:val="auto"/>
              </w:rPr>
              <w:t>September 30,</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3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6"/>
        </w:trPr>
        <w:tc>
          <w:tcPr>
            <w:tcW w:w="53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North America</w:t>
            </w:r>
          </w:p>
        </w:tc>
        <w:tc>
          <w:tcPr>
            <w:tcW w:w="840" w:type="dxa"/>
            <w:vAlign w:val="bottom"/>
            <w:shd w:val="clear" w:color="auto" w:fill="CCEEFF"/>
          </w:tcPr>
          <w:p>
            <w:pPr>
              <w:jc w:val="right"/>
              <w:ind w:right="69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172,481</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20"/>
                <w:szCs w:val="20"/>
                <w:color w:val="auto"/>
              </w:rPr>
            </w:pPr>
            <w:r>
              <w:rPr>
                <w:rFonts w:ascii="Arial" w:cs="Arial" w:eastAsia="Arial" w:hAnsi="Arial"/>
                <w:sz w:val="14"/>
                <w:szCs w:val="14"/>
                <w:color w:val="auto"/>
              </w:rPr>
              <w:t>Europe</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60,301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53,291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187,356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159,294</w:t>
            </w: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Rest of the world</w:t>
            </w:r>
          </w:p>
        </w:tc>
        <w:tc>
          <w:tcPr>
            <w:tcW w:w="8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56,874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52,684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169,749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153,967</w:t>
            </w:r>
          </w:p>
        </w:tc>
        <w:tc>
          <w:tcPr>
            <w:tcW w:w="0" w:type="dxa"/>
            <w:vAlign w:val="bottom"/>
          </w:tcPr>
          <w:p>
            <w:pPr>
              <w:spacing w:after="0"/>
              <w:rPr>
                <w:sz w:val="1"/>
                <w:szCs w:val="1"/>
                <w:color w:val="auto"/>
              </w:rPr>
            </w:pPr>
          </w:p>
        </w:tc>
      </w:tr>
      <w:tr>
        <w:trPr>
          <w:trHeight w:val="172"/>
        </w:trPr>
        <w:tc>
          <w:tcPr>
            <w:tcW w:w="5380" w:type="dxa"/>
            <w:vAlign w:val="bottom"/>
          </w:tcPr>
          <w:p>
            <w:pPr>
              <w:ind w:left="120"/>
              <w:spacing w:after="0" w:line="158" w:lineRule="exact"/>
              <w:rPr>
                <w:sz w:val="20"/>
                <w:szCs w:val="20"/>
                <w:color w:val="auto"/>
              </w:rPr>
            </w:pPr>
            <w:r>
              <w:rPr>
                <w:rFonts w:ascii="Arial" w:cs="Arial" w:eastAsia="Arial" w:hAnsi="Arial"/>
                <w:sz w:val="14"/>
                <w:szCs w:val="14"/>
                <w:color w:val="auto"/>
              </w:rPr>
              <w:t>Total revenue</w:t>
            </w:r>
          </w:p>
        </w:tc>
        <w:tc>
          <w:tcPr>
            <w:tcW w:w="8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194,439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165,227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567,632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485,742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120" w:firstLine="345"/>
        <w:spacing w:after="0" w:line="286" w:lineRule="auto"/>
        <w:rPr>
          <w:sz w:val="20"/>
          <w:szCs w:val="20"/>
          <w:color w:val="auto"/>
        </w:rPr>
      </w:pPr>
      <w:r>
        <w:rPr>
          <w:rFonts w:ascii="Arial" w:cs="Arial" w:eastAsia="Arial" w:hAnsi="Arial"/>
          <w:sz w:val="15"/>
          <w:szCs w:val="15"/>
          <w:color w:val="auto"/>
        </w:rPr>
        <w:t>The United States, included in North America in the above table, accounted for 33% and 32% of consolidated revenue for the nine months ended September 30, 2021 and 2020, respectively. No other country accounts for more than 10% of the Company’s revenue in any period presented.</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As of September 30,</w:t>
            </w:r>
          </w:p>
        </w:tc>
        <w:tc>
          <w:tcPr>
            <w:tcW w:w="540" w:type="dxa"/>
            <w:vAlign w:val="bottom"/>
          </w:tcPr>
          <w:p>
            <w:pPr>
              <w:spacing w:after="0"/>
              <w:rPr>
                <w:sz w:val="13"/>
                <w:szCs w:val="13"/>
                <w:color w:val="auto"/>
              </w:rPr>
            </w:pPr>
          </w:p>
        </w:tc>
        <w:tc>
          <w:tcPr>
            <w:tcW w:w="1420" w:type="dxa"/>
            <w:vAlign w:val="bottom"/>
          </w:tcPr>
          <w:p>
            <w:pPr>
              <w:jc w:val="right"/>
              <w:ind w:right="234"/>
              <w:spacing w:after="0"/>
              <w:rPr>
                <w:sz w:val="20"/>
                <w:szCs w:val="20"/>
                <w:color w:val="auto"/>
              </w:rPr>
            </w:pPr>
            <w:r>
              <w:rPr>
                <w:rFonts w:ascii="Arial" w:cs="Arial" w:eastAsia="Arial" w:hAnsi="Arial"/>
                <w:sz w:val="12"/>
                <w:szCs w:val="12"/>
                <w:b w:val="1"/>
                <w:bCs w:val="1"/>
                <w:color w:val="auto"/>
                <w:w w:val="98"/>
              </w:rPr>
              <w:t>As of December 31,</w:t>
            </w:r>
          </w:p>
        </w:tc>
      </w:tr>
      <w:tr>
        <w:trPr>
          <w:trHeight w:val="166"/>
        </w:trPr>
        <w:tc>
          <w:tcPr>
            <w:tcW w:w="7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4"/>
              <w:spacing w:after="0"/>
              <w:rPr>
                <w:sz w:val="20"/>
                <w:szCs w:val="20"/>
                <w:color w:val="auto"/>
              </w:rPr>
            </w:pPr>
            <w:r>
              <w:rPr>
                <w:rFonts w:ascii="Arial" w:cs="Arial" w:eastAsia="Arial" w:hAnsi="Arial"/>
                <w:sz w:val="12"/>
                <w:szCs w:val="12"/>
                <w:b w:val="1"/>
                <w:bCs w:val="1"/>
                <w:color w:val="auto"/>
              </w:rPr>
              <w:t>2020</w:t>
            </w:r>
          </w:p>
        </w:tc>
      </w:tr>
      <w:tr>
        <w:trPr>
          <w:trHeight w:val="180"/>
        </w:trPr>
        <w:tc>
          <w:tcPr>
            <w:tcW w:w="7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North America</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43,451</w:t>
            </w:r>
          </w:p>
        </w:tc>
      </w:tr>
      <w:tr>
        <w:trPr>
          <w:trHeight w:val="181"/>
        </w:trPr>
        <w:tc>
          <w:tcPr>
            <w:tcW w:w="7120" w:type="dxa"/>
            <w:vAlign w:val="bottom"/>
          </w:tcPr>
          <w:p>
            <w:pPr>
              <w:ind w:left="360"/>
              <w:spacing w:after="0"/>
              <w:rPr>
                <w:sz w:val="20"/>
                <w:szCs w:val="20"/>
                <w:color w:val="auto"/>
              </w:rPr>
            </w:pPr>
            <w:r>
              <w:rPr>
                <w:rFonts w:ascii="Arial" w:cs="Arial" w:eastAsia="Arial" w:hAnsi="Arial"/>
                <w:sz w:val="14"/>
                <w:szCs w:val="14"/>
                <w:color w:val="auto"/>
              </w:rPr>
              <w:t>Europe</w:t>
            </w:r>
          </w:p>
        </w:tc>
        <w:tc>
          <w:tcPr>
            <w:tcW w:w="5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7,192</w:t>
            </w:r>
          </w:p>
        </w:tc>
      </w:tr>
      <w:tr>
        <w:trPr>
          <w:trHeight w:val="187"/>
        </w:trPr>
        <w:tc>
          <w:tcPr>
            <w:tcW w:w="7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 of the world</w:t>
            </w:r>
          </w:p>
        </w:tc>
        <w:tc>
          <w:tcPr>
            <w:tcW w:w="5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72"/>
        </w:trPr>
        <w:tc>
          <w:tcPr>
            <w:tcW w:w="7120" w:type="dxa"/>
            <w:vAlign w:val="bottom"/>
          </w:tcPr>
          <w:p>
            <w:pPr>
              <w:ind w:left="460"/>
              <w:spacing w:after="0" w:line="158" w:lineRule="exact"/>
              <w:rPr>
                <w:sz w:val="20"/>
                <w:szCs w:val="20"/>
                <w:color w:val="auto"/>
              </w:rPr>
            </w:pPr>
            <w:r>
              <w:rPr>
                <w:rFonts w:ascii="Arial" w:cs="Arial" w:eastAsia="Arial" w:hAnsi="Arial"/>
                <w:sz w:val="14"/>
                <w:szCs w:val="14"/>
                <w:color w:val="auto"/>
              </w:rPr>
              <w:t>Total long-lived tangible assets</w:t>
            </w: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48,866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50,906</w:t>
            </w:r>
          </w:p>
        </w:tc>
      </w:tr>
      <w:tr>
        <w:trPr>
          <w:trHeight w:val="20"/>
        </w:trPr>
        <w:tc>
          <w:tcPr>
            <w:tcW w:w="7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345"/>
        <w:spacing w:after="0" w:line="271" w:lineRule="auto"/>
        <w:rPr>
          <w:sz w:val="20"/>
          <w:szCs w:val="20"/>
          <w:color w:val="auto"/>
        </w:rPr>
      </w:pPr>
      <w:r>
        <w:rPr>
          <w:rFonts w:ascii="Arial" w:cs="Arial" w:eastAsia="Arial" w:hAnsi="Arial"/>
          <w:sz w:val="15"/>
          <w:szCs w:val="15"/>
          <w:color w:val="auto"/>
        </w:rPr>
        <w:t>The United States, included in North America in the above table, accounted for 76% and 75% of total long-lived tangible assets as of September 30, 2021 and December 31, 2020, respectively. Ireland, included in Europe in the above table, accounted for 11% of total long-lived tangible assets as of September 30, 2021. No other country accounts for more than 10% of the Company’s long-lived tangible assets in any period presented.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Commitments and Contingencies</w:t>
      </w:r>
    </w:p>
    <w:p>
      <w:pPr>
        <w:spacing w:after="0" w:line="107" w:lineRule="exact"/>
        <w:rPr>
          <w:sz w:val="20"/>
          <w:szCs w:val="20"/>
          <w:color w:val="auto"/>
        </w:rPr>
      </w:pPr>
    </w:p>
    <w:p>
      <w:pPr>
        <w:ind w:right="40" w:firstLine="345"/>
        <w:spacing w:after="0" w:line="266" w:lineRule="auto"/>
        <w:rPr>
          <w:sz w:val="20"/>
          <w:szCs w:val="20"/>
          <w:color w:val="auto"/>
        </w:rPr>
      </w:pPr>
      <w:r>
        <w:rPr>
          <w:rFonts w:ascii="Arial" w:cs="Arial" w:eastAsia="Arial" w:hAnsi="Arial"/>
          <w:sz w:val="15"/>
          <w:szCs w:val="15"/>
          <w:color w:val="auto"/>
        </w:rPr>
        <w:t>As of September 30, 2021, the Company had total non-lease obligations in the amount of approximately $59.0 million, which consisted primarily of minimum royalty guarantees and unconditional purchase obligations related to contracts for infrastructure and other business services. As of September 30, 2021, the Company’s non-lease obligations for the remainder of 2021 and for the years ending December 31, 2022, 2023, 2024, 2025 and 2026 were approximately $21.5 million, $17.7 million, $12.7 million, $4.7 million, $2.1 million and $0.3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Matters</w:t>
      </w:r>
    </w:p>
    <w:p>
      <w:pPr>
        <w:spacing w:after="0" w:line="138" w:lineRule="exact"/>
        <w:rPr>
          <w:sz w:val="20"/>
          <w:szCs w:val="20"/>
          <w:color w:val="auto"/>
        </w:rPr>
      </w:pPr>
    </w:p>
    <w:p>
      <w:pPr>
        <w:ind w:firstLine="345"/>
        <w:spacing w:after="0" w:line="279" w:lineRule="auto"/>
        <w:rPr>
          <w:sz w:val="20"/>
          <w:szCs w:val="20"/>
          <w:color w:val="auto"/>
        </w:rPr>
      </w:pPr>
      <w:r>
        <w:rPr>
          <w:rFonts w:ascii="Arial" w:cs="Arial" w:eastAsia="Arial" w:hAnsi="Arial"/>
          <w:sz w:val="14"/>
          <w:szCs w:val="14"/>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200" w:lineRule="exact"/>
        <w:rPr>
          <w:sz w:val="20"/>
          <w:szCs w:val="20"/>
          <w:color w:val="auto"/>
        </w:rPr>
      </w:pPr>
    </w:p>
    <w:p>
      <w:pPr>
        <w:spacing w:after="0" w:line="30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0" w:name="page21"/>
    <w:bookmarkEnd w:id="2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 and Employment Agreements</w:t>
      </w:r>
    </w:p>
    <w:p>
      <w:pPr>
        <w:spacing w:after="0" w:line="103" w:lineRule="exact"/>
        <w:rPr>
          <w:sz w:val="20"/>
          <w:szCs w:val="20"/>
          <w:color w:val="auto"/>
        </w:rPr>
      </w:pPr>
    </w:p>
    <w:p>
      <w:pPr>
        <w:ind w:firstLine="345"/>
        <w:spacing w:after="0" w:line="282" w:lineRule="auto"/>
        <w:rPr>
          <w:sz w:val="20"/>
          <w:szCs w:val="20"/>
          <w:color w:val="auto"/>
        </w:rPr>
      </w:pPr>
      <w:r>
        <w:rPr>
          <w:rFonts w:ascii="Arial" w:cs="Arial" w:eastAsia="Arial" w:hAnsi="Arial"/>
          <w:sz w:val="14"/>
          <w:szCs w:val="14"/>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September 30, 2021,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55" w:lineRule="exact"/>
        <w:rPr>
          <w:sz w:val="20"/>
          <w:szCs w:val="20"/>
          <w:color w:val="auto"/>
        </w:rPr>
      </w:pPr>
    </w:p>
    <w:p>
      <w:pPr>
        <w:jc w:val="both"/>
        <w:ind w:right="100" w:firstLine="345"/>
        <w:spacing w:after="0" w:line="286" w:lineRule="auto"/>
        <w:rPr>
          <w:sz w:val="20"/>
          <w:szCs w:val="20"/>
          <w:color w:val="auto"/>
        </w:rPr>
      </w:pPr>
      <w:r>
        <w:rPr>
          <w:rFonts w:ascii="Arial" w:cs="Arial" w:eastAsia="Arial" w:hAnsi="Arial"/>
          <w:sz w:val="15"/>
          <w:szCs w:val="15"/>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49" w:lineRule="exact"/>
        <w:rPr>
          <w:sz w:val="20"/>
          <w:szCs w:val="20"/>
          <w:color w:val="auto"/>
        </w:rPr>
      </w:pPr>
    </w:p>
    <w:p>
      <w:pPr>
        <w:jc w:val="both"/>
        <w:ind w:right="80" w:firstLine="345"/>
        <w:spacing w:after="0" w:line="271" w:lineRule="auto"/>
        <w:rPr>
          <w:sz w:val="20"/>
          <w:szCs w:val="20"/>
          <w:color w:val="auto"/>
        </w:rPr>
      </w:pPr>
      <w:r>
        <w:rPr>
          <w:rFonts w:ascii="Arial" w:cs="Arial" w:eastAsia="Arial" w:hAnsi="Arial"/>
          <w:sz w:val="15"/>
          <w:szCs w:val="15"/>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00"/>
          </w:cols>
          <w:pgMar w:left="320" w:top="129" w:right="479" w:bottom="1440" w:gutter="0" w:footer="0" w:header="0"/>
        </w:sectPr>
      </w:pPr>
    </w:p>
    <w:bookmarkStart w:id="21" w:name="page22"/>
    <w:bookmarkEnd w:id="21"/>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07" w:lineRule="exact"/>
        <w:rPr>
          <w:sz w:val="20"/>
          <w:szCs w:val="20"/>
          <w:color w:val="auto"/>
        </w:rPr>
      </w:pPr>
    </w:p>
    <w:p>
      <w:pPr>
        <w:ind w:right="140" w:firstLine="345"/>
        <w:spacing w:after="0" w:line="271"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2020 Form 10-K.</w:t>
      </w:r>
    </w:p>
    <w:p>
      <w:pPr>
        <w:spacing w:after="0" w:line="94" w:lineRule="exact"/>
        <w:rPr>
          <w:sz w:val="20"/>
          <w:szCs w:val="20"/>
          <w:color w:val="auto"/>
        </w:rPr>
      </w:pPr>
    </w:p>
    <w:p>
      <w:pPr>
        <w:ind w:right="120" w:firstLine="345"/>
        <w:spacing w:after="0" w:line="266" w:lineRule="auto"/>
        <w:rPr>
          <w:sz w:val="20"/>
          <w:szCs w:val="20"/>
          <w:color w:val="auto"/>
        </w:rPr>
      </w:pPr>
      <w:r>
        <w:rPr>
          <w:rFonts w:ascii="Arial" w:cs="Arial" w:eastAsia="Arial" w:hAnsi="Arial"/>
          <w:sz w:val="15"/>
          <w:szCs w:val="15"/>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2020 Form 10-K for additional discussion of the risks and uncertainties that could cause our actual results to differ materially from those expressed or implied in our forward-looking statements.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For a discussion as to how COVID-19 has affected our business, see “COVID-19 Update” below.</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and Recent Developments</w:t>
      </w:r>
    </w:p>
    <w:p>
      <w:pPr>
        <w:spacing w:after="0" w:line="142" w:lineRule="exact"/>
        <w:rPr>
          <w:sz w:val="20"/>
          <w:szCs w:val="20"/>
          <w:color w:val="auto"/>
        </w:rPr>
      </w:pPr>
    </w:p>
    <w:p>
      <w:pPr>
        <w:ind w:right="20" w:firstLine="345"/>
        <w:spacing w:after="0" w:line="271" w:lineRule="auto"/>
        <w:rPr>
          <w:sz w:val="20"/>
          <w:szCs w:val="20"/>
          <w:color w:val="auto"/>
        </w:rPr>
      </w:pPr>
      <w:r>
        <w:rPr>
          <w:rFonts w:ascii="Arial" w:cs="Arial" w:eastAsia="Arial" w:hAnsi="Arial"/>
          <w:sz w:val="15"/>
          <w:szCs w:val="15"/>
          <w:color w:val="auto"/>
        </w:rPr>
        <w:t>Shutterstock is a leading global creative platform offering full-service solutions, high-quality content, and applications for brands, businesses and media companies. Our platform brings together users and contributors of content by providing readily-searchable content that our customers pay to license and by compensating contributors as their content is licensed.</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key offerings include:</w:t>
      </w:r>
    </w:p>
    <w:p>
      <w:pPr>
        <w:spacing w:after="0" w:line="138" w:lineRule="exact"/>
        <w:rPr>
          <w:sz w:val="20"/>
          <w:szCs w:val="20"/>
          <w:color w:val="auto"/>
        </w:rPr>
      </w:pPr>
    </w:p>
    <w:p>
      <w:pPr>
        <w:ind w:left="880" w:right="600" w:hanging="336"/>
        <w:spacing w:after="0" w:line="286" w:lineRule="auto"/>
        <w:tabs>
          <w:tab w:leader="none" w:pos="876" w:val="left"/>
        </w:tabs>
        <w:numPr>
          <w:ilvl w:val="0"/>
          <w:numId w:val="8"/>
        </w:numPr>
        <w:rPr>
          <w:rFonts w:ascii="Arial" w:cs="Arial" w:eastAsia="Arial" w:hAnsi="Arial"/>
          <w:sz w:val="15"/>
          <w:szCs w:val="15"/>
          <w:color w:val="auto"/>
        </w:rPr>
      </w:pPr>
      <w:r>
        <w:rPr>
          <w:rFonts w:ascii="Arial" w:cs="Arial" w:eastAsia="Arial" w:hAnsi="Arial"/>
          <w:sz w:val="15"/>
          <w:szCs w:val="15"/>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83" w:lineRule="exact"/>
        <w:rPr>
          <w:rFonts w:ascii="Arial" w:cs="Arial" w:eastAsia="Arial" w:hAnsi="Arial"/>
          <w:sz w:val="15"/>
          <w:szCs w:val="15"/>
          <w:color w:val="auto"/>
        </w:rPr>
      </w:pPr>
    </w:p>
    <w:p>
      <w:pPr>
        <w:ind w:left="880" w:right="420" w:hanging="336"/>
        <w:spacing w:after="0" w:line="286" w:lineRule="auto"/>
        <w:tabs>
          <w:tab w:leader="none" w:pos="876" w:val="left"/>
        </w:tabs>
        <w:numPr>
          <w:ilvl w:val="0"/>
          <w:numId w:val="8"/>
        </w:numPr>
        <w:rPr>
          <w:rFonts w:ascii="Arial" w:cs="Arial" w:eastAsia="Arial" w:hAnsi="Arial"/>
          <w:sz w:val="15"/>
          <w:szCs w:val="15"/>
          <w:color w:val="auto"/>
        </w:rPr>
      </w:pPr>
      <w:r>
        <w:rPr>
          <w:rFonts w:ascii="Arial" w:cs="Arial" w:eastAsia="Arial" w:hAnsi="Arial"/>
          <w:sz w:val="15"/>
          <w:szCs w:val="15"/>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71" w:lineRule="exact"/>
        <w:rPr>
          <w:rFonts w:ascii="Arial" w:cs="Arial" w:eastAsia="Arial" w:hAnsi="Arial"/>
          <w:sz w:val="15"/>
          <w:szCs w:val="15"/>
          <w:color w:val="auto"/>
        </w:rPr>
      </w:pPr>
    </w:p>
    <w:p>
      <w:pPr>
        <w:ind w:left="880" w:hanging="336"/>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Music - consisting of high-quality music tracks and sound effects, which are often used to complement images and footage.</w:t>
      </w:r>
    </w:p>
    <w:p>
      <w:pPr>
        <w:spacing w:after="0" w:line="137" w:lineRule="exact"/>
        <w:rPr>
          <w:rFonts w:ascii="Arial" w:cs="Arial" w:eastAsia="Arial" w:hAnsi="Arial"/>
          <w:sz w:val="15"/>
          <w:szCs w:val="15"/>
          <w:color w:val="auto"/>
        </w:rPr>
      </w:pPr>
    </w:p>
    <w:p>
      <w:pPr>
        <w:ind w:left="880" w:right="540" w:hanging="336"/>
        <w:spacing w:after="0" w:line="286" w:lineRule="auto"/>
        <w:tabs>
          <w:tab w:leader="none" w:pos="876" w:val="left"/>
        </w:tabs>
        <w:numPr>
          <w:ilvl w:val="0"/>
          <w:numId w:val="8"/>
        </w:numPr>
        <w:rPr>
          <w:rFonts w:ascii="Arial" w:cs="Arial" w:eastAsia="Arial" w:hAnsi="Arial"/>
          <w:sz w:val="15"/>
          <w:szCs w:val="15"/>
          <w:color w:val="auto"/>
        </w:rPr>
      </w:pPr>
      <w:r>
        <w:rPr>
          <w:rFonts w:ascii="Arial" w:cs="Arial" w:eastAsia="Arial" w:hAnsi="Arial"/>
          <w:sz w:val="15"/>
          <w:szCs w:val="15"/>
          <w:color w:val="auto"/>
        </w:rPr>
        <w:t>3D - consisting of 3D models, used in a variety of industries such as advertising, media and video production, gaming, retail, education, design and architecture, following our acquisition of TurboSquid, Inc. (“TurboSquid”) on February 1, 2021.</w:t>
      </w:r>
    </w:p>
    <w:p>
      <w:pPr>
        <w:spacing w:after="0" w:line="83" w:lineRule="exact"/>
        <w:rPr>
          <w:sz w:val="20"/>
          <w:szCs w:val="20"/>
          <w:color w:val="auto"/>
        </w:rPr>
      </w:pPr>
    </w:p>
    <w:p>
      <w:pPr>
        <w:ind w:left="880" w:right="60" w:hanging="267"/>
        <w:spacing w:after="0" w:line="286" w:lineRule="auto"/>
        <w:tabs>
          <w:tab w:leader="none" w:pos="876" w:val="left"/>
        </w:tabs>
        <w:numPr>
          <w:ilvl w:val="0"/>
          <w:numId w:val="9"/>
        </w:numPr>
        <w:rPr>
          <w:rFonts w:ascii="Arial" w:cs="Arial" w:eastAsia="Arial" w:hAnsi="Arial"/>
          <w:sz w:val="15"/>
          <w:szCs w:val="15"/>
          <w:color w:val="auto"/>
        </w:rPr>
      </w:pPr>
      <w:r>
        <w:rPr>
          <w:rFonts w:ascii="Arial" w:cs="Arial" w:eastAsia="Arial" w:hAnsi="Arial"/>
          <w:sz w:val="15"/>
          <w:szCs w:val="15"/>
          <w:color w:val="auto"/>
        </w:rPr>
        <w:t>Creative Design Software - consisting of our online graphic design and image editing platform. On September 3, 2021, we completed the acquisition of substantially all of the assets and assumption of certain liabilities from PicMonkey, LLC (“PicMonkey”).</w:t>
      </w:r>
    </w:p>
    <w:p>
      <w:pPr>
        <w:spacing w:after="0" w:line="72" w:lineRule="exact"/>
        <w:rPr>
          <w:sz w:val="20"/>
          <w:szCs w:val="20"/>
          <w:color w:val="auto"/>
        </w:rPr>
      </w:pPr>
    </w:p>
    <w:p>
      <w:pPr>
        <w:ind w:firstLine="345"/>
        <w:spacing w:after="0" w:line="290" w:lineRule="auto"/>
        <w:rPr>
          <w:sz w:val="20"/>
          <w:szCs w:val="20"/>
          <w:color w:val="auto"/>
        </w:rPr>
      </w:pPr>
      <w:r>
        <w:rPr>
          <w:rFonts w:ascii="Arial" w:cs="Arial" w:eastAsia="Arial" w:hAnsi="Arial"/>
          <w:sz w:val="14"/>
          <w:szCs w:val="14"/>
          <w:color w:val="auto"/>
        </w:rPr>
        <w:t>For customers seeking specialized solutions, we also create custom, on-brand content by matching our global contributor network to the unique needs of our customers. This solution allows us to offer customers a fast and scalable way to produce cost-effective content that is in line with the visual footprint of their brand.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84" w:lineRule="exact"/>
        <w:rPr>
          <w:sz w:val="20"/>
          <w:szCs w:val="20"/>
          <w:color w:val="auto"/>
        </w:rPr>
      </w:pPr>
    </w:p>
    <w:p>
      <w:pPr>
        <w:ind w:right="200" w:firstLine="345"/>
        <w:spacing w:after="0" w:line="286" w:lineRule="auto"/>
        <w:rPr>
          <w:sz w:val="20"/>
          <w:szCs w:val="20"/>
          <w:color w:val="auto"/>
        </w:rPr>
      </w:pPr>
      <w:r>
        <w:rPr>
          <w:rFonts w:ascii="Arial" w:cs="Arial" w:eastAsia="Arial" w:hAnsi="Arial"/>
          <w:sz w:val="15"/>
          <w:szCs w:val="15"/>
          <w:color w:val="auto"/>
        </w:rPr>
        <w:t>In addition, in July of 2021, through our newly formed entity Shutterstock.AI, Inc. (“Shutterstock.AI”), we acquired Pattern89, Inc., Datasine Limited, and assets from Shotzr, Inc., three artificial intelligence entities that provide data driven insights through their artificial intelligence platforms.</w:t>
      </w:r>
    </w:p>
    <w:p>
      <w:pPr>
        <w:spacing w:after="0" w:line="83" w:lineRule="exact"/>
        <w:rPr>
          <w:sz w:val="20"/>
          <w:szCs w:val="20"/>
          <w:color w:val="auto"/>
        </w:rPr>
      </w:pPr>
    </w:p>
    <w:p>
      <w:pPr>
        <w:ind w:right="240" w:firstLine="345"/>
        <w:spacing w:after="0" w:line="271" w:lineRule="auto"/>
        <w:rPr>
          <w:sz w:val="20"/>
          <w:szCs w:val="20"/>
          <w:color w:val="auto"/>
        </w:rPr>
      </w:pPr>
      <w:r>
        <w:rPr>
          <w:rFonts w:ascii="Arial" w:cs="Arial" w:eastAsia="Arial" w:hAnsi="Arial"/>
          <w:sz w:val="15"/>
          <w:szCs w:val="15"/>
          <w:color w:val="auto"/>
        </w:rPr>
        <w:t>Shutterstock.AI will commercialize data assets within our content library and enable companies to grow their capabilities in computer vision and content insights. In addition, with artificial intelligence tools obtained from these acquisitions, we plan to develop predictive performance capabilities to help customers make more data-informed content decisions.</w:t>
      </w:r>
    </w:p>
    <w:p>
      <w:pPr>
        <w:spacing w:after="0" w:line="82" w:lineRule="exact"/>
        <w:rPr>
          <w:sz w:val="20"/>
          <w:szCs w:val="20"/>
          <w:color w:val="auto"/>
        </w:rPr>
      </w:pPr>
    </w:p>
    <w:p>
      <w:pPr>
        <w:ind w:right="160" w:firstLine="345"/>
        <w:spacing w:after="0" w:line="266" w:lineRule="auto"/>
        <w:rPr>
          <w:sz w:val="20"/>
          <w:szCs w:val="20"/>
          <w:color w:val="auto"/>
        </w:rPr>
      </w:pPr>
      <w:r>
        <w:rPr>
          <w:rFonts w:ascii="Arial" w:cs="Arial" w:eastAsia="Arial" w:hAnsi="Arial"/>
          <w:sz w:val="15"/>
          <w:szCs w:val="15"/>
          <w:color w:val="auto"/>
        </w:rPr>
        <w:t>Over 2.0 million active, paying customers contributed to our revenue for the twelve-month period ended September 30, 2021. As of September 30, 2021, more than 1.9 million approved contributors made their images, footage and music tracks available in our collection, which has grown to more than 390 million images and more than 23 million footage clips as of September 30, 2021. This makes our collection of content one of the largest of its kind, and we delivered 135.0 million paid downloads to our customers across all of our brands during the nine months ended September 30, 2021.</w:t>
      </w: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firstLine="345"/>
        <w:spacing w:after="0" w:line="263" w:lineRule="auto"/>
        <w:rPr>
          <w:sz w:val="20"/>
          <w:szCs w:val="20"/>
          <w:color w:val="auto"/>
        </w:rPr>
      </w:pPr>
      <w:r>
        <w:rPr>
          <w:rFonts w:ascii="Arial" w:cs="Arial" w:eastAsia="Arial" w:hAnsi="Arial"/>
          <w:sz w:val="15"/>
          <w:szCs w:val="15"/>
          <w:color w:val="auto"/>
        </w:rPr>
        <w:t>Through our platform, we generate revenue by licensing content to our customers. During the nine months ended September 30, 2021, 64% of our revenue and the majority of our content licenses came from our E-commerce sales channel. The majority of our customers license content directly through our self-service web properties, including our shutterstock.com, bigstock.com, premiumbeat.com and turbosquid.com websites.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89" w:lineRule="exact"/>
        <w:rPr>
          <w:sz w:val="20"/>
          <w:szCs w:val="20"/>
          <w:color w:val="auto"/>
        </w:rPr>
      </w:pPr>
    </w:p>
    <w:p>
      <w:pPr>
        <w:jc w:val="both"/>
        <w:ind w:right="40" w:firstLine="345"/>
        <w:spacing w:after="0" w:line="300" w:lineRule="auto"/>
        <w:rPr>
          <w:sz w:val="20"/>
          <w:szCs w:val="20"/>
          <w:color w:val="auto"/>
        </w:rPr>
      </w:pPr>
      <w:r>
        <w:rPr>
          <w:rFonts w:ascii="Arial" w:cs="Arial" w:eastAsia="Arial" w:hAnsi="Arial"/>
          <w:sz w:val="13"/>
          <w:szCs w:val="13"/>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Customers in our enterprise sales channel may also benefit from our API platform as well as access to Shutterstock Editorial, which includes our library of editorial images and videos and Shutterstock Studios, our offering that provides custom, high-quality content matched with production tools and services. Our Enterprise sales channel provided approximately 36% of our revenue for the nine months ended September 30, 2021.</w:t>
      </w:r>
    </w:p>
    <w:p>
      <w:pPr>
        <w:spacing w:after="0" w:line="100" w:lineRule="exact"/>
        <w:rPr>
          <w:sz w:val="20"/>
          <w:szCs w:val="20"/>
          <w:color w:val="auto"/>
        </w:rPr>
      </w:pPr>
    </w:p>
    <w:p>
      <w:pPr>
        <w:ind w:firstLine="345"/>
        <w:spacing w:after="0" w:line="284" w:lineRule="auto"/>
        <w:rPr>
          <w:sz w:val="20"/>
          <w:szCs w:val="20"/>
          <w:color w:val="auto"/>
        </w:rPr>
      </w:pPr>
      <w:r>
        <w:rPr>
          <w:rFonts w:ascii="Arial" w:cs="Arial" w:eastAsia="Arial" w:hAnsi="Arial"/>
          <w:sz w:val="14"/>
          <w:szCs w:val="14"/>
          <w:color w:val="auto"/>
        </w:rPr>
        <w:t>As the use cases for our creative solutions expand, we believe our customers are seeking alternative means to consume our offerings. As a result, we have seen strong growth in customers purchasing monthly subscription products. Our monthly subscriptions provide for a fixed number of content licenses that may be downloaded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87" w:lineRule="exact"/>
        <w:rPr>
          <w:sz w:val="20"/>
          <w:szCs w:val="20"/>
          <w:color w:val="auto"/>
        </w:rPr>
      </w:pPr>
    </w:p>
    <w:p>
      <w:pPr>
        <w:jc w:val="both"/>
        <w:ind w:right="280" w:firstLine="345"/>
        <w:spacing w:after="0" w:line="331" w:lineRule="auto"/>
        <w:rPr>
          <w:sz w:val="20"/>
          <w:szCs w:val="20"/>
          <w:color w:val="auto"/>
        </w:rPr>
      </w:pPr>
      <w:r>
        <w:rPr>
          <w:rFonts w:ascii="Arial" w:cs="Arial" w:eastAsia="Arial" w:hAnsi="Arial"/>
          <w:sz w:val="13"/>
          <w:szCs w:val="13"/>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Update</w:t>
      </w:r>
    </w:p>
    <w:p>
      <w:pPr>
        <w:spacing w:after="0" w:line="142" w:lineRule="exact"/>
        <w:rPr>
          <w:sz w:val="20"/>
          <w:szCs w:val="20"/>
          <w:color w:val="auto"/>
        </w:rPr>
      </w:pPr>
    </w:p>
    <w:p>
      <w:pPr>
        <w:ind w:right="40" w:firstLine="345"/>
        <w:spacing w:after="0" w:line="263" w:lineRule="auto"/>
        <w:rPr>
          <w:sz w:val="20"/>
          <w:szCs w:val="20"/>
          <w:color w:val="auto"/>
        </w:rPr>
      </w:pPr>
      <w:r>
        <w:rPr>
          <w:rFonts w:ascii="Arial" w:cs="Arial" w:eastAsia="Arial" w:hAnsi="Arial"/>
          <w:sz w:val="15"/>
          <w:szCs w:val="15"/>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We believe the economic uncertainty caused by COVID-19 has had an impact on our customers and their ability to spend marketing budgets on our products, in varying degrees during 2020 and into 2021. See Item 1A. Risk Factors in our 2020 Form 10-K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23" w:name="page24"/>
    <w:bookmarkEnd w:id="23"/>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Key Operating Metrics</w:t>
      </w:r>
    </w:p>
    <w:p>
      <w:pPr>
        <w:spacing w:after="0" w:line="107" w:lineRule="exact"/>
        <w:rPr>
          <w:sz w:val="20"/>
          <w:szCs w:val="20"/>
          <w:color w:val="auto"/>
        </w:rPr>
      </w:pPr>
    </w:p>
    <w:p>
      <w:pPr>
        <w:ind w:left="8" w:right="220" w:firstLine="345"/>
        <w:spacing w:after="0" w:line="271" w:lineRule="auto"/>
        <w:rPr>
          <w:sz w:val="20"/>
          <w:szCs w:val="20"/>
          <w:color w:val="auto"/>
        </w:rPr>
      </w:pPr>
      <w:r>
        <w:rPr>
          <w:rFonts w:ascii="Arial" w:cs="Arial" w:eastAsia="Arial" w:hAnsi="Arial"/>
          <w:sz w:val="15"/>
          <w:szCs w:val="15"/>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and nine months ended September 30, 2021 and 2020:</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5380" w:type="dxa"/>
            <w:vAlign w:val="bottom"/>
          </w:tcPr>
          <w:p>
            <w:pPr>
              <w:spacing w:after="0"/>
              <w:rPr>
                <w:sz w:val="12"/>
                <w:szCs w:val="12"/>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1"/>
                <w:szCs w:val="11"/>
                <w:b w:val="1"/>
                <w:bCs w:val="1"/>
                <w:color w:val="auto"/>
              </w:rPr>
              <w:t>Nine Months Ended September 30,</w:t>
            </w:r>
          </w:p>
        </w:tc>
      </w:tr>
      <w:tr>
        <w:trPr>
          <w:trHeight w:val="143"/>
        </w:trPr>
        <w:tc>
          <w:tcPr>
            <w:tcW w:w="53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34"/>
        </w:trPr>
        <w:tc>
          <w:tcPr>
            <w:tcW w:w="5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84"/>
        </w:trPr>
        <w:tc>
          <w:tcPr>
            <w:tcW w:w="5380" w:type="dxa"/>
            <w:vAlign w:val="bottom"/>
            <w:shd w:val="clear" w:color="auto" w:fill="CCEEFF"/>
          </w:tcPr>
          <w:p>
            <w:pPr>
              <w:spacing w:after="0" w:line="184" w:lineRule="exact"/>
              <w:rPr>
                <w:sz w:val="20"/>
                <w:szCs w:val="20"/>
                <w:color w:val="auto"/>
              </w:rPr>
            </w:pPr>
            <w:r>
              <w:rPr>
                <w:rFonts w:ascii="Arial" w:cs="Arial" w:eastAsia="Arial" w:hAnsi="Arial"/>
                <w:sz w:val="14"/>
                <w:szCs w:val="14"/>
                <w:color w:val="auto"/>
              </w:rPr>
              <w:t>Subscribers (end of period)</w:t>
            </w:r>
            <w:r>
              <w:rPr>
                <w:rFonts w:ascii="Arial" w:cs="Arial" w:eastAsia="Arial" w:hAnsi="Arial"/>
                <w:sz w:val="17"/>
                <w:szCs w:val="17"/>
                <w:color w:val="auto"/>
                <w:vertAlign w:val="superscript"/>
              </w:rPr>
              <w:t>1</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0"/>
              </w:rPr>
              <w:t>336,000</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255,000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336,000</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255,000</w:t>
            </w: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4"/>
                <w:szCs w:val="14"/>
                <w:color w:val="auto"/>
              </w:rPr>
              <w:t>Subscriber revenue (in millions)</w:t>
            </w:r>
            <w:r>
              <w:rPr>
                <w:rFonts w:ascii="Arial" w:cs="Arial" w:eastAsia="Arial" w:hAnsi="Arial"/>
                <w:sz w:val="17"/>
                <w:szCs w:val="17"/>
                <w:color w:val="auto"/>
                <w:vertAlign w:val="superscript"/>
              </w:rPr>
              <w:t>1</w:t>
            </w:r>
          </w:p>
        </w:tc>
        <w:tc>
          <w:tcPr>
            <w:tcW w:w="840" w:type="dxa"/>
            <w:vAlign w:val="bottom"/>
          </w:tcPr>
          <w:p>
            <w:pPr>
              <w:jc w:val="right"/>
              <w:ind w:right="697"/>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81.5</w:t>
            </w:r>
          </w:p>
        </w:tc>
        <w:tc>
          <w:tcPr>
            <w:tcW w:w="90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236.1</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194.2</w:t>
            </w:r>
          </w:p>
        </w:tc>
      </w:tr>
      <w:tr>
        <w:trPr>
          <w:trHeight w:val="92"/>
        </w:trPr>
        <w:tc>
          <w:tcPr>
            <w:tcW w:w="53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84"/>
        </w:trPr>
        <w:tc>
          <w:tcPr>
            <w:tcW w:w="5380" w:type="dxa"/>
            <w:vAlign w:val="bottom"/>
          </w:tcPr>
          <w:p>
            <w:pPr>
              <w:spacing w:after="0" w:line="184" w:lineRule="exact"/>
              <w:rPr>
                <w:sz w:val="20"/>
                <w:szCs w:val="20"/>
                <w:color w:val="auto"/>
              </w:rPr>
            </w:pPr>
            <w:r>
              <w:rPr>
                <w:rFonts w:ascii="Arial" w:cs="Arial" w:eastAsia="Arial" w:hAnsi="Arial"/>
                <w:sz w:val="14"/>
                <w:szCs w:val="14"/>
                <w:color w:val="auto"/>
              </w:rPr>
              <w:t>Average revenue per customer (last twelve months)</w:t>
            </w:r>
            <w:r>
              <w:rPr>
                <w:rFonts w:ascii="Arial" w:cs="Arial" w:eastAsia="Arial" w:hAnsi="Arial"/>
                <w:sz w:val="17"/>
                <w:szCs w:val="17"/>
                <w:color w:val="auto"/>
                <w:vertAlign w:val="superscript"/>
              </w:rPr>
              <w:t>1</w:t>
            </w:r>
          </w:p>
        </w:tc>
        <w:tc>
          <w:tcPr>
            <w:tcW w:w="840" w:type="dxa"/>
            <w:vAlign w:val="bottom"/>
          </w:tcPr>
          <w:p>
            <w:pPr>
              <w:jc w:val="right"/>
              <w:ind w:right="697"/>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361</w:t>
            </w:r>
          </w:p>
        </w:tc>
        <w:tc>
          <w:tcPr>
            <w:tcW w:w="90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361</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184"/>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Paid downloads (in millions)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44.3</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135.0</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w:t>
            </w:r>
          </w:p>
        </w:tc>
      </w:tr>
      <w:tr>
        <w:trPr>
          <w:trHeight w:val="181"/>
        </w:trPr>
        <w:tc>
          <w:tcPr>
            <w:tcW w:w="5380" w:type="dxa"/>
            <w:vAlign w:val="bottom"/>
          </w:tcPr>
          <w:p>
            <w:pPr>
              <w:spacing w:after="0"/>
              <w:rPr>
                <w:sz w:val="20"/>
                <w:szCs w:val="20"/>
                <w:color w:val="auto"/>
              </w:rPr>
            </w:pPr>
            <w:r>
              <w:rPr>
                <w:rFonts w:ascii="Arial" w:cs="Arial" w:eastAsia="Arial" w:hAnsi="Arial"/>
                <w:sz w:val="14"/>
                <w:szCs w:val="14"/>
                <w:color w:val="auto"/>
              </w:rPr>
              <w:t>Revenue per download</w:t>
            </w:r>
          </w:p>
        </w:tc>
        <w:tc>
          <w:tcPr>
            <w:tcW w:w="840" w:type="dxa"/>
            <w:vAlign w:val="bottom"/>
          </w:tcPr>
          <w:p>
            <w:pPr>
              <w:jc w:val="right"/>
              <w:ind w:right="697"/>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4.20</w:t>
            </w:r>
          </w:p>
        </w:tc>
        <w:tc>
          <w:tcPr>
            <w:tcW w:w="90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4.11</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18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Content in our collection (end of period, in millions):</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1"/>
        </w:trPr>
        <w:tc>
          <w:tcPr>
            <w:tcW w:w="5380" w:type="dxa"/>
            <w:vAlign w:val="bottom"/>
          </w:tcPr>
          <w:p>
            <w:pPr>
              <w:ind w:left="120"/>
              <w:spacing w:after="0"/>
              <w:rPr>
                <w:sz w:val="20"/>
                <w:szCs w:val="20"/>
                <w:color w:val="auto"/>
              </w:rPr>
            </w:pPr>
            <w:r>
              <w:rPr>
                <w:rFonts w:ascii="Arial" w:cs="Arial" w:eastAsia="Arial" w:hAnsi="Arial"/>
                <w:sz w:val="14"/>
                <w:szCs w:val="14"/>
                <w:color w:val="auto"/>
              </w:rPr>
              <w:t>Images</w:t>
            </w:r>
          </w:p>
        </w:tc>
        <w:tc>
          <w:tcPr>
            <w:tcW w:w="840" w:type="dxa"/>
            <w:vAlign w:val="bottom"/>
          </w:tcPr>
          <w:p>
            <w:pPr>
              <w:spacing w:after="0"/>
              <w:rPr>
                <w:sz w:val="15"/>
                <w:szCs w:val="15"/>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390</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390</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187"/>
        </w:trPr>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Footage clips</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23</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bl>
    <w:p>
      <w:pPr>
        <w:spacing w:after="0" w:line="207"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___________________________________________________</w:t>
      </w:r>
    </w:p>
    <w:p>
      <w:pPr>
        <w:spacing w:after="0" w:line="82" w:lineRule="exact"/>
        <w:rPr>
          <w:sz w:val="20"/>
          <w:szCs w:val="20"/>
          <w:color w:val="auto"/>
        </w:rPr>
      </w:pPr>
    </w:p>
    <w:p>
      <w:pPr>
        <w:ind w:left="68" w:hanging="68"/>
        <w:spacing w:after="0"/>
        <w:tabs>
          <w:tab w:leader="none" w:pos="68" w:val="left"/>
        </w:tabs>
        <w:numPr>
          <w:ilvl w:val="0"/>
          <w:numId w:val="10"/>
        </w:numPr>
        <w:rPr>
          <w:rFonts w:ascii="Arial" w:cs="Arial" w:eastAsia="Arial" w:hAnsi="Arial"/>
          <w:sz w:val="18"/>
          <w:szCs w:val="18"/>
          <w:color w:val="auto"/>
          <w:vertAlign w:val="superscript"/>
        </w:rPr>
      </w:pPr>
      <w:r>
        <w:rPr>
          <w:rFonts w:ascii="Arial" w:cs="Arial" w:eastAsia="Arial" w:hAnsi="Arial"/>
          <w:sz w:val="11"/>
          <w:szCs w:val="11"/>
          <w:color w:val="auto"/>
        </w:rPr>
        <w:t>Subscribers, subscriber revenue and average revenue per customer exclude customers and revenue related to our acquisitions of TurboSquid and PicMonkey.</w:t>
      </w:r>
    </w:p>
    <w:p>
      <w:pPr>
        <w:spacing w:after="0" w:line="200" w:lineRule="exact"/>
        <w:rPr>
          <w:sz w:val="20"/>
          <w:szCs w:val="20"/>
          <w:color w:val="auto"/>
        </w:rPr>
      </w:pPr>
    </w:p>
    <w:p>
      <w:pPr>
        <w:spacing w:after="0" w:line="271"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Subscribers</w:t>
      </w:r>
    </w:p>
    <w:p>
      <w:pPr>
        <w:spacing w:after="0" w:line="103" w:lineRule="exact"/>
        <w:rPr>
          <w:sz w:val="20"/>
          <w:szCs w:val="20"/>
          <w:color w:val="auto"/>
        </w:rPr>
      </w:pPr>
    </w:p>
    <w:p>
      <w:pPr>
        <w:ind w:left="8" w:right="20" w:firstLine="345"/>
        <w:spacing w:after="0" w:line="331" w:lineRule="auto"/>
        <w:rPr>
          <w:sz w:val="20"/>
          <w:szCs w:val="20"/>
          <w:color w:val="auto"/>
        </w:rPr>
      </w:pPr>
      <w:r>
        <w:rPr>
          <w:rFonts w:ascii="Arial" w:cs="Arial" w:eastAsia="Arial" w:hAnsi="Arial"/>
          <w:sz w:val="13"/>
          <w:szCs w:val="13"/>
          <w:color w:val="auto"/>
        </w:rPr>
        <w:t>We define subscribers as those customers who purchase one or more of our monthly recurring products for a continuous period of at least three months, measured as of the end of the reporting period excluding customers from our acquisitions of TurboSquid and PicMonkey.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Subscriber Revenue</w:t>
      </w:r>
    </w:p>
    <w:p>
      <w:pPr>
        <w:spacing w:after="0" w:line="103" w:lineRule="exact"/>
        <w:rPr>
          <w:sz w:val="20"/>
          <w:szCs w:val="20"/>
          <w:color w:val="auto"/>
        </w:rPr>
      </w:pPr>
    </w:p>
    <w:p>
      <w:pPr>
        <w:ind w:left="8" w:right="140" w:firstLine="345"/>
        <w:spacing w:after="0" w:line="324" w:lineRule="auto"/>
        <w:rPr>
          <w:sz w:val="20"/>
          <w:szCs w:val="20"/>
          <w:color w:val="auto"/>
        </w:rPr>
      </w:pPr>
      <w:r>
        <w:rPr>
          <w:rFonts w:ascii="Arial" w:cs="Arial" w:eastAsia="Arial" w:hAnsi="Arial"/>
          <w:sz w:val="14"/>
          <w:szCs w:val="14"/>
          <w:color w:val="auto"/>
        </w:rPr>
        <w:t>We define subscriber revenue as the revenue generated from subscribers during the period excluding revenues from our acquisitions of TurboSquid and PicMonkey. We believe subscriber revenue, together with our number of subscribers, provide insight into the portion of our business and growth driven by our monthly recurring products.</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Average Revenue Per Customer</w:t>
      </w:r>
    </w:p>
    <w:p>
      <w:pPr>
        <w:spacing w:after="0" w:line="103" w:lineRule="exact"/>
        <w:rPr>
          <w:sz w:val="20"/>
          <w:szCs w:val="20"/>
          <w:color w:val="auto"/>
        </w:rPr>
      </w:pPr>
    </w:p>
    <w:p>
      <w:pPr>
        <w:ind w:left="8" w:right="140" w:firstLine="345"/>
        <w:spacing w:after="0" w:line="266" w:lineRule="auto"/>
        <w:rPr>
          <w:sz w:val="20"/>
          <w:szCs w:val="20"/>
          <w:color w:val="auto"/>
        </w:rPr>
      </w:pPr>
      <w:r>
        <w:rPr>
          <w:rFonts w:ascii="Arial" w:cs="Arial" w:eastAsia="Arial" w:hAnsi="Arial"/>
          <w:sz w:val="15"/>
          <w:szCs w:val="15"/>
          <w:color w:val="auto"/>
        </w:rPr>
        <w:t>Average revenue per customer is calculated by dividing total revenue for the last twelve-month period by customers, excluding revenues from our recent acquisitions of TurboSquid and PicMonkey. We define customers as total active, paying customers that contributed to total revenue over the last twelve-month period, excluding customers from our recent acquisitions of TurboSquid and PicMonkey. Changes in our average revenue per customer will be driven by changes in the mix of our subscription-based products and the pricing in our transactional business.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Paid Downloads</w:t>
      </w:r>
    </w:p>
    <w:p>
      <w:pPr>
        <w:spacing w:after="0" w:line="103" w:lineRule="exact"/>
        <w:rPr>
          <w:sz w:val="20"/>
          <w:szCs w:val="20"/>
          <w:color w:val="auto"/>
        </w:rPr>
      </w:pPr>
    </w:p>
    <w:p>
      <w:pPr>
        <w:ind w:left="8" w:right="240" w:firstLine="345"/>
        <w:spacing w:after="0" w:line="266" w:lineRule="auto"/>
        <w:rPr>
          <w:sz w:val="20"/>
          <w:szCs w:val="20"/>
          <w:color w:val="auto"/>
        </w:rPr>
      </w:pPr>
      <w:r>
        <w:rPr>
          <w:rFonts w:ascii="Arial" w:cs="Arial" w:eastAsia="Arial" w:hAnsi="Arial"/>
          <w:sz w:val="15"/>
          <w:szCs w:val="15"/>
          <w:color w:val="auto"/>
        </w:rPr>
        <w:t>We define paid downloads as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200" w:lineRule="exact"/>
        <w:rPr>
          <w:sz w:val="20"/>
          <w:szCs w:val="20"/>
          <w:color w:val="auto"/>
        </w:rPr>
      </w:pPr>
    </w:p>
    <w:p>
      <w:pPr>
        <w:spacing w:after="0" w:line="24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24" w:name="page25"/>
    <w:bookmarkEnd w:id="2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per Download</w:t>
      </w:r>
    </w:p>
    <w:p>
      <w:pPr>
        <w:spacing w:after="0" w:line="103" w:lineRule="exact"/>
        <w:rPr>
          <w:sz w:val="20"/>
          <w:szCs w:val="20"/>
          <w:color w:val="auto"/>
        </w:rPr>
      </w:pPr>
    </w:p>
    <w:p>
      <w:pPr>
        <w:ind w:right="40" w:firstLine="345"/>
        <w:spacing w:after="0" w:line="263" w:lineRule="auto"/>
        <w:rPr>
          <w:sz w:val="20"/>
          <w:szCs w:val="20"/>
          <w:color w:val="auto"/>
        </w:rPr>
      </w:pPr>
      <w:r>
        <w:rPr>
          <w:rFonts w:ascii="Arial" w:cs="Arial" w:eastAsia="Arial" w:hAnsi="Arial"/>
          <w:sz w:val="15"/>
          <w:szCs w:val="15"/>
          <w:color w:val="auto"/>
        </w:rPr>
        <w:t>We define revenue per download as the amount of revenue recognized in a given period divided by the number of paid downloads in that period excluding revenue from custom content,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Content in our Collection</w:t>
      </w:r>
    </w:p>
    <w:p>
      <w:pPr>
        <w:spacing w:after="0" w:line="103" w:lineRule="exact"/>
        <w:rPr>
          <w:sz w:val="20"/>
          <w:szCs w:val="20"/>
          <w:color w:val="auto"/>
        </w:rPr>
      </w:pPr>
    </w:p>
    <w:p>
      <w:pPr>
        <w:ind w:right="160" w:firstLine="345"/>
        <w:spacing w:after="0" w:line="266" w:lineRule="auto"/>
        <w:rPr>
          <w:sz w:val="20"/>
          <w:szCs w:val="20"/>
          <w:color w:val="auto"/>
        </w:rPr>
      </w:pPr>
      <w:r>
        <w:rPr>
          <w:rFonts w:ascii="Arial" w:cs="Arial" w:eastAsia="Arial" w:hAnsi="Arial"/>
          <w:sz w:val="15"/>
          <w:szCs w:val="15"/>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42" w:lineRule="exact"/>
        <w:rPr>
          <w:sz w:val="20"/>
          <w:szCs w:val="20"/>
          <w:color w:val="auto"/>
        </w:rPr>
      </w:pPr>
    </w:p>
    <w:p>
      <w:pPr>
        <w:ind w:firstLine="345"/>
        <w:spacing w:after="0" w:line="260" w:lineRule="auto"/>
        <w:rPr>
          <w:sz w:val="20"/>
          <w:szCs w:val="20"/>
          <w:color w:val="auto"/>
        </w:rPr>
      </w:pPr>
      <w:r>
        <w:rPr>
          <w:rFonts w:ascii="Arial" w:cs="Arial" w:eastAsia="Arial" w:hAnsi="Arial"/>
          <w:sz w:val="15"/>
          <w:szCs w:val="15"/>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94" w:lineRule="exact"/>
        <w:rPr>
          <w:sz w:val="20"/>
          <w:szCs w:val="20"/>
          <w:color w:val="auto"/>
        </w:rPr>
      </w:pPr>
    </w:p>
    <w:p>
      <w:pPr>
        <w:ind w:right="100" w:firstLine="345"/>
        <w:spacing w:after="0" w:line="324" w:lineRule="auto"/>
        <w:rPr>
          <w:sz w:val="20"/>
          <w:szCs w:val="20"/>
          <w:color w:val="auto"/>
        </w:rPr>
      </w:pPr>
      <w:r>
        <w:rPr>
          <w:rFonts w:ascii="Arial" w:cs="Arial" w:eastAsia="Arial" w:hAnsi="Arial"/>
          <w:sz w:val="14"/>
          <w:szCs w:val="14"/>
          <w:color w:val="auto"/>
        </w:rPr>
        <w:t>We believe that the policies, assumptions and estimates associated with our revenue recognition, allowance for doubtful accounts, goodwill and intangible assets and accounting for income taxes have the greatest potential impact on our financial statements. Therefore, we consider these to be our critical accounting policies and estimates.</w:t>
      </w:r>
    </w:p>
    <w:p>
      <w:pPr>
        <w:spacing w:after="0" w:line="60" w:lineRule="exact"/>
        <w:rPr>
          <w:sz w:val="20"/>
          <w:szCs w:val="20"/>
          <w:color w:val="auto"/>
        </w:rPr>
      </w:pPr>
    </w:p>
    <w:p>
      <w:pPr>
        <w:ind w:right="100" w:firstLine="345"/>
        <w:spacing w:after="0" w:line="286" w:lineRule="auto"/>
        <w:rPr>
          <w:sz w:val="20"/>
          <w:szCs w:val="20"/>
          <w:color w:val="auto"/>
        </w:rPr>
      </w:pPr>
      <w:r>
        <w:rPr>
          <w:rFonts w:ascii="Arial" w:cs="Arial" w:eastAsia="Arial" w:hAnsi="Arial"/>
          <w:sz w:val="15"/>
          <w:szCs w:val="15"/>
          <w:color w:val="auto"/>
        </w:rPr>
        <w:t>A description of our critical accounting policies that involve significant management judgments appears in our 2020 Form 10-K, under “Management’s Discussion and Analysis of Financial Condition and Results of Operations—Critical Accounting Policies and Estimates.”</w:t>
      </w:r>
    </w:p>
    <w:p>
      <w:pPr>
        <w:spacing w:after="0" w:line="49" w:lineRule="exact"/>
        <w:rPr>
          <w:sz w:val="20"/>
          <w:szCs w:val="20"/>
          <w:color w:val="auto"/>
        </w:rPr>
      </w:pPr>
    </w:p>
    <w:p>
      <w:pPr>
        <w:ind w:right="280" w:firstLine="345"/>
        <w:spacing w:after="0" w:line="271" w:lineRule="auto"/>
        <w:rPr>
          <w:sz w:val="20"/>
          <w:szCs w:val="20"/>
          <w:color w:val="auto"/>
        </w:rPr>
      </w:pPr>
      <w:r>
        <w:rPr>
          <w:rFonts w:ascii="Arial" w:cs="Arial" w:eastAsia="Arial" w:hAnsi="Arial"/>
          <w:sz w:val="15"/>
          <w:szCs w:val="15"/>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2020 Form 10-K.</w:t>
      </w:r>
    </w:p>
    <w:p>
      <w:pPr>
        <w:spacing w:after="0" w:line="200" w:lineRule="exact"/>
        <w:rPr>
          <w:sz w:val="20"/>
          <w:szCs w:val="20"/>
          <w:color w:val="auto"/>
        </w:rPr>
      </w:pPr>
    </w:p>
    <w:p>
      <w:pPr>
        <w:spacing w:after="0" w:line="35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5" w:name="page26"/>
    <w:bookmarkEnd w:id="25"/>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distribute our content offerings through two primary channels:</w:t>
      </w:r>
    </w:p>
    <w:p>
      <w:pPr>
        <w:spacing w:after="0" w:line="103" w:lineRule="exact"/>
        <w:rPr>
          <w:sz w:val="20"/>
          <w:szCs w:val="20"/>
          <w:color w:val="auto"/>
        </w:rPr>
      </w:pPr>
    </w:p>
    <w:p>
      <w:pPr>
        <w:ind w:right="440" w:firstLine="345"/>
        <w:spacing w:after="0" w:line="266" w:lineRule="auto"/>
        <w:rPr>
          <w:sz w:val="20"/>
          <w:szCs w:val="20"/>
          <w:color w:val="auto"/>
        </w:rPr>
      </w:pPr>
      <w:r>
        <w:rPr>
          <w:rFonts w:ascii="Arial" w:cs="Arial" w:eastAsia="Arial" w:hAnsi="Arial"/>
          <w:sz w:val="15"/>
          <w:szCs w:val="15"/>
          <w:i w:val="1"/>
          <w:iCs w:val="1"/>
          <w:color w:val="auto"/>
        </w:rPr>
        <w:t xml:space="preserve">E-commerce: </w:t>
      </w:r>
      <w:r>
        <w:rPr>
          <w:rFonts w:ascii="Arial" w:cs="Arial" w:eastAsia="Arial" w:hAnsi="Arial"/>
          <w:sz w:val="15"/>
          <w:szCs w:val="15"/>
          <w:color w:val="auto"/>
        </w:rPr>
        <w:t>The majority of our customers license content directly through our self-service web properties. E-commerce customers have the flexibility to purchase a</w:t>
      </w:r>
      <w:r>
        <w:rPr>
          <w:rFonts w:ascii="Arial" w:cs="Arial" w:eastAsia="Arial" w:hAnsi="Arial"/>
          <w:sz w:val="15"/>
          <w:szCs w:val="15"/>
          <w:i w:val="1"/>
          <w:iCs w:val="1"/>
          <w:color w:val="auto"/>
        </w:rPr>
        <w:t xml:space="preserve"> </w:t>
      </w:r>
      <w:r>
        <w:rPr>
          <w:rFonts w:ascii="Arial" w:cs="Arial" w:eastAsia="Arial" w:hAnsi="Arial"/>
          <w:sz w:val="15"/>
          <w:szCs w:val="15"/>
          <w:color w:val="auto"/>
        </w:rPr>
        <w:t>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63" w:lineRule="exact"/>
        <w:rPr>
          <w:sz w:val="20"/>
          <w:szCs w:val="20"/>
          <w:color w:val="auto"/>
        </w:rPr>
      </w:pPr>
    </w:p>
    <w:p>
      <w:pPr>
        <w:ind w:right="260" w:firstLine="345"/>
        <w:spacing w:after="0" w:line="266" w:lineRule="auto"/>
        <w:rPr>
          <w:sz w:val="20"/>
          <w:szCs w:val="20"/>
          <w:color w:val="auto"/>
        </w:rPr>
      </w:pPr>
      <w:r>
        <w:rPr>
          <w:rFonts w:ascii="Arial" w:cs="Arial" w:eastAsia="Arial" w:hAnsi="Arial"/>
          <w:sz w:val="15"/>
          <w:szCs w:val="15"/>
          <w:i w:val="1"/>
          <w:iCs w:val="1"/>
          <w:color w:val="auto"/>
        </w:rPr>
        <w:t xml:space="preserve">Enterprise: </w:t>
      </w:r>
      <w:r>
        <w:rPr>
          <w:rFonts w:ascii="Arial" w:cs="Arial" w:eastAsia="Arial" w:hAnsi="Arial"/>
          <w:sz w:val="15"/>
          <w:szCs w:val="15"/>
          <w:color w:val="auto"/>
        </w:rPr>
        <w:t>We also have a base of customers with unique content, licensing and workflow needs. These customers benefit from communication with our dedicated sales</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revenues by distribution channel for the three and nine months ended September 30, 2021 and 2020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40" w:type="dxa"/>
            <w:vAlign w:val="bottom"/>
            <w:gridSpan w:val="3"/>
          </w:tcPr>
          <w:p>
            <w:pPr>
              <w:jc w:val="right"/>
              <w:ind w:right="374"/>
              <w:spacing w:after="0"/>
              <w:rPr>
                <w:sz w:val="20"/>
                <w:szCs w:val="20"/>
                <w:color w:val="auto"/>
              </w:rPr>
            </w:pPr>
            <w:r>
              <w:rPr>
                <w:rFonts w:ascii="Arial" w:cs="Arial" w:eastAsia="Arial" w:hAnsi="Arial"/>
                <w:sz w:val="12"/>
                <w:szCs w:val="12"/>
                <w:b w:val="1"/>
                <w:bCs w:val="1"/>
                <w:color w:val="auto"/>
              </w:rPr>
              <w:t>Three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60" w:type="dxa"/>
            <w:vAlign w:val="bottom"/>
            <w:gridSpan w:val="3"/>
          </w:tcPr>
          <w:p>
            <w:pPr>
              <w:jc w:val="right"/>
              <w:ind w:right="51"/>
              <w:spacing w:after="0"/>
              <w:rPr>
                <w:sz w:val="20"/>
                <w:szCs w:val="20"/>
                <w:color w:val="auto"/>
              </w:rPr>
            </w:pPr>
            <w:r>
              <w:rPr>
                <w:rFonts w:ascii="Arial" w:cs="Arial" w:eastAsia="Arial" w:hAnsi="Arial"/>
                <w:sz w:val="12"/>
                <w:szCs w:val="12"/>
                <w:b w:val="1"/>
                <w:bCs w:val="1"/>
                <w:color w:val="auto"/>
              </w:rPr>
              <w:t>Nine Months Ended</w:t>
            </w:r>
          </w:p>
        </w:tc>
        <w:tc>
          <w:tcPr>
            <w:tcW w:w="880" w:type="dxa"/>
            <w:vAlign w:val="bottom"/>
          </w:tcPr>
          <w:p>
            <w:pPr>
              <w:spacing w:after="0"/>
              <w:rPr>
                <w:sz w:val="12"/>
                <w:szCs w:val="12"/>
                <w:color w:val="auto"/>
              </w:rPr>
            </w:pPr>
          </w:p>
        </w:tc>
      </w:tr>
      <w:tr>
        <w:trPr>
          <w:trHeight w:val="15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40" w:type="dxa"/>
            <w:vAlign w:val="bottom"/>
            <w:gridSpan w:val="3"/>
          </w:tcPr>
          <w:p>
            <w:pPr>
              <w:jc w:val="right"/>
              <w:ind w:right="554"/>
              <w:spacing w:after="0"/>
              <w:rPr>
                <w:sz w:val="20"/>
                <w:szCs w:val="20"/>
                <w:color w:val="auto"/>
              </w:rPr>
            </w:pPr>
            <w:r>
              <w:rPr>
                <w:rFonts w:ascii="Arial" w:cs="Arial" w:eastAsia="Arial" w:hAnsi="Arial"/>
                <w:sz w:val="12"/>
                <w:szCs w:val="12"/>
                <w:b w:val="1"/>
                <w:bCs w:val="1"/>
                <w:color w:val="auto"/>
              </w:rPr>
              <w:t>September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60" w:type="dxa"/>
            <w:vAlign w:val="bottom"/>
            <w:gridSpan w:val="3"/>
          </w:tcPr>
          <w:p>
            <w:pPr>
              <w:jc w:val="right"/>
              <w:ind w:right="191"/>
              <w:spacing w:after="0"/>
              <w:rPr>
                <w:sz w:val="20"/>
                <w:szCs w:val="20"/>
                <w:color w:val="auto"/>
              </w:rPr>
            </w:pPr>
            <w:r>
              <w:rPr>
                <w:rFonts w:ascii="Arial" w:cs="Arial" w:eastAsia="Arial" w:hAnsi="Arial"/>
                <w:sz w:val="12"/>
                <w:szCs w:val="12"/>
                <w:b w:val="1"/>
                <w:bCs w:val="1"/>
                <w:color w:val="auto"/>
              </w:rPr>
              <w:t>September 30,</w:t>
            </w:r>
          </w:p>
        </w:tc>
        <w:tc>
          <w:tcPr>
            <w:tcW w:w="880" w:type="dxa"/>
            <w:vAlign w:val="bottom"/>
          </w:tcPr>
          <w:p>
            <w:pPr>
              <w:spacing w:after="0"/>
              <w:rPr>
                <w:sz w:val="13"/>
                <w:szCs w:val="13"/>
                <w:color w:val="auto"/>
              </w:rPr>
            </w:pPr>
          </w:p>
        </w:tc>
      </w:tr>
      <w:tr>
        <w:trPr>
          <w:trHeight w:val="21"/>
        </w:trPr>
        <w:tc>
          <w:tcPr>
            <w:tcW w:w="4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4"/>
        </w:trPr>
        <w:tc>
          <w:tcPr>
            <w:tcW w:w="4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ind w:right="455"/>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473"/>
              <w:spacing w:after="0"/>
              <w:rPr>
                <w:sz w:val="20"/>
                <w:szCs w:val="20"/>
                <w:color w:val="auto"/>
              </w:rPr>
            </w:pPr>
            <w:r>
              <w:rPr>
                <w:rFonts w:ascii="Arial" w:cs="Arial" w:eastAsia="Arial" w:hAnsi="Arial"/>
                <w:sz w:val="12"/>
                <w:szCs w:val="12"/>
                <w:b w:val="1"/>
                <w:bCs w:val="1"/>
                <w:color w:val="auto"/>
              </w:rPr>
              <w:t>2020</w:t>
            </w: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5"/>
        </w:trPr>
        <w:tc>
          <w:tcPr>
            <w:tcW w:w="4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E-commerce</w:t>
            </w:r>
          </w:p>
        </w:tc>
        <w:tc>
          <w:tcPr>
            <w:tcW w:w="112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121,707</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102,816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360,822</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300,716</w:t>
            </w:r>
          </w:p>
        </w:tc>
      </w:tr>
      <w:tr>
        <w:trPr>
          <w:trHeight w:val="181"/>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Enterprise</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72,732</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62,411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206,810</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185,026</w:t>
            </w:r>
          </w:p>
        </w:tc>
      </w:tr>
      <w:tr>
        <w:trPr>
          <w:trHeight w:val="203"/>
        </w:trPr>
        <w:tc>
          <w:tcPr>
            <w:tcW w:w="4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Revenues</w:t>
            </w:r>
          </w:p>
        </w:tc>
        <w:tc>
          <w:tcPr>
            <w:tcW w:w="11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194,439</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165,227</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567,632</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485,742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126" w:lineRule="exact"/>
        <w:rPr>
          <w:sz w:val="20"/>
          <w:szCs w:val="20"/>
          <w:color w:val="auto"/>
        </w:rPr>
      </w:pPr>
    </w:p>
    <w:p>
      <w:pPr>
        <w:ind w:right="380" w:firstLine="345"/>
        <w:spacing w:after="0" w:line="290"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Cost of revenue consists of royalties paid to contributors, credit card processing fees, content review costs, customer service expenses, infrastructure and</w:t>
      </w:r>
      <w:r>
        <w:rPr>
          <w:rFonts w:ascii="Arial" w:cs="Arial" w:eastAsia="Arial" w:hAnsi="Arial"/>
          <w:sz w:val="14"/>
          <w:szCs w:val="14"/>
          <w:i w:val="1"/>
          <w:iCs w:val="1"/>
          <w:color w:val="auto"/>
        </w:rPr>
        <w:t xml:space="preserve"> </w:t>
      </w:r>
      <w:r>
        <w:rPr>
          <w:rFonts w:ascii="Arial" w:cs="Arial" w:eastAsia="Arial" w:hAnsi="Arial"/>
          <w:sz w:val="14"/>
          <w:szCs w:val="14"/>
          <w:color w:val="auto"/>
        </w:rPr>
        <w:t>hosting costs related to maintaining our creative platform and cloud-based software platform, depreciation and amortization of capitalized internal-use software, content and technology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84" w:lineRule="exact"/>
        <w:rPr>
          <w:sz w:val="20"/>
          <w:szCs w:val="20"/>
          <w:color w:val="auto"/>
        </w:rPr>
      </w:pPr>
    </w:p>
    <w:p>
      <w:pPr>
        <w:jc w:val="both"/>
        <w:ind w:right="120" w:firstLine="345"/>
        <w:spacing w:after="0" w:line="271"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include third-party marketing, advertising, branding, public relations and sales expenses. Sales and marketing expenses also</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associated employee compensation, including non-cash equity-based compensation, bonuses and benefits, and commissions as well as allocated facility and other supporting overhead costs.</w:t>
      </w:r>
    </w:p>
    <w:p>
      <w:pPr>
        <w:spacing w:after="0" w:line="94" w:lineRule="exact"/>
        <w:rPr>
          <w:sz w:val="20"/>
          <w:szCs w:val="20"/>
          <w:color w:val="auto"/>
        </w:rPr>
      </w:pPr>
    </w:p>
    <w:p>
      <w:pPr>
        <w:ind w:right="260" w:firstLine="345"/>
        <w:spacing w:after="0" w:line="271" w:lineRule="auto"/>
        <w:rPr>
          <w:sz w:val="20"/>
          <w:szCs w:val="20"/>
          <w:color w:val="auto"/>
        </w:rPr>
      </w:pPr>
      <w:r>
        <w:rPr>
          <w:rFonts w:ascii="Arial" w:cs="Arial" w:eastAsia="Arial" w:hAnsi="Arial"/>
          <w:sz w:val="15"/>
          <w:szCs w:val="15"/>
          <w:i w:val="1"/>
          <w:iCs w:val="1"/>
          <w:color w:val="auto"/>
        </w:rPr>
        <w:t xml:space="preserve">Product Development. </w:t>
      </w:r>
      <w:r>
        <w:rPr>
          <w:rFonts w:ascii="Arial" w:cs="Arial" w:eastAsia="Arial" w:hAnsi="Arial"/>
          <w:sz w:val="15"/>
          <w:szCs w:val="15"/>
          <w:color w:val="auto"/>
        </w:rPr>
        <w:t>Product development expenses consist of employee compensation, including non-cash equity-based compensation, bonuses and benefits, and expenses</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82" w:lineRule="exact"/>
        <w:rPr>
          <w:sz w:val="20"/>
          <w:szCs w:val="20"/>
          <w:color w:val="auto"/>
        </w:rPr>
      </w:pPr>
    </w:p>
    <w:p>
      <w:pPr>
        <w:ind w:right="60" w:firstLine="345"/>
        <w:spacing w:after="0" w:line="266"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include employee compensation, including non-cash equity-based compensation, bonuses and benefits for</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 xml:space="preserve">Other (Expense) / Income, Net. </w:t>
      </w:r>
      <w:r>
        <w:rPr>
          <w:rFonts w:ascii="Arial" w:cs="Arial" w:eastAsia="Arial" w:hAnsi="Arial"/>
          <w:sz w:val="13"/>
          <w:szCs w:val="13"/>
          <w:color w:val="auto"/>
        </w:rPr>
        <w:t>Other (expense) / income, net consists of non-operating costs such as foreign currency transaction gains and losses in addition to interest income.</w:t>
      </w:r>
    </w:p>
    <w:p>
      <w:pPr>
        <w:spacing w:after="0" w:line="161" w:lineRule="exact"/>
        <w:rPr>
          <w:sz w:val="20"/>
          <w:szCs w:val="20"/>
          <w:color w:val="auto"/>
        </w:rPr>
      </w:pPr>
    </w:p>
    <w:p>
      <w:pPr>
        <w:jc w:val="both"/>
        <w:ind w:right="140" w:firstLine="345"/>
        <w:spacing w:after="0" w:line="271"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We compute income taxes using the asset and liability method, under which deferred tax assets and liabilities are determined based on the difference between the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6" w:name="page27"/>
    <w:bookmarkEnd w:id="2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07" w:lineRule="exact"/>
        <w:rPr>
          <w:sz w:val="20"/>
          <w:szCs w:val="20"/>
          <w:color w:val="auto"/>
        </w:rPr>
      </w:pPr>
    </w:p>
    <w:p>
      <w:pPr>
        <w:ind w:right="300" w:firstLine="345"/>
        <w:spacing w:after="0" w:line="273" w:lineRule="auto"/>
        <w:rPr>
          <w:sz w:val="20"/>
          <w:szCs w:val="20"/>
          <w:color w:val="auto"/>
        </w:rPr>
      </w:pPr>
      <w:r>
        <w:rPr>
          <w:rFonts w:ascii="Arial" w:cs="Arial" w:eastAsia="Arial" w:hAnsi="Arial"/>
          <w:sz w:val="15"/>
          <w:szCs w:val="15"/>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20" w:type="dxa"/>
            <w:vAlign w:val="bottom"/>
          </w:tcPr>
          <w:p>
            <w:pPr>
              <w:spacing w:after="0"/>
              <w:rPr>
                <w:sz w:val="14"/>
                <w:szCs w:val="1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2"/>
                <w:szCs w:val="12"/>
                <w:b w:val="1"/>
                <w:bCs w:val="1"/>
                <w:color w:val="auto"/>
              </w:rPr>
              <w:t>Nine Months Ended September 30,</w:t>
            </w:r>
          </w:p>
        </w:tc>
      </w:tr>
      <w:tr>
        <w:trPr>
          <w:trHeight w:val="157"/>
        </w:trPr>
        <w:tc>
          <w:tcPr>
            <w:tcW w:w="432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2020</w:t>
            </w:r>
          </w:p>
        </w:tc>
      </w:tr>
      <w:tr>
        <w:trPr>
          <w:trHeight w:val="152"/>
        </w:trPr>
        <w:tc>
          <w:tcPr>
            <w:tcW w:w="4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gridSpan w:val="3"/>
          </w:tcPr>
          <w:p>
            <w:pPr>
              <w:jc w:val="right"/>
              <w:ind w:right="111"/>
              <w:spacing w:after="0"/>
              <w:rPr>
                <w:sz w:val="20"/>
                <w:szCs w:val="20"/>
                <w:color w:val="auto"/>
              </w:rPr>
            </w:pPr>
            <w:r>
              <w:rPr>
                <w:rFonts w:ascii="Arial" w:cs="Arial" w:eastAsia="Arial" w:hAnsi="Arial"/>
                <w:sz w:val="12"/>
                <w:szCs w:val="12"/>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5"/>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Consolidated Statements of Operations: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1"/>
        </w:trPr>
        <w:tc>
          <w:tcPr>
            <w:tcW w:w="4320" w:type="dxa"/>
            <w:vAlign w:val="bottom"/>
          </w:tcPr>
          <w:p>
            <w:pPr>
              <w:ind w:left="460"/>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635"/>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194,439</w:t>
            </w:r>
          </w:p>
        </w:tc>
        <w:tc>
          <w:tcPr>
            <w:tcW w:w="100" w:type="dxa"/>
            <w:vAlign w:val="bottom"/>
          </w:tcPr>
          <w:p>
            <w:pPr>
              <w:spacing w:after="0"/>
              <w:rPr>
                <w:sz w:val="15"/>
                <w:szCs w:val="15"/>
                <w:color w:val="auto"/>
              </w:rPr>
            </w:pPr>
          </w:p>
        </w:tc>
        <w:tc>
          <w:tcPr>
            <w:tcW w:w="114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165,227</w:t>
            </w:r>
          </w:p>
        </w:tc>
        <w:tc>
          <w:tcPr>
            <w:tcW w:w="10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567,632</w:t>
            </w:r>
          </w:p>
        </w:tc>
        <w:tc>
          <w:tcPr>
            <w:tcW w:w="100" w:type="dxa"/>
            <w:vAlign w:val="bottom"/>
          </w:tcPr>
          <w:p>
            <w:pPr>
              <w:spacing w:after="0"/>
              <w:rPr>
                <w:sz w:val="15"/>
                <w:szCs w:val="15"/>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485,742</w:t>
            </w:r>
          </w:p>
        </w:tc>
      </w:tr>
      <w:tr>
        <w:trPr>
          <w:trHeight w:val="187"/>
        </w:trPr>
        <w:tc>
          <w:tcPr>
            <w:tcW w:w="4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1"/>
        </w:trPr>
        <w:tc>
          <w:tcPr>
            <w:tcW w:w="432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69,634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60,331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199,223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193,265</w:t>
            </w:r>
          </w:p>
        </w:tc>
      </w:tr>
      <w:tr>
        <w:trPr>
          <w:trHeight w:val="187"/>
        </w:trPr>
        <w:tc>
          <w:tcPr>
            <w:tcW w:w="4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142,273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114,872</w:t>
            </w:r>
          </w:p>
        </w:tc>
      </w:tr>
      <w:tr>
        <w:trPr>
          <w:trHeight w:val="181"/>
        </w:trPr>
        <w:tc>
          <w:tcPr>
            <w:tcW w:w="432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13,565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10,617</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36,289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36,171</w:t>
            </w:r>
          </w:p>
        </w:tc>
      </w:tr>
      <w:tr>
        <w:trPr>
          <w:trHeight w:val="187"/>
        </w:trPr>
        <w:tc>
          <w:tcPr>
            <w:tcW w:w="4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34,615</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28,277</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83,761</w:t>
            </w:r>
          </w:p>
        </w:tc>
      </w:tr>
      <w:tr>
        <w:trPr>
          <w:trHeight w:val="172"/>
        </w:trPr>
        <w:tc>
          <w:tcPr>
            <w:tcW w:w="432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172,270</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135,880</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474,120</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428,069</w:t>
            </w:r>
          </w:p>
        </w:tc>
      </w:tr>
      <w:tr>
        <w:trPr>
          <w:trHeight w:val="178"/>
        </w:trPr>
        <w:tc>
          <w:tcPr>
            <w:tcW w:w="4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93,512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57,673</w:t>
            </w:r>
          </w:p>
        </w:tc>
      </w:tr>
      <w:tr>
        <w:trPr>
          <w:trHeight w:val="181"/>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(expense) / income, net</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178"/>
        </w:trPr>
        <w:tc>
          <w:tcPr>
            <w:tcW w:w="4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90,624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57,167</w:t>
            </w:r>
          </w:p>
        </w:tc>
      </w:tr>
      <w:tr>
        <w:trPr>
          <w:trHeight w:val="181"/>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4,391</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15,627</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11,280</w:t>
            </w:r>
          </w:p>
        </w:tc>
      </w:tr>
      <w:tr>
        <w:trPr>
          <w:trHeight w:val="200"/>
        </w:trPr>
        <w:tc>
          <w:tcPr>
            <w:tcW w:w="4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16,029</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22,582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74,997</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2"/>
                <w:szCs w:val="12"/>
                <w:b w:val="1"/>
                <w:bCs w:val="1"/>
                <w:color w:val="auto"/>
              </w:rPr>
              <w:t>Three Months Ended September 30,</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2"/>
                <w:szCs w:val="12"/>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r>
      <w:tr>
        <w:trPr>
          <w:trHeight w:val="157"/>
        </w:trPr>
        <w:tc>
          <w:tcPr>
            <w:tcW w:w="41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r>
      <w:tr>
        <w:trPr>
          <w:trHeight w:val="165"/>
        </w:trPr>
        <w:tc>
          <w:tcPr>
            <w:tcW w:w="4180" w:type="dxa"/>
            <w:vAlign w:val="bottom"/>
            <w:shd w:val="clear" w:color="auto" w:fill="CCEEFF"/>
          </w:tcPr>
          <w:p>
            <w:pPr>
              <w:ind w:left="360"/>
              <w:spacing w:after="0" w:line="160" w:lineRule="exact"/>
              <w:rPr>
                <w:sz w:val="20"/>
                <w:szCs w:val="20"/>
                <w:color w:val="auto"/>
              </w:rPr>
            </w:pPr>
            <w:r>
              <w:rPr>
                <w:rFonts w:ascii="Arial" w:cs="Arial" w:eastAsia="Arial" w:hAnsi="Arial"/>
                <w:sz w:val="14"/>
                <w:szCs w:val="14"/>
                <w:b w:val="1"/>
                <w:bCs w:val="1"/>
                <w:color w:val="auto"/>
              </w:rPr>
              <w:t>Consolidated Statements of Operations:</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181"/>
        </w:trPr>
        <w:tc>
          <w:tcPr>
            <w:tcW w:w="4180" w:type="dxa"/>
            <w:vAlign w:val="bottom"/>
          </w:tcPr>
          <w:p>
            <w:pPr>
              <w:ind w:left="460"/>
              <w:spacing w:after="0"/>
              <w:rPr>
                <w:sz w:val="20"/>
                <w:szCs w:val="20"/>
                <w:color w:val="auto"/>
              </w:rPr>
            </w:pPr>
            <w:r>
              <w:rPr>
                <w:rFonts w:ascii="Arial" w:cs="Arial" w:eastAsia="Arial" w:hAnsi="Arial"/>
                <w:sz w:val="14"/>
                <w:szCs w:val="14"/>
                <w:color w:val="auto"/>
              </w:rPr>
              <w:t>Revenue</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100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81"/>
        </w:trPr>
        <w:tc>
          <w:tcPr>
            <w:tcW w:w="418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36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37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color w:val="auto"/>
              </w:rPr>
              <w:t>35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40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1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25</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18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400" w:type="dxa"/>
            <w:vAlign w:val="bottom"/>
          </w:tcPr>
          <w:p>
            <w:pPr>
              <w:jc w:val="right"/>
              <w:ind w:right="152"/>
              <w:spacing w:after="0"/>
              <w:rPr>
                <w:sz w:val="20"/>
                <w:szCs w:val="20"/>
                <w:color w:val="auto"/>
              </w:rPr>
            </w:pPr>
            <w:r>
              <w:rPr>
                <w:rFonts w:ascii="Arial" w:cs="Arial" w:eastAsia="Arial" w:hAnsi="Arial"/>
                <w:sz w:val="14"/>
                <w:szCs w:val="14"/>
                <w:color w:val="auto"/>
              </w:rPr>
              <w:t>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color w:val="auto"/>
              </w:rPr>
              <w:t>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1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18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89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84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88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1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(expense) / income, net</w:t>
            </w: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1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13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Note: Due to rounding, percentages may not sum to totals.</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7" w:name="page28"/>
    <w:bookmarkEnd w:id="27"/>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the Three Months Ended September 30, 2021 and 2020</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Three Months Ended September 30,</w:t>
            </w:r>
          </w:p>
        </w:tc>
        <w:tc>
          <w:tcPr>
            <w:tcW w:w="1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57"/>
        </w:trPr>
        <w:tc>
          <w:tcPr>
            <w:tcW w:w="4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ind w:right="47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 Change</w:t>
            </w:r>
          </w:p>
        </w:tc>
        <w:tc>
          <w:tcPr>
            <w:tcW w:w="1420" w:type="dxa"/>
            <w:vAlign w:val="bottom"/>
          </w:tcPr>
          <w:p>
            <w:pPr>
              <w:ind w:left="740"/>
              <w:spacing w:after="0"/>
              <w:rPr>
                <w:sz w:val="20"/>
                <w:szCs w:val="20"/>
                <w:color w:val="auto"/>
              </w:rPr>
            </w:pPr>
            <w:r>
              <w:rPr>
                <w:rFonts w:ascii="Arial" w:cs="Arial" w:eastAsia="Arial" w:hAnsi="Arial"/>
                <w:sz w:val="12"/>
                <w:szCs w:val="12"/>
                <w:b w:val="1"/>
                <w:bCs w:val="1"/>
                <w:color w:val="auto"/>
              </w:rPr>
              <w:t>% Change</w:t>
            </w:r>
          </w:p>
        </w:tc>
        <w:tc>
          <w:tcPr>
            <w:tcW w:w="280" w:type="dxa"/>
            <w:vAlign w:val="bottom"/>
          </w:tcPr>
          <w:p>
            <w:pPr>
              <w:spacing w:after="0"/>
              <w:rPr>
                <w:sz w:val="13"/>
                <w:szCs w:val="13"/>
                <w:color w:val="auto"/>
              </w:rPr>
            </w:pPr>
          </w:p>
        </w:tc>
      </w:tr>
      <w:tr>
        <w:trPr>
          <w:trHeight w:val="152"/>
        </w:trPr>
        <w:tc>
          <w:tcPr>
            <w:tcW w:w="42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r>
      <w:tr>
        <w:trPr>
          <w:trHeight w:val="185"/>
        </w:trPr>
        <w:tc>
          <w:tcPr>
            <w:tcW w:w="42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Consolidated Statements of Operations: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460"/>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194,439</w:t>
            </w:r>
          </w:p>
        </w:tc>
        <w:tc>
          <w:tcPr>
            <w:tcW w:w="100" w:type="dxa"/>
            <w:vAlign w:val="bottom"/>
          </w:tcPr>
          <w:p>
            <w:pPr>
              <w:spacing w:after="0"/>
              <w:rPr>
                <w:sz w:val="15"/>
                <w:szCs w:val="15"/>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165,227</w:t>
            </w:r>
          </w:p>
        </w:tc>
        <w:tc>
          <w:tcPr>
            <w:tcW w:w="100" w:type="dxa"/>
            <w:vAlign w:val="bottom"/>
          </w:tcPr>
          <w:p>
            <w:pPr>
              <w:spacing w:after="0"/>
              <w:rPr>
                <w:sz w:val="15"/>
                <w:szCs w:val="15"/>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29,212</w:t>
            </w:r>
          </w:p>
        </w:tc>
        <w:tc>
          <w:tcPr>
            <w:tcW w:w="120" w:type="dxa"/>
            <w:vAlign w:val="bottom"/>
          </w:tcPr>
          <w:p>
            <w:pPr>
              <w:spacing w:after="0"/>
              <w:rPr>
                <w:sz w:val="15"/>
                <w:szCs w:val="15"/>
                <w:color w:val="auto"/>
              </w:rPr>
            </w:pPr>
          </w:p>
        </w:tc>
        <w:tc>
          <w:tcPr>
            <w:tcW w:w="1420" w:type="dxa"/>
            <w:vAlign w:val="bottom"/>
          </w:tcPr>
          <w:p>
            <w:pPr>
              <w:jc w:val="center"/>
              <w:ind w:left="732"/>
              <w:spacing w:after="0"/>
              <w:rPr>
                <w:sz w:val="20"/>
                <w:szCs w:val="20"/>
                <w:color w:val="auto"/>
              </w:rPr>
            </w:pPr>
            <w:r>
              <w:rPr>
                <w:rFonts w:ascii="Arial" w:cs="Arial" w:eastAsia="Arial" w:hAnsi="Arial"/>
                <w:sz w:val="14"/>
                <w:szCs w:val="14"/>
                <w:color w:val="auto"/>
                <w:w w:val="89"/>
              </w:rPr>
              <w:t>18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69,634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60,331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9,303</w:t>
            </w:r>
          </w:p>
        </w:tc>
        <w:tc>
          <w:tcPr>
            <w:tcW w:w="120" w:type="dxa"/>
            <w:vAlign w:val="bottom"/>
          </w:tcPr>
          <w:p>
            <w:pPr>
              <w:spacing w:after="0"/>
              <w:rPr>
                <w:sz w:val="15"/>
                <w:szCs w:val="15"/>
                <w:color w:val="auto"/>
              </w:rPr>
            </w:pPr>
          </w:p>
        </w:tc>
        <w:tc>
          <w:tcPr>
            <w:tcW w:w="1420" w:type="dxa"/>
            <w:vAlign w:val="bottom"/>
          </w:tcPr>
          <w:p>
            <w:pPr>
              <w:jc w:val="center"/>
              <w:ind w:left="732"/>
              <w:spacing w:after="0"/>
              <w:rPr>
                <w:sz w:val="20"/>
                <w:szCs w:val="20"/>
                <w:color w:val="auto"/>
              </w:rPr>
            </w:pPr>
            <w:r>
              <w:rPr>
                <w:rFonts w:ascii="Arial" w:cs="Arial" w:eastAsia="Arial" w:hAnsi="Arial"/>
                <w:sz w:val="14"/>
                <w:szCs w:val="14"/>
                <w:color w:val="auto"/>
                <w:w w:val="89"/>
              </w:rPr>
              <w:t>15</w:t>
            </w:r>
          </w:p>
        </w:tc>
        <w:tc>
          <w:tcPr>
            <w:tcW w:w="280" w:type="dxa"/>
            <w:vAlign w:val="bottom"/>
          </w:tcPr>
          <w:p>
            <w:pPr>
              <w:spacing w:after="0"/>
              <w:rPr>
                <w:sz w:val="15"/>
                <w:szCs w:val="15"/>
                <w:color w:val="auto"/>
              </w:rPr>
            </w:pP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17,801</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center"/>
              <w:ind w:left="732"/>
              <w:spacing w:after="0"/>
              <w:rPr>
                <w:sz w:val="20"/>
                <w:szCs w:val="20"/>
                <w:color w:val="auto"/>
              </w:rPr>
            </w:pPr>
            <w:r>
              <w:rPr>
                <w:rFonts w:ascii="Arial" w:cs="Arial" w:eastAsia="Arial" w:hAnsi="Arial"/>
                <w:sz w:val="14"/>
                <w:szCs w:val="14"/>
                <w:color w:val="auto"/>
                <w:w w:val="89"/>
              </w:rPr>
              <w:t>49</w:t>
            </w: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13,565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10,617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2,948</w:t>
            </w:r>
          </w:p>
        </w:tc>
        <w:tc>
          <w:tcPr>
            <w:tcW w:w="120" w:type="dxa"/>
            <w:vAlign w:val="bottom"/>
          </w:tcPr>
          <w:p>
            <w:pPr>
              <w:spacing w:after="0"/>
              <w:rPr>
                <w:sz w:val="15"/>
                <w:szCs w:val="15"/>
                <w:color w:val="auto"/>
              </w:rPr>
            </w:pPr>
          </w:p>
        </w:tc>
        <w:tc>
          <w:tcPr>
            <w:tcW w:w="1420" w:type="dxa"/>
            <w:vAlign w:val="bottom"/>
          </w:tcPr>
          <w:p>
            <w:pPr>
              <w:jc w:val="center"/>
              <w:ind w:left="732"/>
              <w:spacing w:after="0"/>
              <w:rPr>
                <w:sz w:val="20"/>
                <w:szCs w:val="20"/>
                <w:color w:val="auto"/>
              </w:rPr>
            </w:pPr>
            <w:r>
              <w:rPr>
                <w:rFonts w:ascii="Arial" w:cs="Arial" w:eastAsia="Arial" w:hAnsi="Arial"/>
                <w:sz w:val="14"/>
                <w:szCs w:val="14"/>
                <w:color w:val="auto"/>
                <w:w w:val="89"/>
              </w:rPr>
              <w:t>28</w:t>
            </w:r>
          </w:p>
        </w:tc>
        <w:tc>
          <w:tcPr>
            <w:tcW w:w="280" w:type="dxa"/>
            <w:vAlign w:val="bottom"/>
          </w:tcPr>
          <w:p>
            <w:pPr>
              <w:spacing w:after="0"/>
              <w:rPr>
                <w:sz w:val="15"/>
                <w:szCs w:val="15"/>
                <w:color w:val="auto"/>
              </w:rPr>
            </w:pP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34,615</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28,277</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6,338</w:t>
            </w:r>
          </w:p>
        </w:tc>
        <w:tc>
          <w:tcPr>
            <w:tcW w:w="1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4"/>
                <w:szCs w:val="14"/>
                <w:color w:val="auto"/>
                <w:w w:val="89"/>
              </w:rPr>
              <w:t>22</w:t>
            </w:r>
          </w:p>
        </w:tc>
        <w:tc>
          <w:tcPr>
            <w:tcW w:w="280" w:type="dxa"/>
            <w:vAlign w:val="bottom"/>
            <w:tcBorders>
              <w:bottom w:val="single" w:sz="8" w:color="auto"/>
            </w:tcBorders>
            <w:shd w:val="clear" w:color="auto" w:fill="CCEEFF"/>
          </w:tcPr>
          <w:p>
            <w:pPr>
              <w:spacing w:after="0"/>
              <w:rPr>
                <w:sz w:val="16"/>
                <w:szCs w:val="16"/>
                <w:color w:val="auto"/>
              </w:rPr>
            </w:pPr>
          </w:p>
        </w:tc>
      </w:tr>
      <w:tr>
        <w:trPr>
          <w:trHeight w:val="172"/>
        </w:trPr>
        <w:tc>
          <w:tcPr>
            <w:tcW w:w="426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172,270</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135,880</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36,390</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ind w:left="732"/>
              <w:spacing w:after="0"/>
              <w:rPr>
                <w:sz w:val="20"/>
                <w:szCs w:val="20"/>
                <w:color w:val="auto"/>
              </w:rPr>
            </w:pPr>
            <w:r>
              <w:rPr>
                <w:rFonts w:ascii="Arial" w:cs="Arial" w:eastAsia="Arial" w:hAnsi="Arial"/>
                <w:sz w:val="14"/>
                <w:szCs w:val="14"/>
                <w:color w:val="auto"/>
                <w:w w:val="89"/>
              </w:rPr>
              <w:t>27</w:t>
            </w:r>
          </w:p>
        </w:tc>
        <w:tc>
          <w:tcPr>
            <w:tcW w:w="280" w:type="dxa"/>
            <w:vAlign w:val="bottom"/>
            <w:tcBorders>
              <w:bottom w:val="single" w:sz="8" w:color="auto"/>
            </w:tcBorders>
          </w:tcPr>
          <w:p>
            <w:pPr>
              <w:spacing w:after="0"/>
              <w:rPr>
                <w:sz w:val="14"/>
                <w:szCs w:val="14"/>
                <w:color w:val="auto"/>
              </w:rPr>
            </w:pP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(7,178)</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center"/>
              <w:ind w:left="712"/>
              <w:spacing w:after="0"/>
              <w:rPr>
                <w:sz w:val="20"/>
                <w:szCs w:val="20"/>
                <w:color w:val="auto"/>
              </w:rPr>
            </w:pPr>
            <w:r>
              <w:rPr>
                <w:rFonts w:ascii="Arial" w:cs="Arial" w:eastAsia="Arial" w:hAnsi="Arial"/>
                <w:sz w:val="14"/>
                <w:szCs w:val="14"/>
                <w:color w:val="auto"/>
                <w:w w:val="96"/>
              </w:rPr>
              <w:t>(24)</w:t>
            </w:r>
          </w:p>
        </w:tc>
        <w:tc>
          <w:tcPr>
            <w:tcW w:w="280" w:type="dxa"/>
            <w:vAlign w:val="bottom"/>
            <w:shd w:val="clear" w:color="auto" w:fill="CCEEFF"/>
          </w:tcPr>
          <w:p>
            <w:pPr>
              <w:spacing w:after="0"/>
              <w:rPr>
                <w:sz w:val="15"/>
                <w:szCs w:val="15"/>
                <w:color w:val="auto"/>
              </w:rPr>
            </w:pP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(expense) / income, net</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ind w:left="732"/>
              <w:spacing w:after="0"/>
              <w:rPr>
                <w:sz w:val="20"/>
                <w:szCs w:val="20"/>
                <w:color w:val="auto"/>
              </w:rPr>
            </w:pPr>
            <w:r>
              <w:rPr>
                <w:rFonts w:ascii="Arial" w:cs="Arial" w:eastAsia="Arial" w:hAnsi="Arial"/>
                <w:sz w:val="14"/>
                <w:szCs w:val="14"/>
                <w:color w:val="auto"/>
                <w:w w:val="89"/>
              </w:rPr>
              <w:t>50</w:t>
            </w:r>
          </w:p>
        </w:tc>
        <w:tc>
          <w:tcPr>
            <w:tcW w:w="280" w:type="dxa"/>
            <w:vAlign w:val="bottom"/>
            <w:tcBorders>
              <w:bottom w:val="single" w:sz="8" w:color="auto"/>
            </w:tcBorders>
          </w:tcPr>
          <w:p>
            <w:pPr>
              <w:spacing w:after="0"/>
              <w:rPr>
                <w:sz w:val="15"/>
                <w:szCs w:val="15"/>
                <w:color w:val="auto"/>
              </w:rPr>
            </w:pP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(7,759)</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center"/>
              <w:ind w:left="712"/>
              <w:spacing w:after="0"/>
              <w:rPr>
                <w:sz w:val="20"/>
                <w:szCs w:val="20"/>
                <w:color w:val="auto"/>
              </w:rPr>
            </w:pPr>
            <w:r>
              <w:rPr>
                <w:rFonts w:ascii="Arial" w:cs="Arial" w:eastAsia="Arial" w:hAnsi="Arial"/>
                <w:sz w:val="14"/>
                <w:szCs w:val="14"/>
                <w:color w:val="auto"/>
                <w:w w:val="96"/>
              </w:rPr>
              <w:t>(28)</w:t>
            </w:r>
          </w:p>
        </w:tc>
        <w:tc>
          <w:tcPr>
            <w:tcW w:w="280" w:type="dxa"/>
            <w:vAlign w:val="bottom"/>
            <w:shd w:val="clear" w:color="auto" w:fill="CCEEFF"/>
          </w:tcPr>
          <w:p>
            <w:pPr>
              <w:spacing w:after="0"/>
              <w:rPr>
                <w:sz w:val="15"/>
                <w:szCs w:val="15"/>
                <w:color w:val="auto"/>
              </w:rPr>
            </w:pP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ind w:left="712"/>
              <w:spacing w:after="0"/>
              <w:rPr>
                <w:sz w:val="20"/>
                <w:szCs w:val="20"/>
                <w:color w:val="auto"/>
              </w:rPr>
            </w:pPr>
            <w:r>
              <w:rPr>
                <w:rFonts w:ascii="Arial" w:cs="Arial" w:eastAsia="Arial" w:hAnsi="Arial"/>
                <w:sz w:val="14"/>
                <w:szCs w:val="14"/>
                <w:color w:val="auto"/>
                <w:w w:val="96"/>
              </w:rPr>
              <w:t>(22)</w:t>
            </w:r>
          </w:p>
        </w:tc>
        <w:tc>
          <w:tcPr>
            <w:tcW w:w="280" w:type="dxa"/>
            <w:vAlign w:val="bottom"/>
            <w:tcBorders>
              <w:bottom w:val="single" w:sz="8" w:color="auto"/>
            </w:tcBorders>
          </w:tcPr>
          <w:p>
            <w:pPr>
              <w:spacing w:after="0"/>
              <w:rPr>
                <w:sz w:val="15"/>
                <w:szCs w:val="15"/>
                <w:color w:val="auto"/>
              </w:rPr>
            </w:pPr>
          </w:p>
        </w:tc>
      </w:tr>
      <w:tr>
        <w:trPr>
          <w:trHeight w:val="200"/>
        </w:trPr>
        <w:tc>
          <w:tcPr>
            <w:tcW w:w="4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22,582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(6,553)</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ind w:left="712"/>
              <w:spacing w:after="0"/>
              <w:rPr>
                <w:sz w:val="20"/>
                <w:szCs w:val="20"/>
                <w:color w:val="auto"/>
              </w:rPr>
            </w:pPr>
            <w:r>
              <w:rPr>
                <w:rFonts w:ascii="Arial" w:cs="Arial" w:eastAsia="Arial" w:hAnsi="Arial"/>
                <w:sz w:val="14"/>
                <w:szCs w:val="14"/>
                <w:color w:val="auto"/>
                <w:w w:val="96"/>
              </w:rPr>
              <w:t>(29)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26" w:lineRule="exact"/>
        <w:rPr>
          <w:sz w:val="20"/>
          <w:szCs w:val="20"/>
          <w:color w:val="auto"/>
        </w:rPr>
      </w:pPr>
    </w:p>
    <w:p>
      <w:pPr>
        <w:ind w:right="340" w:firstLine="345"/>
        <w:spacing w:after="0" w:line="286" w:lineRule="auto"/>
        <w:rPr>
          <w:sz w:val="20"/>
          <w:szCs w:val="20"/>
          <w:color w:val="auto"/>
        </w:rPr>
      </w:pPr>
      <w:r>
        <w:rPr>
          <w:rFonts w:ascii="Arial" w:cs="Arial" w:eastAsia="Arial" w:hAnsi="Arial"/>
          <w:sz w:val="15"/>
          <w:szCs w:val="15"/>
          <w:color w:val="auto"/>
        </w:rPr>
        <w:t>Revenue increased by $29.2 million, or 18%, to $194.4 million in the three months ended September 30, 2021 compared to the same period in 2020. On a constant currency basis, revenue increased approximately 17% in the three months ended September 30, 2021, compared to the same period in 2020.</w:t>
      </w:r>
    </w:p>
    <w:p>
      <w:pPr>
        <w:spacing w:after="0" w:line="83"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The Company’s E-commerce revenues increased by 18%, to $121.7 million in the three months ended September 30, 2021, compared to the same period in 2020. Foreign currency fluctuations did not have a significant impact on E-commerce revenues in the three months ended September 30, 2021, compared to the same period in 2020. During the three months ended September 30, 2021, growth in our E-commerce sales channel was primarily driven by increased subscriber revenue and revenue generated from our acquisitions of TurboSquid and PicMonkey, which were completed on February 1, 2021 and September 3, 2021, respectively.</w:t>
      </w:r>
    </w:p>
    <w:p>
      <w:pPr>
        <w:spacing w:after="0" w:line="97" w:lineRule="exact"/>
        <w:rPr>
          <w:sz w:val="20"/>
          <w:szCs w:val="20"/>
          <w:color w:val="auto"/>
        </w:rPr>
      </w:pPr>
    </w:p>
    <w:p>
      <w:pPr>
        <w:ind w:right="340" w:firstLine="345"/>
        <w:spacing w:after="0" w:line="319" w:lineRule="auto"/>
        <w:rPr>
          <w:sz w:val="20"/>
          <w:szCs w:val="20"/>
          <w:color w:val="auto"/>
        </w:rPr>
      </w:pPr>
      <w:r>
        <w:rPr>
          <w:rFonts w:ascii="Arial" w:cs="Arial" w:eastAsia="Arial" w:hAnsi="Arial"/>
          <w:sz w:val="13"/>
          <w:szCs w:val="13"/>
          <w:color w:val="auto"/>
        </w:rPr>
        <w:t>The Company’s Enterprise revenues increased by 17%, to $72.7 million in the three months ended September 30, 2021, compared to the same period in 2020. On a constant currency basis, the Company’s Enterprise revenues increased by 15% in the three months ended September 30, 2021, compared to the same period in 2020. The Company has continued to execute on its strategy to respond to market trends including making updates to product offerings and continuously improving our platform. We believe these enhancements impacted our Enterprise sales operations during the period and is one of the drivers of the increased deferred revenue balance as of September 30, 2021.</w:t>
      </w:r>
    </w:p>
    <w:p>
      <w:pPr>
        <w:spacing w:after="0" w:line="56" w:lineRule="exact"/>
        <w:rPr>
          <w:sz w:val="20"/>
          <w:szCs w:val="20"/>
          <w:color w:val="auto"/>
        </w:rPr>
      </w:pPr>
    </w:p>
    <w:p>
      <w:pPr>
        <w:jc w:val="both"/>
        <w:ind w:right="60" w:firstLine="345"/>
        <w:spacing w:after="0" w:line="271" w:lineRule="auto"/>
        <w:rPr>
          <w:sz w:val="20"/>
          <w:szCs w:val="20"/>
          <w:color w:val="auto"/>
        </w:rPr>
      </w:pPr>
      <w:r>
        <w:rPr>
          <w:rFonts w:ascii="Arial" w:cs="Arial" w:eastAsia="Arial" w:hAnsi="Arial"/>
          <w:sz w:val="15"/>
          <w:szCs w:val="15"/>
          <w:color w:val="auto"/>
        </w:rPr>
        <w:t>In the three months ended September 30, 2021 and 2020, we delivered 44.3 million and 43.4 million paid downloads, respectively, and our revenue per download was $4.20 and $3.79 for the three months ended September 30, 2021 and 2020, respectively. During the three months ended September 30, 2021, the increase in revenue per download was primarily due to changes in product mix.</w:t>
      </w:r>
    </w:p>
    <w:p>
      <w:pPr>
        <w:spacing w:after="0" w:line="94" w:lineRule="exact"/>
        <w:rPr>
          <w:sz w:val="20"/>
          <w:szCs w:val="20"/>
          <w:color w:val="auto"/>
        </w:rPr>
      </w:pPr>
    </w:p>
    <w:p>
      <w:pPr>
        <w:ind w:right="520" w:firstLine="345"/>
        <w:spacing w:after="0" w:line="271" w:lineRule="auto"/>
        <w:rPr>
          <w:sz w:val="20"/>
          <w:szCs w:val="20"/>
          <w:color w:val="auto"/>
        </w:rPr>
      </w:pPr>
      <w:r>
        <w:rPr>
          <w:rFonts w:ascii="Arial" w:cs="Arial" w:eastAsia="Arial" w:hAnsi="Arial"/>
          <w:sz w:val="15"/>
          <w:szCs w:val="15"/>
          <w:color w:val="auto"/>
        </w:rPr>
        <w:t>Changes in our revenue by region were as follows: revenue from North America increased by $18.0 million, or 30%, to $77.3 million, revenue from Europe increased by $7.0 million, or 13%, to $60.3 million and revenue from outside Europe and North America increased by $4.2 million, or 8%, to $56.9 million, in the three months ended September 30, 2021 compared to the same period in 2020.</w:t>
      </w: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103" w:lineRule="exact"/>
        <w:rPr>
          <w:sz w:val="20"/>
          <w:szCs w:val="20"/>
          <w:color w:val="auto"/>
        </w:rPr>
      </w:pPr>
    </w:p>
    <w:p>
      <w:pPr>
        <w:ind w:right="180" w:firstLine="345"/>
        <w:spacing w:after="0" w:line="266" w:lineRule="auto"/>
        <w:rPr>
          <w:sz w:val="20"/>
          <w:szCs w:val="20"/>
          <w:color w:val="auto"/>
        </w:rPr>
      </w:pPr>
      <w:r>
        <w:rPr>
          <w:rFonts w:ascii="Arial" w:cs="Arial" w:eastAsia="Arial" w:hAnsi="Arial"/>
          <w:sz w:val="15"/>
          <w:szCs w:val="15"/>
          <w:i w:val="1"/>
          <w:iCs w:val="1"/>
          <w:color w:val="auto"/>
        </w:rPr>
        <w:t>Cost of Revenue</w:t>
      </w:r>
      <w:r>
        <w:rPr>
          <w:rFonts w:ascii="Arial" w:cs="Arial" w:eastAsia="Arial" w:hAnsi="Arial"/>
          <w:sz w:val="15"/>
          <w:szCs w:val="15"/>
          <w:color w:val="auto"/>
        </w:rPr>
        <w:t>. Cost of revenue increased by $9.3 million, or 15% to $69.6 million in the three months ended September 30, 2021 compared to the same period in 2020. This</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was primarily driven by: (i) higher royalty expense, which is in line with the increase in revenue and paid downloads; (ii) increased depreciation and amortization expense driven by our recent acquisitions, and (iii) higher content procurement costs. We expect that our cost of revenue will continue to fluctuate in line with changes in revenue and paid downloads.</w:t>
      </w:r>
    </w:p>
    <w:p>
      <w:pPr>
        <w:spacing w:after="0" w:line="63" w:lineRule="exact"/>
        <w:rPr>
          <w:sz w:val="20"/>
          <w:szCs w:val="20"/>
          <w:color w:val="auto"/>
        </w:rPr>
      </w:pPr>
    </w:p>
    <w:p>
      <w:pPr>
        <w:ind w:right="120" w:firstLine="345"/>
        <w:spacing w:after="0" w:line="263"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increased by $17.8 million, or 49%, to $54.5 million in the three months ended September 30, 2021 compared to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period in 2020. As a percent of revenue, sales and marketing expenses increased to 28% for the three months ended September 30, 2021, from 22% for the same period in 2020. This was primarily driven by a (i) $13.0 million increase in marketing spend, and (ii) $3.8 million in higher employee-related costs, primarily related to commissions associated with increased enterprise billings. We expect sales and marketing expenses to continue to fluctuate as we optimize our sales channels and invest in new customer acquisition, products and geographies.</w:t>
      </w:r>
    </w:p>
    <w:p>
      <w:pPr>
        <w:spacing w:after="0" w:line="66" w:lineRule="exact"/>
        <w:rPr>
          <w:sz w:val="20"/>
          <w:szCs w:val="20"/>
          <w:color w:val="auto"/>
        </w:rPr>
      </w:pPr>
    </w:p>
    <w:p>
      <w:pPr>
        <w:ind w:right="20" w:firstLine="345"/>
        <w:spacing w:after="0" w:line="290" w:lineRule="auto"/>
        <w:rPr>
          <w:sz w:val="20"/>
          <w:szCs w:val="20"/>
          <w:color w:val="auto"/>
        </w:rPr>
      </w:pPr>
      <w:r>
        <w:rPr>
          <w:rFonts w:ascii="Arial" w:cs="Arial" w:eastAsia="Arial" w:hAnsi="Arial"/>
          <w:sz w:val="14"/>
          <w:szCs w:val="14"/>
          <w:i w:val="1"/>
          <w:iCs w:val="1"/>
          <w:color w:val="auto"/>
        </w:rPr>
        <w:t>Product Development</w:t>
      </w:r>
      <w:r>
        <w:rPr>
          <w:rFonts w:ascii="Arial" w:cs="Arial" w:eastAsia="Arial" w:hAnsi="Arial"/>
          <w:sz w:val="14"/>
          <w:szCs w:val="14"/>
          <w:color w:val="auto"/>
        </w:rPr>
        <w:t>. Product development expenses increased by $2.9 million, or 28%, to $13.6 million in the three months ended September 30, 2021 compared to the same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in 2020. This increase was driven by $3.0 million in higher employee and third-party contractor related costs, net of capitalized labor, for the three months ended September 30, 2021,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49" w:lineRule="exact"/>
        <w:rPr>
          <w:sz w:val="20"/>
          <w:szCs w:val="20"/>
          <w:color w:val="auto"/>
        </w:rPr>
      </w:pPr>
    </w:p>
    <w:p>
      <w:pPr>
        <w:ind w:firstLine="345"/>
        <w:spacing w:after="0" w:line="271"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General and administrative expenses increased by $6.3 million, or 22%, to $34.6 million in the three months ended September 30, 2021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same period in 2020. During the three months ended September 30, 2021, general and administrative expenses included $3.1 million in higher employee-related costs and $2.5 million in higher professional fees primarily related to our acquisition of PicMonkey.</w:t>
      </w:r>
    </w:p>
    <w:p>
      <w:pPr>
        <w:spacing w:after="0" w:line="59" w:lineRule="exact"/>
        <w:rPr>
          <w:sz w:val="20"/>
          <w:szCs w:val="20"/>
          <w:color w:val="auto"/>
        </w:rPr>
      </w:pPr>
    </w:p>
    <w:p>
      <w:pPr>
        <w:ind w:right="80" w:firstLine="345"/>
        <w:spacing w:after="0" w:line="266" w:lineRule="auto"/>
        <w:rPr>
          <w:sz w:val="20"/>
          <w:szCs w:val="20"/>
          <w:color w:val="auto"/>
        </w:rPr>
      </w:pPr>
      <w:r>
        <w:rPr>
          <w:rFonts w:ascii="Arial" w:cs="Arial" w:eastAsia="Arial" w:hAnsi="Arial"/>
          <w:sz w:val="15"/>
          <w:szCs w:val="15"/>
          <w:i w:val="1"/>
          <w:iCs w:val="1"/>
          <w:color w:val="auto"/>
        </w:rPr>
        <w:t>Other (Expense) / Income, Net</w:t>
      </w:r>
      <w:r>
        <w:rPr>
          <w:rFonts w:ascii="Arial" w:cs="Arial" w:eastAsia="Arial" w:hAnsi="Arial"/>
          <w:sz w:val="15"/>
          <w:szCs w:val="15"/>
          <w:color w:val="auto"/>
        </w:rPr>
        <w:t>. In the three months ended September 30, 2021, other (expense) / income, net substantially consisted of $1.8 million of unfavorable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currency fluctuations. During the three months ended September 30, 2020, other (expense) / income, net substantially consisted of $1.2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63" w:lineRule="exact"/>
        <w:rPr>
          <w:sz w:val="20"/>
          <w:szCs w:val="20"/>
          <w:color w:val="auto"/>
        </w:rPr>
      </w:pPr>
    </w:p>
    <w:p>
      <w:pPr>
        <w:ind w:right="300" w:firstLine="345"/>
        <w:spacing w:after="0" w:line="286"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Income tax expense decreased by $1.2 million for the three months ended September 30, 2021 as compared to the same period in 2020. Our effective tax rates</w:t>
      </w:r>
      <w:r>
        <w:rPr>
          <w:rFonts w:ascii="Arial" w:cs="Arial" w:eastAsia="Arial" w:hAnsi="Arial"/>
          <w:sz w:val="15"/>
          <w:szCs w:val="15"/>
          <w:i w:val="1"/>
          <w:iCs w:val="1"/>
          <w:color w:val="auto"/>
        </w:rPr>
        <w:t xml:space="preserve"> </w:t>
      </w:r>
      <w:r>
        <w:rPr>
          <w:rFonts w:ascii="Arial" w:cs="Arial" w:eastAsia="Arial" w:hAnsi="Arial"/>
          <w:sz w:val="15"/>
          <w:szCs w:val="15"/>
          <w:color w:val="auto"/>
        </w:rPr>
        <w:t>yielded a net expense of 21.5% and 19.9% for the three months ended September 30, 2021 and 2020, respectively.</w:t>
      </w:r>
    </w:p>
    <w:p>
      <w:pPr>
        <w:spacing w:after="0" w:line="49" w:lineRule="exact"/>
        <w:rPr>
          <w:sz w:val="20"/>
          <w:szCs w:val="20"/>
          <w:color w:val="auto"/>
        </w:rPr>
      </w:pPr>
    </w:p>
    <w:p>
      <w:pPr>
        <w:ind w:right="220" w:firstLine="345"/>
        <w:spacing w:after="0" w:line="286" w:lineRule="auto"/>
        <w:rPr>
          <w:sz w:val="20"/>
          <w:szCs w:val="20"/>
          <w:color w:val="auto"/>
        </w:rPr>
      </w:pPr>
      <w:r>
        <w:rPr>
          <w:rFonts w:ascii="Arial" w:cs="Arial" w:eastAsia="Arial" w:hAnsi="Arial"/>
          <w:sz w:val="15"/>
          <w:szCs w:val="15"/>
          <w:color w:val="auto"/>
        </w:rPr>
        <w:t>For the three months ended September 30, 2021, the net effect of discrete items increased the effective tax rate by 1.3%. Excluding discrete items, our effective tax rate would have been 20.2% for the three months ended September 30, 2021.</w:t>
      </w:r>
    </w:p>
    <w:p>
      <w:pPr>
        <w:spacing w:after="0" w:line="49" w:lineRule="exact"/>
        <w:rPr>
          <w:sz w:val="20"/>
          <w:szCs w:val="20"/>
          <w:color w:val="auto"/>
        </w:rPr>
      </w:pPr>
    </w:p>
    <w:p>
      <w:pPr>
        <w:ind w:right="60" w:firstLine="345"/>
        <w:spacing w:after="0" w:line="286" w:lineRule="auto"/>
        <w:rPr>
          <w:sz w:val="20"/>
          <w:szCs w:val="20"/>
          <w:color w:val="auto"/>
        </w:rPr>
      </w:pPr>
      <w:r>
        <w:rPr>
          <w:rFonts w:ascii="Arial" w:cs="Arial" w:eastAsia="Arial" w:hAnsi="Arial"/>
          <w:sz w:val="15"/>
          <w:szCs w:val="15"/>
          <w:color w:val="auto"/>
        </w:rPr>
        <w:t>For the three months ended September 30, 2020, the net effect of discrete items increased the effective tax rate by 2.9%. Excluding these items, our effective tax rate would have been 17.0% for the three months ended September 30, 2020.</w:t>
      </w:r>
    </w:p>
    <w:p>
      <w:pPr>
        <w:spacing w:after="0" w:line="83" w:lineRule="exact"/>
        <w:rPr>
          <w:sz w:val="20"/>
          <w:szCs w:val="20"/>
          <w:color w:val="auto"/>
        </w:rPr>
      </w:pPr>
    </w:p>
    <w:p>
      <w:pPr>
        <w:ind w:right="100" w:firstLine="345"/>
        <w:spacing w:after="0" w:line="286" w:lineRule="auto"/>
        <w:rPr>
          <w:sz w:val="20"/>
          <w:szCs w:val="20"/>
          <w:color w:val="auto"/>
        </w:rPr>
      </w:pPr>
      <w:r>
        <w:rPr>
          <w:rFonts w:ascii="Arial" w:cs="Arial" w:eastAsia="Arial" w:hAnsi="Arial"/>
          <w:sz w:val="15"/>
          <w:szCs w:val="15"/>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9" w:name="page30"/>
    <w:bookmarkEnd w:id="2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the Nine Months Ended September 30, 2021 and 2020</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b w:val="1"/>
                <w:bCs w:val="1"/>
                <w:color w:val="auto"/>
              </w:rPr>
              <w:t>Nine Months Ended September 30,</w:t>
            </w:r>
          </w:p>
        </w:tc>
        <w:tc>
          <w:tcPr>
            <w:tcW w:w="1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57"/>
        </w:trPr>
        <w:tc>
          <w:tcPr>
            <w:tcW w:w="4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ind w:right="47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 Change</w:t>
            </w:r>
          </w:p>
        </w:tc>
        <w:tc>
          <w:tcPr>
            <w:tcW w:w="1420" w:type="dxa"/>
            <w:vAlign w:val="bottom"/>
          </w:tcPr>
          <w:p>
            <w:pPr>
              <w:jc w:val="right"/>
              <w:ind w:right="52"/>
              <w:spacing w:after="0"/>
              <w:rPr>
                <w:sz w:val="20"/>
                <w:szCs w:val="20"/>
                <w:color w:val="auto"/>
              </w:rPr>
            </w:pPr>
            <w:r>
              <w:rPr>
                <w:rFonts w:ascii="Arial" w:cs="Arial" w:eastAsia="Arial" w:hAnsi="Arial"/>
                <w:sz w:val="12"/>
                <w:szCs w:val="12"/>
                <w:b w:val="1"/>
                <w:bCs w:val="1"/>
                <w:color w:val="auto"/>
              </w:rPr>
              <w:t>% Change</w:t>
            </w:r>
          </w:p>
        </w:tc>
        <w:tc>
          <w:tcPr>
            <w:tcW w:w="280" w:type="dxa"/>
            <w:vAlign w:val="bottom"/>
          </w:tcPr>
          <w:p>
            <w:pPr>
              <w:spacing w:after="0"/>
              <w:rPr>
                <w:sz w:val="13"/>
                <w:szCs w:val="13"/>
                <w:color w:val="auto"/>
              </w:rPr>
            </w:pPr>
          </w:p>
        </w:tc>
      </w:tr>
      <w:tr>
        <w:trPr>
          <w:trHeight w:val="152"/>
        </w:trPr>
        <w:tc>
          <w:tcPr>
            <w:tcW w:w="42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r>
      <w:tr>
        <w:trPr>
          <w:trHeight w:val="185"/>
        </w:trPr>
        <w:tc>
          <w:tcPr>
            <w:tcW w:w="42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Consolidated Statements of Operations Data:</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460"/>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567,632</w:t>
            </w:r>
          </w:p>
        </w:tc>
        <w:tc>
          <w:tcPr>
            <w:tcW w:w="100" w:type="dxa"/>
            <w:vAlign w:val="bottom"/>
          </w:tcPr>
          <w:p>
            <w:pPr>
              <w:spacing w:after="0"/>
              <w:rPr>
                <w:sz w:val="15"/>
                <w:szCs w:val="15"/>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485,742</w:t>
            </w:r>
          </w:p>
        </w:tc>
        <w:tc>
          <w:tcPr>
            <w:tcW w:w="100" w:type="dxa"/>
            <w:vAlign w:val="bottom"/>
          </w:tcPr>
          <w:p>
            <w:pPr>
              <w:spacing w:after="0"/>
              <w:rPr>
                <w:sz w:val="15"/>
                <w:szCs w:val="15"/>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81,890</w:t>
            </w:r>
          </w:p>
        </w:tc>
        <w:tc>
          <w:tcPr>
            <w:tcW w:w="120" w:type="dxa"/>
            <w:vAlign w:val="bottom"/>
          </w:tcPr>
          <w:p>
            <w:pPr>
              <w:spacing w:after="0"/>
              <w:rPr>
                <w:sz w:val="15"/>
                <w:szCs w:val="15"/>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color w:val="auto"/>
              </w:rPr>
              <w:t>17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199,223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193,265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5,958</w:t>
            </w:r>
          </w:p>
        </w:tc>
        <w:tc>
          <w:tcPr>
            <w:tcW w:w="120" w:type="dxa"/>
            <w:vAlign w:val="bottom"/>
          </w:tcPr>
          <w:p>
            <w:pPr>
              <w:spacing w:after="0"/>
              <w:rPr>
                <w:sz w:val="15"/>
                <w:szCs w:val="15"/>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color w:val="auto"/>
              </w:rPr>
              <w:t>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142,273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114,872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27,401</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24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36,289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36,171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5"/>
                <w:szCs w:val="15"/>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96,335</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83,761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12,574</w:t>
            </w:r>
          </w:p>
        </w:tc>
        <w:tc>
          <w:tcPr>
            <w:tcW w:w="1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26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474,120</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428,069</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46,051</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35,839</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62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(expense) / income, net</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90,624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33,457</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59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11,280</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4,347</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74,997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29,110</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63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______________________________________</w:t>
      </w:r>
    </w:p>
    <w:p>
      <w:pPr>
        <w:spacing w:after="0" w:line="98" w:lineRule="exact"/>
        <w:rPr>
          <w:sz w:val="20"/>
          <w:szCs w:val="20"/>
          <w:color w:val="auto"/>
        </w:rPr>
      </w:pPr>
    </w:p>
    <w:p>
      <w:pPr>
        <w:ind w:left="340"/>
        <w:spacing w:after="0"/>
        <w:tabs>
          <w:tab w:leader="none" w:pos="5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Not meaningful</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03" w:lineRule="exact"/>
        <w:rPr>
          <w:sz w:val="20"/>
          <w:szCs w:val="20"/>
          <w:color w:val="auto"/>
        </w:rPr>
      </w:pPr>
    </w:p>
    <w:p>
      <w:pPr>
        <w:jc w:val="both"/>
        <w:ind w:firstLine="345"/>
        <w:spacing w:after="0" w:line="286" w:lineRule="auto"/>
        <w:rPr>
          <w:sz w:val="20"/>
          <w:szCs w:val="20"/>
          <w:color w:val="auto"/>
        </w:rPr>
      </w:pPr>
      <w:r>
        <w:rPr>
          <w:rFonts w:ascii="Arial" w:cs="Arial" w:eastAsia="Arial" w:hAnsi="Arial"/>
          <w:sz w:val="15"/>
          <w:szCs w:val="15"/>
          <w:color w:val="auto"/>
        </w:rPr>
        <w:t>Revenue increased by $81.9 million, or 17%, to $567.6 million in the nine months ended September 30, 2021 compared to the same period in 2020. On a constant currency basis, revenue increased approximately 15% in the nine months ended September 30, 2021, compared to the same period in 2020.</w:t>
      </w:r>
    </w:p>
    <w:p>
      <w:pPr>
        <w:spacing w:after="0" w:line="72" w:lineRule="exact"/>
        <w:rPr>
          <w:sz w:val="20"/>
          <w:szCs w:val="20"/>
          <w:color w:val="auto"/>
        </w:rPr>
      </w:pPr>
    </w:p>
    <w:p>
      <w:pPr>
        <w:ind w:right="120" w:firstLine="345"/>
        <w:spacing w:after="0" w:line="266" w:lineRule="auto"/>
        <w:rPr>
          <w:sz w:val="20"/>
          <w:szCs w:val="20"/>
          <w:color w:val="auto"/>
        </w:rPr>
      </w:pPr>
      <w:r>
        <w:rPr>
          <w:rFonts w:ascii="Arial" w:cs="Arial" w:eastAsia="Arial" w:hAnsi="Arial"/>
          <w:sz w:val="15"/>
          <w:szCs w:val="15"/>
          <w:color w:val="auto"/>
        </w:rPr>
        <w:t>The Company’s E-commerce revenues increased by 20%, to $360.8 million in the nine months ended September 30, 2021, compared to the same period in 2020. On a constant currency basis, the Company’s E-commerce revenues increased by 18% in the nine months ended September 30, 2021, compared to the same period in 2020. During the nine months ended September 30, 2021, growth in our E-commerce sales channel was driven by increased subscriber revenue and revenue generated by our acquisitions of TurboSquid and PicMonkey, which were completed on February 1, 2021 and September 3, 2021, respectively.</w:t>
      </w:r>
    </w:p>
    <w:p>
      <w:pPr>
        <w:spacing w:after="0" w:line="97" w:lineRule="exact"/>
        <w:rPr>
          <w:sz w:val="20"/>
          <w:szCs w:val="20"/>
          <w:color w:val="auto"/>
        </w:rPr>
      </w:pPr>
    </w:p>
    <w:p>
      <w:pPr>
        <w:ind w:right="40" w:firstLine="345"/>
        <w:spacing w:after="0" w:line="290" w:lineRule="auto"/>
        <w:rPr>
          <w:sz w:val="20"/>
          <w:szCs w:val="20"/>
          <w:color w:val="auto"/>
        </w:rPr>
      </w:pPr>
      <w:r>
        <w:rPr>
          <w:rFonts w:ascii="Arial" w:cs="Arial" w:eastAsia="Arial" w:hAnsi="Arial"/>
          <w:sz w:val="14"/>
          <w:szCs w:val="14"/>
          <w:color w:val="auto"/>
        </w:rPr>
        <w:t>The Company’s Enterprise revenues increased by 12%, to $206.8 million in the nine months ended September 30, 2021, compared to the same period in 2020. On a constant currency basis, the Company’s Enterprise revenues increased by 9% in the nine months ended September 30, 2021, compared to the same period in 2020. The Company has continued to execute on its strategy to respond to market trends including making updates to product offerings and continuously improving our platform. We believe these enhancements impacted our Enterprise sales operations during the period and were one of the drivers of the increased deferred revenue balance as of September 30, 2021.</w:t>
      </w:r>
    </w:p>
    <w:p>
      <w:pPr>
        <w:spacing w:after="0" w:line="49" w:lineRule="exact"/>
        <w:rPr>
          <w:sz w:val="20"/>
          <w:szCs w:val="20"/>
          <w:color w:val="auto"/>
        </w:rPr>
      </w:pPr>
    </w:p>
    <w:p>
      <w:pPr>
        <w:ind w:right="220" w:firstLine="345"/>
        <w:spacing w:after="0" w:line="271" w:lineRule="auto"/>
        <w:rPr>
          <w:sz w:val="20"/>
          <w:szCs w:val="20"/>
          <w:color w:val="auto"/>
        </w:rPr>
      </w:pPr>
      <w:r>
        <w:rPr>
          <w:rFonts w:ascii="Arial" w:cs="Arial" w:eastAsia="Arial" w:hAnsi="Arial"/>
          <w:sz w:val="15"/>
          <w:szCs w:val="15"/>
          <w:color w:val="auto"/>
        </w:rPr>
        <w:t>In the nine months ended September 30, 2021 and 2020, we delivered 135.0 million and 134.2 million paid downloads, respectively, and our revenue per download was $4.11 and $3.60 for the nine months ended September 30, 2021 and 2020, respectively. During the nine months ended September 30, 2021, the increase in revenue per download was primarily due to changes in product mix.</w:t>
      </w:r>
    </w:p>
    <w:p>
      <w:pPr>
        <w:spacing w:after="0" w:line="59" w:lineRule="exact"/>
        <w:rPr>
          <w:sz w:val="20"/>
          <w:szCs w:val="20"/>
          <w:color w:val="auto"/>
        </w:rPr>
      </w:pPr>
    </w:p>
    <w:p>
      <w:pPr>
        <w:ind w:right="60" w:firstLine="345"/>
        <w:spacing w:after="0" w:line="271" w:lineRule="auto"/>
        <w:rPr>
          <w:sz w:val="20"/>
          <w:szCs w:val="20"/>
          <w:color w:val="auto"/>
        </w:rPr>
      </w:pPr>
      <w:r>
        <w:rPr>
          <w:rFonts w:ascii="Arial" w:cs="Arial" w:eastAsia="Arial" w:hAnsi="Arial"/>
          <w:sz w:val="15"/>
          <w:szCs w:val="15"/>
          <w:color w:val="auto"/>
        </w:rPr>
        <w:t>Changes in our revenue by region were as follows: revenue from North America increased by $38.0 million, or 22%, to $210.5 million, revenue from Europe increased by $28.1 million, or 18%, to $187.4 million and revenue from outside Europe and North America increased by $15.8 million, or 10%, to $169.7 million, in the nine months ended September 30, 2021 compared to the same period in 2020.</w:t>
      </w:r>
    </w:p>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 w:name="page31"/>
    <w:bookmarkEnd w:id="3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103" w:lineRule="exact"/>
        <w:rPr>
          <w:sz w:val="20"/>
          <w:szCs w:val="20"/>
          <w:color w:val="auto"/>
        </w:rPr>
      </w:pPr>
    </w:p>
    <w:p>
      <w:pPr>
        <w:ind w:right="40" w:firstLine="345"/>
        <w:spacing w:after="0" w:line="266"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increased by $6.0 million, or 3%, to $199.2 million in the nine months ended September 30, 2021 compared to the same period in 2020. This</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was primarily driven by: (i) higher royalty expense and credit card fees, which are in line with the increase in revenue and paid downloads, and (ii) increased depreciation and amortization expense driven by our recent acquisitions. In addition, for the nine months ended September 30, 2020, cost of revenue includes severance charges of $1.2 million. We expect that our cost of revenue will continue to fluctuate in line with changes in revenue and paid downloads.</w:t>
      </w:r>
    </w:p>
    <w:p>
      <w:pPr>
        <w:spacing w:after="0" w:line="63" w:lineRule="exact"/>
        <w:rPr>
          <w:sz w:val="20"/>
          <w:szCs w:val="20"/>
          <w:color w:val="auto"/>
        </w:rPr>
      </w:pPr>
    </w:p>
    <w:p>
      <w:pPr>
        <w:ind w:right="60" w:firstLine="345"/>
        <w:spacing w:after="0" w:line="262"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increased by $27.4 million, or 24%, to $142.3 million in the nine months ended September 30, 2021 compared to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period in 2020. As a percent of revenue, sales and marketing expenses increased to 25% for the nine months ended September 30, 2021, from 24% for the same period in 2020. The increase in sales and marketing expenses was primarily driven by (i) $17.0 million in higher marketing spend, and (ii) $9.1 million in higher employee-related costs, primarily related to commissions associated with increased enterprise billings. In addition, for the nine months ended September 30, 2021 and 2020, sales and marketing includes severance charges of $1.3 million and $1.7 million, respectively. We expect sales and marketing expenses to continue to fluctuate as we optimize our sales channels and invest in new customer acquisition, products and geographies.</w:t>
      </w:r>
    </w:p>
    <w:p>
      <w:pPr>
        <w:spacing w:after="0" w:line="66" w:lineRule="exact"/>
        <w:rPr>
          <w:sz w:val="20"/>
          <w:szCs w:val="20"/>
          <w:color w:val="auto"/>
        </w:rPr>
      </w:pPr>
    </w:p>
    <w:p>
      <w:pPr>
        <w:ind w:firstLine="345"/>
        <w:spacing w:after="0" w:line="263" w:lineRule="auto"/>
        <w:rPr>
          <w:sz w:val="20"/>
          <w:szCs w:val="20"/>
          <w:color w:val="auto"/>
        </w:rPr>
      </w:pPr>
      <w:r>
        <w:rPr>
          <w:rFonts w:ascii="Arial" w:cs="Arial" w:eastAsia="Arial" w:hAnsi="Arial"/>
          <w:sz w:val="15"/>
          <w:szCs w:val="15"/>
          <w:i w:val="1"/>
          <w:iCs w:val="1"/>
          <w:color w:val="auto"/>
        </w:rPr>
        <w:t xml:space="preserve">Product Development. </w:t>
      </w:r>
      <w:r>
        <w:rPr>
          <w:rFonts w:ascii="Arial" w:cs="Arial" w:eastAsia="Arial" w:hAnsi="Arial"/>
          <w:sz w:val="15"/>
          <w:szCs w:val="15"/>
          <w:color w:val="auto"/>
        </w:rPr>
        <w:t>Product development expenses increased by $0.1 million, to $36.3 million in the nine months ended September 30, 2021 as compared to the same period</w:t>
      </w:r>
      <w:r>
        <w:rPr>
          <w:rFonts w:ascii="Arial" w:cs="Arial" w:eastAsia="Arial" w:hAnsi="Arial"/>
          <w:sz w:val="15"/>
          <w:szCs w:val="15"/>
          <w:i w:val="1"/>
          <w:iCs w:val="1"/>
          <w:color w:val="auto"/>
        </w:rPr>
        <w:t xml:space="preserve"> </w:t>
      </w:r>
      <w:r>
        <w:rPr>
          <w:rFonts w:ascii="Arial" w:cs="Arial" w:eastAsia="Arial" w:hAnsi="Arial"/>
          <w:sz w:val="15"/>
          <w:szCs w:val="15"/>
          <w:color w:val="auto"/>
        </w:rPr>
        <w:t>in 2020. This increase was primarily driven by higher non-cash compensation expense, attributable to certain performance-based awards, partially offset by a reduction in software and other IT-related costs, for the nine months ended September 30, 2021,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66" w:lineRule="exact"/>
        <w:rPr>
          <w:sz w:val="20"/>
          <w:szCs w:val="20"/>
          <w:color w:val="auto"/>
        </w:rPr>
      </w:pPr>
    </w:p>
    <w:p>
      <w:pPr>
        <w:ind w:right="40" w:firstLine="345"/>
        <w:spacing w:after="0" w:line="263"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increased by $12.6 million, or 15%, to $96.3 million in the nine months ended September 30, 2021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the same period in 2020. This increase was primarily driven by: (i) $6.9 million in higher non-cash compensation expense, attributable to certain performance-based awards; (ii) $4.2 million in higher professional fees, which were impacted by transaction costs associated with our acquisitions of TurboSquid and PicMonkey, and (iii) $3.3 million in higher employee-related costs. These increases were partially offset by a $1.4 million decline in bad debt expense, and other reductions associated with ongoing vendor management initiatives.</w:t>
      </w:r>
    </w:p>
    <w:p>
      <w:pPr>
        <w:spacing w:after="0" w:line="66" w:lineRule="exact"/>
        <w:rPr>
          <w:sz w:val="20"/>
          <w:szCs w:val="20"/>
          <w:color w:val="auto"/>
        </w:rPr>
      </w:pPr>
    </w:p>
    <w:p>
      <w:pPr>
        <w:ind w:right="180" w:firstLine="345"/>
        <w:spacing w:after="0" w:line="266" w:lineRule="auto"/>
        <w:rPr>
          <w:sz w:val="20"/>
          <w:szCs w:val="20"/>
          <w:color w:val="auto"/>
        </w:rPr>
      </w:pPr>
      <w:r>
        <w:rPr>
          <w:rFonts w:ascii="Arial" w:cs="Arial" w:eastAsia="Arial" w:hAnsi="Arial"/>
          <w:sz w:val="15"/>
          <w:szCs w:val="15"/>
          <w:i w:val="1"/>
          <w:iCs w:val="1"/>
          <w:color w:val="auto"/>
        </w:rPr>
        <w:t xml:space="preserve">Other (Expense) / Income, Net. </w:t>
      </w:r>
      <w:r>
        <w:rPr>
          <w:rFonts w:ascii="Arial" w:cs="Arial" w:eastAsia="Arial" w:hAnsi="Arial"/>
          <w:sz w:val="15"/>
          <w:szCs w:val="15"/>
          <w:color w:val="auto"/>
        </w:rPr>
        <w:t>During the nine months ended September 30, 2021, other (expense) / income, net substantially consisted of $3.0 million of unfavorable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currency fluctuations. During the nine months ended September 30, 2020, approximately $1.6 million of other (expense) / income, net consisted unfavorable foreign currency fluctuations, which was partially offset by $1.1 million of interest income. As we increase the volume of business transacted in foreign currencies resulting from international expansion and as currency rates fluctuate, we expect foreign currency gains and losses to continue to fluctuate.</w:t>
      </w:r>
    </w:p>
    <w:p>
      <w:pPr>
        <w:spacing w:after="0" w:line="63" w:lineRule="exact"/>
        <w:rPr>
          <w:sz w:val="20"/>
          <w:szCs w:val="20"/>
          <w:color w:val="auto"/>
        </w:rPr>
      </w:pPr>
    </w:p>
    <w:p>
      <w:pPr>
        <w:ind w:right="60" w:firstLine="345"/>
        <w:spacing w:after="0" w:line="286"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Income tax expense increased by $4.3 million for the nine months ended September 30, 2021 as compared to the same period in 2020. Our effective tax rates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nine months ended September 30, 2021 and 2020 were 17.2% and 19.7%, respectively.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the nine months ended September 30, 2021, the effective tax rate decreased by 3.0% related primarily to windfall tax benefits associated with equity-based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Excluding discrete items, our effective tax rate would have been 20.2% for the nine months ended September 30, 2021.</w:t>
      </w:r>
    </w:p>
    <w:p>
      <w:pPr>
        <w:spacing w:after="0" w:line="93" w:lineRule="exact"/>
        <w:rPr>
          <w:sz w:val="20"/>
          <w:szCs w:val="20"/>
          <w:color w:val="auto"/>
        </w:rPr>
      </w:pPr>
    </w:p>
    <w:p>
      <w:pPr>
        <w:ind w:right="180" w:firstLine="345"/>
        <w:spacing w:after="0" w:line="286" w:lineRule="auto"/>
        <w:rPr>
          <w:sz w:val="20"/>
          <w:szCs w:val="20"/>
          <w:color w:val="auto"/>
        </w:rPr>
      </w:pPr>
      <w:r>
        <w:rPr>
          <w:rFonts w:ascii="Arial" w:cs="Arial" w:eastAsia="Arial" w:hAnsi="Arial"/>
          <w:sz w:val="15"/>
          <w:szCs w:val="15"/>
          <w:color w:val="auto"/>
        </w:rPr>
        <w:t>For the nine months ended September 30, 2020, the effective tax rate increased by 0.9% as a result of a loss jurisdiction with no tax benefit. Discrete item further increased the effective tax rate by 1.8%. Excluding these items, our effective tax rate would have been 17.0% for the nine months ended September 30, 2020.</w:t>
      </w:r>
    </w:p>
    <w:p>
      <w:pPr>
        <w:spacing w:after="0" w:line="49" w:lineRule="exact"/>
        <w:rPr>
          <w:sz w:val="20"/>
          <w:szCs w:val="20"/>
          <w:color w:val="auto"/>
        </w:rPr>
      </w:pPr>
    </w:p>
    <w:p>
      <w:pPr>
        <w:ind w:right="60" w:firstLine="345"/>
        <w:spacing w:after="0" w:line="286" w:lineRule="auto"/>
        <w:rPr>
          <w:sz w:val="20"/>
          <w:szCs w:val="20"/>
          <w:color w:val="auto"/>
        </w:rPr>
      </w:pPr>
      <w:r>
        <w:rPr>
          <w:rFonts w:ascii="Arial" w:cs="Arial" w:eastAsia="Arial" w:hAnsi="Arial"/>
          <w:sz w:val="15"/>
          <w:szCs w:val="15"/>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 w:name="page32"/>
    <w:bookmarkEnd w:id="31"/>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Quarterly Trends</w:t>
      </w:r>
    </w:p>
    <w:p>
      <w:pPr>
        <w:spacing w:after="0" w:line="138" w:lineRule="exact"/>
        <w:rPr>
          <w:sz w:val="20"/>
          <w:szCs w:val="20"/>
          <w:color w:val="auto"/>
        </w:rPr>
      </w:pPr>
    </w:p>
    <w:p>
      <w:pPr>
        <w:ind w:right="60" w:firstLine="345"/>
        <w:spacing w:after="0" w:line="313" w:lineRule="auto"/>
        <w:rPr>
          <w:sz w:val="20"/>
          <w:szCs w:val="20"/>
          <w:color w:val="auto"/>
        </w:rPr>
      </w:pPr>
      <w:r>
        <w:rPr>
          <w:rFonts w:ascii="Arial" w:cs="Arial" w:eastAsia="Arial" w:hAnsi="Arial"/>
          <w:sz w:val="13"/>
          <w:szCs w:val="13"/>
          <w:color w:val="auto"/>
        </w:rPr>
        <w:t>Our operating results may fluctuate from quarter to quarter as a result of a variety of factors, including the effects of some seasonal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60" w:lineRule="exact"/>
        <w:rPr>
          <w:sz w:val="20"/>
          <w:szCs w:val="20"/>
          <w:color w:val="auto"/>
        </w:rPr>
      </w:pPr>
    </w:p>
    <w:p>
      <w:pPr>
        <w:ind w:right="360" w:firstLine="345"/>
        <w:spacing w:after="0" w:line="271" w:lineRule="auto"/>
        <w:rPr>
          <w:sz w:val="20"/>
          <w:szCs w:val="20"/>
          <w:color w:val="auto"/>
        </w:rPr>
      </w:pPr>
      <w:r>
        <w:rPr>
          <w:rFonts w:ascii="Arial" w:cs="Arial" w:eastAsia="Arial" w:hAnsi="Arial"/>
          <w:sz w:val="15"/>
          <w:szCs w:val="15"/>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94" w:lineRule="exact"/>
        <w:rPr>
          <w:sz w:val="20"/>
          <w:szCs w:val="20"/>
          <w:color w:val="auto"/>
        </w:rPr>
      </w:pPr>
    </w:p>
    <w:p>
      <w:pPr>
        <w:ind w:right="100" w:firstLine="345"/>
        <w:spacing w:after="0" w:line="271" w:lineRule="auto"/>
        <w:rPr>
          <w:sz w:val="20"/>
          <w:szCs w:val="20"/>
          <w:color w:val="auto"/>
        </w:rPr>
      </w:pPr>
      <w:r>
        <w:rPr>
          <w:rFonts w:ascii="Arial" w:cs="Arial" w:eastAsia="Arial" w:hAnsi="Arial"/>
          <w:sz w:val="15"/>
          <w:szCs w:val="15"/>
          <w:color w:val="auto"/>
        </w:rPr>
        <w:t>See “Risks Related to the Coronavirus (“COVID-19”) Pandemic, The effect of the COVID-19 pandemic on our operations, and the operations of our customers, partners and suppliers, could have a material adverse effect on our business, financial condition, cash flows and results of operations” in Part I, Item 1A, “Risk Factors” in our 2020 Form 10-K for further discussion of the possible impact of the COVID-19 pandemic on our business.</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07" w:lineRule="exact"/>
        <w:rPr>
          <w:sz w:val="20"/>
          <w:szCs w:val="20"/>
          <w:color w:val="auto"/>
        </w:rPr>
      </w:pPr>
    </w:p>
    <w:p>
      <w:pPr>
        <w:ind w:right="200" w:firstLine="345"/>
        <w:spacing w:after="0" w:line="286" w:lineRule="auto"/>
        <w:rPr>
          <w:sz w:val="20"/>
          <w:szCs w:val="20"/>
          <w:color w:val="auto"/>
        </w:rPr>
      </w:pPr>
      <w:r>
        <w:rPr>
          <w:rFonts w:ascii="Arial" w:cs="Arial" w:eastAsia="Arial" w:hAnsi="Arial"/>
          <w:sz w:val="15"/>
          <w:szCs w:val="15"/>
          <w:color w:val="auto"/>
        </w:rPr>
        <w:t>As of September 30, 2021, we had cash and cash equivalents totaling $300.6 million which primarily consisted of bank balances and money market funds. Since inception, we have financed our operations primarily through cash flows generated from operations.</w:t>
      </w:r>
    </w:p>
    <w:p>
      <w:pPr>
        <w:spacing w:after="0" w:line="49"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declared and paid cash dividends of $0.63 per share of common stock, or $23.0 million during the nine months ended September 30, 2021.</w:t>
      </w:r>
    </w:p>
    <w:p>
      <w:pPr>
        <w:spacing w:after="0" w:line="103" w:lineRule="exact"/>
        <w:rPr>
          <w:sz w:val="20"/>
          <w:szCs w:val="20"/>
          <w:color w:val="auto"/>
        </w:rPr>
      </w:pPr>
    </w:p>
    <w:p>
      <w:pPr>
        <w:ind w:right="100" w:firstLine="345"/>
        <w:spacing w:after="0" w:line="266" w:lineRule="auto"/>
        <w:rPr>
          <w:sz w:val="20"/>
          <w:szCs w:val="20"/>
          <w:color w:val="auto"/>
        </w:rPr>
      </w:pPr>
      <w:r>
        <w:rPr>
          <w:rFonts w:ascii="Arial" w:cs="Arial" w:eastAsia="Arial" w:hAnsi="Arial"/>
          <w:sz w:val="15"/>
          <w:szCs w:val="15"/>
          <w:color w:val="auto"/>
        </w:rPr>
        <w:t>On October 18, 2021, our Board of Directors declared a quarterly cash dividend of $0.21 per share of outstanding common stock payable on December 16, 2021 to stockholders of record at the close of business on December 2, 2021.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Repurchase Program</w:t>
      </w:r>
    </w:p>
    <w:p>
      <w:pPr>
        <w:spacing w:after="0" w:line="57" w:lineRule="exact"/>
        <w:rPr>
          <w:sz w:val="20"/>
          <w:szCs w:val="20"/>
          <w:color w:val="auto"/>
        </w:rPr>
      </w:pPr>
    </w:p>
    <w:p>
      <w:pPr>
        <w:ind w:right="20" w:firstLine="345"/>
        <w:spacing w:after="0" w:line="262" w:lineRule="auto"/>
        <w:rPr>
          <w:sz w:val="20"/>
          <w:szCs w:val="20"/>
          <w:color w:val="auto"/>
        </w:rPr>
      </w:pPr>
      <w:r>
        <w:rPr>
          <w:rFonts w:ascii="Arial" w:cs="Arial" w:eastAsia="Arial" w:hAnsi="Arial"/>
          <w:sz w:val="15"/>
          <w:szCs w:val="15"/>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66" w:lineRule="exact"/>
        <w:rPr>
          <w:sz w:val="20"/>
          <w:szCs w:val="20"/>
          <w:color w:val="auto"/>
        </w:rPr>
      </w:pPr>
    </w:p>
    <w:p>
      <w:pPr>
        <w:ind w:right="420" w:firstLine="345"/>
        <w:spacing w:after="0" w:line="271" w:lineRule="auto"/>
        <w:rPr>
          <w:sz w:val="20"/>
          <w:szCs w:val="20"/>
          <w:color w:val="auto"/>
        </w:rPr>
      </w:pPr>
      <w:r>
        <w:rPr>
          <w:rFonts w:ascii="Arial" w:cs="Arial" w:eastAsia="Arial" w:hAnsi="Arial"/>
          <w:sz w:val="15"/>
          <w:szCs w:val="15"/>
          <w:color w:val="auto"/>
        </w:rPr>
        <w:t>As of September 30, 2021, we have repurchased approximately 2.6 million shares of our common stock under the share repurchase program at an average per-share cost of $40.33. During the nine months ended September 30, 2021, we repurchased approximately 41,900 shares of our common stock at an average per share cost of $115.95. As of September 30, 2021, we had $95 million of remaining authorization for purchases under the share repurchase program.</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2" w:name="page33"/>
    <w:bookmarkEnd w:id="32"/>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Equity-Based Compensation</w:t>
      </w:r>
    </w:p>
    <w:p>
      <w:pPr>
        <w:spacing w:after="0" w:line="57" w:lineRule="exact"/>
        <w:rPr>
          <w:sz w:val="20"/>
          <w:szCs w:val="20"/>
          <w:color w:val="auto"/>
        </w:rPr>
      </w:pPr>
    </w:p>
    <w:p>
      <w:pPr>
        <w:ind w:right="60" w:firstLine="345"/>
        <w:spacing w:after="0" w:line="286" w:lineRule="auto"/>
        <w:rPr>
          <w:sz w:val="20"/>
          <w:szCs w:val="20"/>
          <w:color w:val="auto"/>
        </w:rPr>
      </w:pPr>
      <w:r>
        <w:rPr>
          <w:rFonts w:ascii="Arial" w:cs="Arial" w:eastAsia="Arial" w:hAnsi="Arial"/>
          <w:sz w:val="14"/>
          <w:szCs w:val="14"/>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52" w:lineRule="exact"/>
        <w:rPr>
          <w:sz w:val="20"/>
          <w:szCs w:val="20"/>
          <w:color w:val="auto"/>
        </w:rPr>
      </w:pPr>
    </w:p>
    <w:p>
      <w:pPr>
        <w:ind w:right="300" w:firstLine="345"/>
        <w:spacing w:after="0" w:line="286" w:lineRule="auto"/>
        <w:rPr>
          <w:sz w:val="20"/>
          <w:szCs w:val="20"/>
          <w:color w:val="auto"/>
        </w:rPr>
      </w:pPr>
      <w:r>
        <w:rPr>
          <w:rFonts w:ascii="Arial" w:cs="Arial" w:eastAsia="Arial" w:hAnsi="Arial"/>
          <w:sz w:val="15"/>
          <w:szCs w:val="15"/>
          <w:color w:val="auto"/>
        </w:rPr>
        <w:t>During the nine months ended September 30, 2021, shares with an aggregate value of $21.3 million were withheld upon vesting of RSUs and paid in connection with related remittance to taxing authorities.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Sources and Uses of Funds</w:t>
      </w:r>
    </w:p>
    <w:p>
      <w:pPr>
        <w:spacing w:after="0" w:line="103" w:lineRule="exact"/>
        <w:rPr>
          <w:sz w:val="20"/>
          <w:szCs w:val="20"/>
          <w:color w:val="auto"/>
        </w:rPr>
      </w:pPr>
    </w:p>
    <w:p>
      <w:pPr>
        <w:ind w:firstLine="345"/>
        <w:spacing w:after="0" w:line="263" w:lineRule="auto"/>
        <w:rPr>
          <w:sz w:val="20"/>
          <w:szCs w:val="20"/>
          <w:color w:val="auto"/>
        </w:rPr>
      </w:pPr>
      <w:r>
        <w:rPr>
          <w:rFonts w:ascii="Arial" w:cs="Arial" w:eastAsia="Arial" w:hAnsi="Arial"/>
          <w:sz w:val="15"/>
          <w:szCs w:val="15"/>
          <w:color w:val="auto"/>
        </w:rPr>
        <w:t>We believe, based on our current operating plan, that our cash and cash equivalents, and cash from operations, will be sufficient to meet our anticipated cash needs for at least the next 12 months.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13 to our Unaudited Consolidated Financial Statements included in Part I, Item 1 of this Quarterly Report on Form 10-Q for information regarding our existing capital commitments as of September 30, 2021.</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our cash flow data for the nine months ended September 30, 2021 and 2020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2"/>
                <w:szCs w:val="12"/>
                <w:b w:val="1"/>
                <w:bCs w:val="1"/>
                <w:color w:val="auto"/>
              </w:rPr>
              <w:t>Nine Months Ended September 30,</w:t>
            </w:r>
          </w:p>
        </w:tc>
      </w:tr>
      <w:tr>
        <w:trPr>
          <w:trHeight w:val="157"/>
        </w:trPr>
        <w:tc>
          <w:tcPr>
            <w:tcW w:w="78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2020</w:t>
            </w:r>
          </w:p>
        </w:tc>
      </w:tr>
      <w:tr>
        <w:trPr>
          <w:trHeight w:val="176"/>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161,858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100,225</w:t>
            </w:r>
          </w:p>
        </w:tc>
      </w:tr>
      <w:tr>
        <w:trPr>
          <w:trHeight w:val="181"/>
        </w:trPr>
        <w:tc>
          <w:tcPr>
            <w:tcW w:w="7840" w:type="dxa"/>
            <w:vAlign w:val="bottom"/>
          </w:tcPr>
          <w:p>
            <w:pPr>
              <w:ind w:left="36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(242,407)</w:t>
            </w:r>
          </w:p>
        </w:tc>
        <w:tc>
          <w:tcPr>
            <w:tcW w:w="100" w:type="dxa"/>
            <w:vAlign w:val="bottom"/>
          </w:tcPr>
          <w:p>
            <w:pPr>
              <w:spacing w:after="0"/>
              <w:rPr>
                <w:sz w:val="15"/>
                <w:szCs w:val="15"/>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(22,088)</w:t>
            </w:r>
          </w:p>
        </w:tc>
      </w:tr>
      <w:tr>
        <w:trPr>
          <w:trHeight w:val="187"/>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 provided by financing activities</w:t>
            </w: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57" w:lineRule="exact"/>
        <w:rPr>
          <w:sz w:val="20"/>
          <w:szCs w:val="20"/>
          <w:color w:val="auto"/>
        </w:rPr>
      </w:pPr>
    </w:p>
    <w:p>
      <w:pPr>
        <w:ind w:right="520" w:firstLine="345"/>
        <w:spacing w:after="0" w:line="271" w:lineRule="auto"/>
        <w:rPr>
          <w:sz w:val="20"/>
          <w:szCs w:val="20"/>
          <w:color w:val="auto"/>
        </w:rPr>
      </w:pPr>
      <w:r>
        <w:rPr>
          <w:rFonts w:ascii="Arial" w:cs="Arial" w:eastAsia="Arial" w:hAnsi="Arial"/>
          <w:sz w:val="15"/>
          <w:szCs w:val="15"/>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82" w:lineRule="exact"/>
        <w:rPr>
          <w:sz w:val="20"/>
          <w:szCs w:val="20"/>
          <w:color w:val="auto"/>
        </w:rPr>
      </w:pPr>
    </w:p>
    <w:p>
      <w:pPr>
        <w:ind w:right="140" w:firstLine="345"/>
        <w:spacing w:after="0" w:line="290" w:lineRule="auto"/>
        <w:rPr>
          <w:sz w:val="20"/>
          <w:szCs w:val="20"/>
          <w:color w:val="auto"/>
        </w:rPr>
      </w:pPr>
      <w:r>
        <w:rPr>
          <w:rFonts w:ascii="Arial" w:cs="Arial" w:eastAsia="Arial" w:hAnsi="Arial"/>
          <w:sz w:val="14"/>
          <w:szCs w:val="14"/>
          <w:color w:val="auto"/>
        </w:rPr>
        <w:t>Net cash provided by operating activities was $161.9 million for the nine months ended September 30, 2021, compared to $100.2 million for the nine months ended September 30, 2020. In the nine months ended September 30, 2021, operating cash flows were favorably impacted from our increased operating income and changes in the timing of payments pertaining to operating expenses, which can cause operating cash flow to fluctuate from period to period. In addition, the nine months ended September 30, 2020 were impacted by $7.8 million in one-time payments associated with long-term incentives related to our 2017 acquisition of Flashstock.</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138" w:lineRule="exact"/>
        <w:rPr>
          <w:sz w:val="20"/>
          <w:szCs w:val="20"/>
          <w:color w:val="auto"/>
        </w:rPr>
      </w:pPr>
    </w:p>
    <w:p>
      <w:pPr>
        <w:jc w:val="both"/>
        <w:ind w:right="240" w:firstLine="345"/>
        <w:spacing w:after="0" w:line="266" w:lineRule="auto"/>
        <w:rPr>
          <w:sz w:val="20"/>
          <w:szCs w:val="20"/>
          <w:color w:val="auto"/>
        </w:rPr>
      </w:pPr>
      <w:r>
        <w:rPr>
          <w:rFonts w:ascii="Arial" w:cs="Arial" w:eastAsia="Arial" w:hAnsi="Arial"/>
          <w:sz w:val="15"/>
          <w:szCs w:val="15"/>
          <w:color w:val="auto"/>
        </w:rPr>
        <w:t>Cash used in investing activities for the nine months ended September 30, 2021 was $242.4 million, consisting primarily of (i) $181.8 million cash used in the acquisitions of TurboSquid and PicMonkey, net of cash acquired; (ii) $31.4 million cash used in the asset acquisitions of Pattern89, Inc., Datasine Limited and assets from Shotzr, Inc.; (iii) capital expenditures of $21.2 million for internal-use software and website development costs and purchases of software and equipment, and (iv) $7.9 million paid to acquire the rights to distribute certain digital content into perpetuity.</w:t>
      </w:r>
    </w:p>
    <w:p>
      <w:pPr>
        <w:spacing w:after="0" w:line="63" w:lineRule="exact"/>
        <w:rPr>
          <w:sz w:val="20"/>
          <w:szCs w:val="20"/>
          <w:color w:val="auto"/>
        </w:rPr>
      </w:pPr>
    </w:p>
    <w:p>
      <w:pPr>
        <w:ind w:right="200" w:firstLine="345"/>
        <w:spacing w:after="0" w:line="324" w:lineRule="auto"/>
        <w:rPr>
          <w:sz w:val="20"/>
          <w:szCs w:val="20"/>
          <w:color w:val="auto"/>
        </w:rPr>
      </w:pPr>
      <w:r>
        <w:rPr>
          <w:rFonts w:ascii="Arial" w:cs="Arial" w:eastAsia="Arial" w:hAnsi="Arial"/>
          <w:sz w:val="14"/>
          <w:szCs w:val="14"/>
          <w:color w:val="auto"/>
        </w:rPr>
        <w:t>Cash used in investing activities in the nine months ended September 30, 2020 was $22.1 million, consisting primarily of capital expenditures of $20.3 million for internal-use software and website development costs and purchases of software and equipment, and $2.1 million paid to acquire the rights to distribute certain digital content in perpetuity.</w:t>
      </w: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3" w:name="page34"/>
    <w:bookmarkEnd w:id="33"/>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57" w:lineRule="exact"/>
        <w:rPr>
          <w:sz w:val="20"/>
          <w:szCs w:val="20"/>
          <w:color w:val="auto"/>
        </w:rPr>
      </w:pPr>
    </w:p>
    <w:p>
      <w:pPr>
        <w:ind w:right="100" w:firstLine="345"/>
        <w:spacing w:after="0" w:line="266" w:lineRule="auto"/>
        <w:rPr>
          <w:sz w:val="20"/>
          <w:szCs w:val="20"/>
          <w:color w:val="auto"/>
        </w:rPr>
      </w:pPr>
      <w:r>
        <w:rPr>
          <w:rFonts w:ascii="Arial" w:cs="Arial" w:eastAsia="Arial" w:hAnsi="Arial"/>
          <w:sz w:val="15"/>
          <w:szCs w:val="15"/>
          <w:color w:val="auto"/>
        </w:rPr>
        <w:t>Cash used in financing activities in the nine months ended September 30, 2021 was $46.4 million, consisting primarily of (i) $23.0 million, related to the payment of the quarterly cash dividend; (ii) $21.3 million paid in settlement of tax withholding obligations related to employee stock-based compensation awards, and (iii) $4.2 million in connection with the repurchase of common stock under our share repurchase program. These amounts were partially offset by approximately $2.0 million received from the issuance of common stock in connection with the exercise of stock options.</w:t>
      </w:r>
    </w:p>
    <w:p>
      <w:pPr>
        <w:spacing w:after="0" w:line="63" w:lineRule="exact"/>
        <w:rPr>
          <w:sz w:val="20"/>
          <w:szCs w:val="20"/>
          <w:color w:val="auto"/>
        </w:rPr>
      </w:pPr>
    </w:p>
    <w:p>
      <w:pPr>
        <w:ind w:right="120" w:firstLine="345"/>
        <w:spacing w:after="0" w:line="266" w:lineRule="auto"/>
        <w:rPr>
          <w:sz w:val="20"/>
          <w:szCs w:val="20"/>
          <w:color w:val="auto"/>
        </w:rPr>
      </w:pPr>
      <w:r>
        <w:rPr>
          <w:rFonts w:ascii="Arial" w:cs="Arial" w:eastAsia="Arial" w:hAnsi="Arial"/>
          <w:sz w:val="15"/>
          <w:szCs w:val="15"/>
          <w:color w:val="auto"/>
        </w:rPr>
        <w:t>Cash provided by financing activities in the nine months ended September 30, 2020 was $1.7 million, consisting primarily of $23.2 million of proceeds from our stock offering on August 14, 2020, after deducting underwriting discounts, commissions and offering expenses paid, and approximately $0.6 million received from the issuance of common stock in connection with the exercise of stock options. These amounts were partially offset by $18.2 million, related to the payment of the quarterly cash dividend, and $3.9 million, paid in settlement of tax withholding obligations related to employee stock-based compensation awards.</w:t>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07" w:lineRule="exact"/>
        <w:rPr>
          <w:sz w:val="20"/>
          <w:szCs w:val="20"/>
          <w:color w:val="auto"/>
        </w:rPr>
      </w:pPr>
    </w:p>
    <w:p>
      <w:pPr>
        <w:jc w:val="both"/>
        <w:ind w:right="620" w:firstLine="345"/>
        <w:spacing w:after="0" w:line="299" w:lineRule="auto"/>
        <w:rPr>
          <w:sz w:val="20"/>
          <w:szCs w:val="20"/>
          <w:color w:val="auto"/>
        </w:rPr>
      </w:pPr>
      <w:r>
        <w:rPr>
          <w:rFonts w:ascii="Arial" w:cs="Arial" w:eastAsia="Arial" w:hAnsi="Arial"/>
          <w:sz w:val="14"/>
          <w:szCs w:val="14"/>
          <w:color w:val="auto"/>
        </w:rPr>
        <w:t>We lease real estate under operating lease agreements that expire on various dates during the period from 2021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42" w:lineRule="exact"/>
        <w:rPr>
          <w:sz w:val="20"/>
          <w:szCs w:val="20"/>
          <w:color w:val="auto"/>
        </w:rPr>
      </w:pPr>
    </w:p>
    <w:p>
      <w:pPr>
        <w:ind w:right="60" w:firstLine="345"/>
        <w:spacing w:after="0" w:line="331" w:lineRule="auto"/>
        <w:rPr>
          <w:sz w:val="20"/>
          <w:szCs w:val="20"/>
          <w:color w:val="auto"/>
        </w:rPr>
      </w:pPr>
      <w:r>
        <w:rPr>
          <w:rFonts w:ascii="Arial" w:cs="Arial" w:eastAsia="Arial" w:hAnsi="Arial"/>
          <w:sz w:val="13"/>
          <w:szCs w:val="13"/>
          <w:color w:val="auto"/>
        </w:rPr>
        <w:t>On March 21, 2013, we entered into an operating lease agreement to lease our headquarters in New York City, which was amended in 2016. The aggregate undiscounted future minimum lease payments under the lease, as amended, are approximately $51.8 million. We are also party to a letter of credit as a security deposit for this leased facility in the amount of $1.7 million. As of March 31, 2020, the Company is no longer required to provide cash collateral for its letter of credit, and, accordingly, these funds are no longer restricted.</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Additionally, as of September 30, 2021, aggregate undiscounted future minimum lease payments under other operating leases are approximately $6.8 million.</w:t>
      </w:r>
    </w:p>
    <w:p>
      <w:pPr>
        <w:spacing w:after="0" w:line="103" w:lineRule="exact"/>
        <w:rPr>
          <w:sz w:val="20"/>
          <w:szCs w:val="20"/>
          <w:color w:val="auto"/>
        </w:rPr>
      </w:pPr>
    </w:p>
    <w:p>
      <w:pPr>
        <w:ind w:right="140" w:firstLine="345"/>
        <w:spacing w:after="0" w:line="266" w:lineRule="auto"/>
        <w:rPr>
          <w:sz w:val="20"/>
          <w:szCs w:val="20"/>
          <w:color w:val="auto"/>
        </w:rPr>
      </w:pPr>
      <w:r>
        <w:rPr>
          <w:rFonts w:ascii="Arial" w:cs="Arial" w:eastAsia="Arial" w:hAnsi="Arial"/>
          <w:sz w:val="15"/>
          <w:szCs w:val="15"/>
          <w:color w:val="auto"/>
        </w:rPr>
        <w:t>We enter into unconditional purchase obligations related to contracts for cloud-based services, infrastructure and other business services as well as minimum royalty guarantees in connection with certain content licenses. As of September 30, 2021, our guaranteed royalty payments and unconditional purchase obligations for the remainder of 2021 and for the fiscal years ending December 31, 2022, 2023, 2024, 2025 and 2026 were approximately $21.5 million, $17.7 million, $12.7 million, $4.7 million, $2.1 million and $0.3 million,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07" w:lineRule="exact"/>
        <w:rPr>
          <w:sz w:val="20"/>
          <w:szCs w:val="20"/>
          <w:color w:val="auto"/>
        </w:rPr>
      </w:pPr>
    </w:p>
    <w:p>
      <w:pPr>
        <w:ind w:right="60" w:firstLine="345"/>
        <w:spacing w:after="0" w:line="313" w:lineRule="auto"/>
        <w:rPr>
          <w:sz w:val="20"/>
          <w:szCs w:val="20"/>
          <w:color w:val="auto"/>
        </w:rPr>
      </w:pPr>
      <w:r>
        <w:rPr>
          <w:rFonts w:ascii="Arial" w:cs="Arial" w:eastAsia="Arial" w:hAnsi="Arial"/>
          <w:sz w:val="13"/>
          <w:szCs w:val="13"/>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shd w:val="clear" w:color="auto" w:fill="CCEEFF"/>
          </w:tcPr>
          <w:p>
            <w:pPr>
              <w:spacing w:after="0"/>
              <w:rPr>
                <w:sz w:val="13"/>
                <w:szCs w:val="13"/>
                <w:color w:val="auto"/>
              </w:rPr>
            </w:pPr>
          </w:p>
        </w:tc>
        <w:tc>
          <w:tcPr>
            <w:tcW w:w="2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600" w:type="dxa"/>
            <w:vAlign w:val="bottom"/>
            <w:tcBorders>
              <w:bottom w:val="single" w:sz="8" w:color="auto"/>
            </w:tcBorders>
            <w:gridSpan w:val="3"/>
            <w:shd w:val="clear" w:color="auto" w:fill="CCEEFF"/>
          </w:tcPr>
          <w:p>
            <w:pPr>
              <w:jc w:val="right"/>
              <w:ind w:right="553"/>
              <w:spacing w:after="0"/>
              <w:rPr>
                <w:sz w:val="20"/>
                <w:szCs w:val="20"/>
                <w:color w:val="auto"/>
              </w:rPr>
            </w:pPr>
            <w:r>
              <w:rPr>
                <w:rFonts w:ascii="Arial" w:cs="Arial" w:eastAsia="Arial" w:hAnsi="Arial"/>
                <w:sz w:val="12"/>
                <w:szCs w:val="12"/>
                <w:b w:val="1"/>
                <w:bCs w:val="1"/>
                <w:color w:val="auto"/>
                <w:w w:val="99"/>
              </w:rPr>
              <w:t>Nine Months Ended September 30,</w:t>
            </w:r>
          </w:p>
        </w:tc>
      </w:tr>
      <w:tr>
        <w:trPr>
          <w:trHeight w:val="152"/>
        </w:trPr>
        <w:tc>
          <w:tcPr>
            <w:tcW w:w="50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2"/>
                <w:szCs w:val="12"/>
                <w:b w:val="1"/>
                <w:bCs w:val="1"/>
                <w:color w:val="auto"/>
              </w:rPr>
              <w:t>2020</w:t>
            </w:r>
          </w:p>
        </w:tc>
      </w:tr>
      <w:tr>
        <w:trPr>
          <w:trHeight w:val="165"/>
        </w:trPr>
        <w:tc>
          <w:tcPr>
            <w:tcW w:w="50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Non-GAAP Financial Measures: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71"/>
              <w:spacing w:after="0"/>
              <w:rPr>
                <w:sz w:val="20"/>
                <w:szCs w:val="20"/>
                <w:color w:val="auto"/>
              </w:rPr>
            </w:pPr>
            <w:r>
              <w:rPr>
                <w:rFonts w:ascii="Arial" w:cs="Arial" w:eastAsia="Arial" w:hAnsi="Arial"/>
                <w:sz w:val="12"/>
                <w:szCs w:val="12"/>
                <w:b w:val="1"/>
                <w:bCs w:val="1"/>
                <w:color w:val="auto"/>
              </w:rPr>
              <w:t>(in thousands)</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1"/>
        </w:trPr>
        <w:tc>
          <w:tcPr>
            <w:tcW w:w="5040" w:type="dxa"/>
            <w:vAlign w:val="bottom"/>
          </w:tcPr>
          <w:p>
            <w:pPr>
              <w:spacing w:after="0"/>
              <w:rPr>
                <w:sz w:val="20"/>
                <w:szCs w:val="20"/>
                <w:color w:val="auto"/>
              </w:rPr>
            </w:pPr>
            <w:r>
              <w:rPr>
                <w:rFonts w:ascii="Arial" w:cs="Arial" w:eastAsia="Arial" w:hAnsi="Arial"/>
                <w:sz w:val="14"/>
                <w:szCs w:val="14"/>
                <w:color w:val="auto"/>
              </w:rPr>
              <w:t>Adjusted EBITDA</w:t>
            </w:r>
          </w:p>
        </w:tc>
        <w:tc>
          <w:tcPr>
            <w:tcW w:w="900" w:type="dxa"/>
            <w:vAlign w:val="bottom"/>
          </w:tcPr>
          <w:p>
            <w:pPr>
              <w:jc w:val="right"/>
              <w:ind w:right="755"/>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51"/>
              <w:spacing w:after="0"/>
              <w:rPr>
                <w:sz w:val="20"/>
                <w:szCs w:val="20"/>
                <w:color w:val="auto"/>
              </w:rPr>
            </w:pPr>
            <w:r>
              <w:rPr>
                <w:rFonts w:ascii="Arial" w:cs="Arial" w:eastAsia="Arial" w:hAnsi="Arial"/>
                <w:sz w:val="14"/>
                <w:szCs w:val="14"/>
                <w:color w:val="auto"/>
                <w:w w:val="93"/>
              </w:rPr>
              <w:t>44,400</w:t>
            </w:r>
          </w:p>
        </w:tc>
        <w:tc>
          <w:tcPr>
            <w:tcW w:w="960" w:type="dxa"/>
            <w:vAlign w:val="bottom"/>
          </w:tcPr>
          <w:p>
            <w:pPr>
              <w:jc w:val="right"/>
              <w:ind w:right="774"/>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3"/>
              <w:spacing w:after="0"/>
              <w:rPr>
                <w:sz w:val="20"/>
                <w:szCs w:val="20"/>
                <w:color w:val="auto"/>
              </w:rPr>
            </w:pPr>
            <w:r>
              <w:rPr>
                <w:rFonts w:ascii="Arial" w:cs="Arial" w:eastAsia="Arial" w:hAnsi="Arial"/>
                <w:sz w:val="14"/>
                <w:szCs w:val="14"/>
                <w:color w:val="auto"/>
                <w:w w:val="88"/>
              </w:rPr>
              <w:t>47,382</w:t>
            </w:r>
          </w:p>
        </w:tc>
        <w:tc>
          <w:tcPr>
            <w:tcW w:w="80" w:type="dxa"/>
            <w:vAlign w:val="bottom"/>
          </w:tcPr>
          <w:p>
            <w:pPr>
              <w:spacing w:after="0"/>
              <w:rPr>
                <w:sz w:val="15"/>
                <w:szCs w:val="15"/>
                <w:color w:val="auto"/>
              </w:rPr>
            </w:pP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153,882</w:t>
            </w:r>
          </w:p>
        </w:tc>
        <w:tc>
          <w:tcPr>
            <w:tcW w:w="4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3"/>
              <w:spacing w:after="0"/>
              <w:rPr>
                <w:sz w:val="20"/>
                <w:szCs w:val="20"/>
                <w:color w:val="auto"/>
              </w:rPr>
            </w:pPr>
            <w:r>
              <w:rPr>
                <w:rFonts w:ascii="Arial" w:cs="Arial" w:eastAsia="Arial" w:hAnsi="Arial"/>
                <w:sz w:val="14"/>
                <w:szCs w:val="14"/>
                <w:color w:val="auto"/>
              </w:rPr>
              <w:t>106,474</w:t>
            </w:r>
          </w:p>
        </w:tc>
      </w:tr>
      <w:tr>
        <w:trPr>
          <w:trHeight w:val="187"/>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Adjusted net income</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93"/>
              </w:rPr>
              <w:t>26,354</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w w:val="88"/>
              </w:rPr>
              <w:t>29,326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rPr>
              <w:t>100,925</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60,647</w:t>
            </w:r>
          </w:p>
        </w:tc>
      </w:tr>
      <w:tr>
        <w:trPr>
          <w:trHeight w:val="181"/>
        </w:trPr>
        <w:tc>
          <w:tcPr>
            <w:tcW w:w="5040" w:type="dxa"/>
            <w:vAlign w:val="bottom"/>
          </w:tcPr>
          <w:p>
            <w:pPr>
              <w:spacing w:after="0"/>
              <w:rPr>
                <w:sz w:val="20"/>
                <w:szCs w:val="20"/>
                <w:color w:val="auto"/>
              </w:rPr>
            </w:pPr>
            <w:r>
              <w:rPr>
                <w:rFonts w:ascii="Arial" w:cs="Arial" w:eastAsia="Arial" w:hAnsi="Arial"/>
                <w:sz w:val="14"/>
                <w:szCs w:val="14"/>
                <w:color w:val="auto"/>
              </w:rPr>
              <w:t>Free cash flow</w:t>
            </w:r>
          </w:p>
        </w:tc>
        <w:tc>
          <w:tcPr>
            <w:tcW w:w="900" w:type="dxa"/>
            <w:vAlign w:val="bottom"/>
          </w:tcPr>
          <w:p>
            <w:pPr>
              <w:jc w:val="right"/>
              <w:ind w:right="755"/>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51"/>
              <w:spacing w:after="0"/>
              <w:rPr>
                <w:sz w:val="20"/>
                <w:szCs w:val="20"/>
                <w:color w:val="auto"/>
              </w:rPr>
            </w:pPr>
            <w:r>
              <w:rPr>
                <w:rFonts w:ascii="Arial" w:cs="Arial" w:eastAsia="Arial" w:hAnsi="Arial"/>
                <w:sz w:val="14"/>
                <w:szCs w:val="14"/>
                <w:color w:val="auto"/>
                <w:w w:val="93"/>
              </w:rPr>
              <w:t>44,318</w:t>
            </w:r>
          </w:p>
        </w:tc>
        <w:tc>
          <w:tcPr>
            <w:tcW w:w="960" w:type="dxa"/>
            <w:vAlign w:val="bottom"/>
          </w:tcPr>
          <w:p>
            <w:pPr>
              <w:jc w:val="right"/>
              <w:ind w:right="774"/>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3"/>
              <w:spacing w:after="0"/>
              <w:rPr>
                <w:sz w:val="20"/>
                <w:szCs w:val="20"/>
                <w:color w:val="auto"/>
              </w:rPr>
            </w:pPr>
            <w:r>
              <w:rPr>
                <w:rFonts w:ascii="Arial" w:cs="Arial" w:eastAsia="Arial" w:hAnsi="Arial"/>
                <w:sz w:val="14"/>
                <w:szCs w:val="14"/>
                <w:color w:val="auto"/>
                <w:w w:val="88"/>
              </w:rPr>
              <w:t>57,041</w:t>
            </w:r>
          </w:p>
        </w:tc>
        <w:tc>
          <w:tcPr>
            <w:tcW w:w="80" w:type="dxa"/>
            <w:vAlign w:val="bottom"/>
          </w:tcPr>
          <w:p>
            <w:pPr>
              <w:spacing w:after="0"/>
              <w:rPr>
                <w:sz w:val="15"/>
                <w:szCs w:val="15"/>
                <w:color w:val="auto"/>
              </w:rPr>
            </w:pP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132,801</w:t>
            </w:r>
          </w:p>
        </w:tc>
        <w:tc>
          <w:tcPr>
            <w:tcW w:w="4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3"/>
              <w:spacing w:after="0"/>
              <w:rPr>
                <w:sz w:val="20"/>
                <w:szCs w:val="20"/>
                <w:color w:val="auto"/>
              </w:rPr>
            </w:pPr>
            <w:r>
              <w:rPr>
                <w:rFonts w:ascii="Arial" w:cs="Arial" w:eastAsia="Arial" w:hAnsi="Arial"/>
                <w:sz w:val="14"/>
                <w:szCs w:val="14"/>
                <w:color w:val="auto"/>
              </w:rPr>
              <w:t>85,600</w:t>
            </w:r>
          </w:p>
        </w:tc>
      </w:tr>
      <w:tr>
        <w:trPr>
          <w:trHeight w:val="187"/>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Revenue growth on a constant currency basis</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bl>
    <w:p>
      <w:pPr>
        <w:spacing w:after="0" w:line="200" w:lineRule="exact"/>
        <w:rPr>
          <w:sz w:val="20"/>
          <w:szCs w:val="20"/>
          <w:color w:val="auto"/>
        </w:rPr>
      </w:pPr>
    </w:p>
    <w:p>
      <w:pPr>
        <w:spacing w:after="0" w:line="215" w:lineRule="exact"/>
        <w:rPr>
          <w:sz w:val="20"/>
          <w:szCs w:val="20"/>
          <w:color w:val="auto"/>
        </w:rPr>
      </w:pPr>
    </w:p>
    <w:p>
      <w:pPr>
        <w:ind w:right="180" w:firstLine="345"/>
        <w:spacing w:after="0" w:line="271" w:lineRule="auto"/>
        <w:rPr>
          <w:sz w:val="20"/>
          <w:szCs w:val="20"/>
          <w:color w:val="auto"/>
        </w:rPr>
      </w:pPr>
      <w:r>
        <w:rPr>
          <w:rFonts w:ascii="Arial" w:cs="Arial" w:eastAsia="Arial" w:hAnsi="Arial"/>
          <w:sz w:val="15"/>
          <w:szCs w:val="15"/>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4" w:name="page35"/>
    <w:bookmarkEnd w:id="3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63" w:lineRule="exact"/>
        <w:rPr>
          <w:sz w:val="20"/>
          <w:szCs w:val="20"/>
          <w:color w:val="auto"/>
        </w:rPr>
      </w:pPr>
    </w:p>
    <w:p>
      <w:pPr>
        <w:ind w:right="40" w:firstLine="345"/>
        <w:spacing w:after="0" w:line="284" w:lineRule="auto"/>
        <w:rPr>
          <w:sz w:val="20"/>
          <w:szCs w:val="20"/>
          <w:color w:val="auto"/>
        </w:rPr>
      </w:pPr>
      <w:r>
        <w:rPr>
          <w:rFonts w:ascii="Arial" w:cs="Arial" w:eastAsia="Arial" w:hAnsi="Arial"/>
          <w:sz w:val="14"/>
          <w:szCs w:val="14"/>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52" w:lineRule="exact"/>
        <w:rPr>
          <w:sz w:val="20"/>
          <w:szCs w:val="20"/>
          <w:color w:val="auto"/>
        </w:rPr>
      </w:pPr>
    </w:p>
    <w:p>
      <w:pPr>
        <w:ind w:firstLine="345"/>
        <w:spacing w:after="0" w:line="303" w:lineRule="auto"/>
        <w:rPr>
          <w:sz w:val="20"/>
          <w:szCs w:val="20"/>
          <w:color w:val="auto"/>
        </w:rPr>
      </w:pPr>
      <w:r>
        <w:rPr>
          <w:rFonts w:ascii="Arial" w:cs="Arial" w:eastAsia="Arial" w:hAnsi="Arial"/>
          <w:sz w:val="13"/>
          <w:szCs w:val="13"/>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44" w:lineRule="exact"/>
        <w:rPr>
          <w:sz w:val="20"/>
          <w:szCs w:val="20"/>
          <w:color w:val="auto"/>
        </w:rPr>
      </w:pPr>
    </w:p>
    <w:p>
      <w:pPr>
        <w:ind w:firstLine="345"/>
        <w:spacing w:after="0" w:line="290" w:lineRule="auto"/>
        <w:rPr>
          <w:sz w:val="20"/>
          <w:szCs w:val="20"/>
          <w:color w:val="auto"/>
        </w:rPr>
      </w:pPr>
      <w:r>
        <w:rPr>
          <w:rFonts w:ascii="Arial" w:cs="Arial" w:eastAsia="Arial" w:hAnsi="Arial"/>
          <w:sz w:val="14"/>
          <w:szCs w:val="14"/>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in addition to other financial performance measures, including various cash flow metrics, net income and our other GAAP results.</w:t>
      </w:r>
    </w:p>
    <w:p>
      <w:pPr>
        <w:spacing w:after="0" w:line="49" w:lineRule="exact"/>
        <w:rPr>
          <w:sz w:val="20"/>
          <w:szCs w:val="20"/>
          <w:color w:val="auto"/>
        </w:rPr>
      </w:pPr>
    </w:p>
    <w:p>
      <w:pPr>
        <w:jc w:val="both"/>
        <w:ind w:right="160" w:firstLine="345"/>
        <w:spacing w:after="0" w:line="266" w:lineRule="auto"/>
        <w:rPr>
          <w:sz w:val="20"/>
          <w:szCs w:val="20"/>
          <w:color w:val="auto"/>
        </w:rPr>
      </w:pPr>
      <w:r>
        <w:rPr>
          <w:rFonts w:ascii="Arial" w:cs="Arial" w:eastAsia="Arial" w:hAnsi="Arial"/>
          <w:sz w:val="15"/>
          <w:szCs w:val="15"/>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5" w:name="page36"/>
    <w:bookmarkEnd w:id="35"/>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Adjusted EBITDA and Adjusted EBITDA Margin</w:t>
      </w:r>
    </w:p>
    <w:p>
      <w:pPr>
        <w:spacing w:after="0" w:line="57" w:lineRule="exact"/>
        <w:rPr>
          <w:sz w:val="20"/>
          <w:szCs w:val="20"/>
          <w:color w:val="auto"/>
        </w:rPr>
      </w:pPr>
    </w:p>
    <w:p>
      <w:pPr>
        <w:ind w:left="8" w:right="440" w:firstLine="345"/>
        <w:spacing w:after="0" w:line="286" w:lineRule="auto"/>
        <w:rPr>
          <w:sz w:val="20"/>
          <w:szCs w:val="20"/>
          <w:color w:val="auto"/>
        </w:rPr>
      </w:pPr>
      <w:r>
        <w:rPr>
          <w:rFonts w:ascii="Arial" w:cs="Arial" w:eastAsia="Arial" w:hAnsi="Arial"/>
          <w:sz w:val="15"/>
          <w:szCs w:val="15"/>
          <w:color w:val="auto"/>
        </w:rPr>
        <w:t xml:space="preserve">We define adjusted EBITDA as net income adjusted for depreciation and amortization, non-cash equity-based compensation, foreign currency transaction gains and losses, interest income and expense and income taxes. We define adjusted EBITDA margin as </w:t>
      </w:r>
      <w:r>
        <w:rPr>
          <w:rFonts w:ascii="Arial" w:cs="Arial" w:eastAsia="Arial" w:hAnsi="Arial"/>
          <w:sz w:val="14"/>
          <w:szCs w:val="14"/>
          <w:color w:val="auto"/>
        </w:rPr>
        <w:t>the ratio of adjusted EBITDA to revenue.</w:t>
      </w:r>
    </w:p>
    <w:p>
      <w:pPr>
        <w:spacing w:after="0" w:line="49" w:lineRule="exact"/>
        <w:rPr>
          <w:sz w:val="20"/>
          <w:szCs w:val="20"/>
          <w:color w:val="auto"/>
        </w:rPr>
      </w:pPr>
    </w:p>
    <w:p>
      <w:pPr>
        <w:ind w:left="348"/>
        <w:spacing w:after="0"/>
        <w:rPr>
          <w:sz w:val="20"/>
          <w:szCs w:val="20"/>
          <w:color w:val="auto"/>
        </w:rPr>
      </w:pPr>
      <w:r>
        <w:rPr>
          <w:rFonts w:ascii="Arial" w:cs="Arial" w:eastAsia="Arial" w:hAnsi="Arial"/>
          <w:sz w:val="15"/>
          <w:szCs w:val="15"/>
          <w:color w:val="auto"/>
        </w:rPr>
        <w:t>The following is a reconciliation of net income to adjusted EBITDA for each of the periods indicated:</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3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right"/>
              <w:ind w:right="552"/>
              <w:spacing w:after="0"/>
              <w:rPr>
                <w:sz w:val="20"/>
                <w:szCs w:val="20"/>
                <w:color w:val="auto"/>
              </w:rPr>
            </w:pPr>
            <w:r>
              <w:rPr>
                <w:rFonts w:ascii="Arial" w:cs="Arial" w:eastAsia="Arial" w:hAnsi="Arial"/>
                <w:sz w:val="12"/>
                <w:szCs w:val="12"/>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gridSpan w:val="3"/>
          </w:tcPr>
          <w:p>
            <w:pPr>
              <w:ind w:left="200"/>
              <w:spacing w:after="0"/>
              <w:rPr>
                <w:sz w:val="20"/>
                <w:szCs w:val="20"/>
                <w:color w:val="auto"/>
              </w:rPr>
            </w:pPr>
            <w:r>
              <w:rPr>
                <w:rFonts w:ascii="Arial" w:cs="Arial" w:eastAsia="Arial" w:hAnsi="Arial"/>
                <w:sz w:val="12"/>
                <w:szCs w:val="12"/>
                <w:b w:val="1"/>
                <w:bCs w:val="1"/>
                <w:color w:val="auto"/>
              </w:rPr>
              <w:t>(in thousands)</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16,029</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22,582</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74,997</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45,887</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40" w:type="dxa"/>
            <w:vAlign w:val="bottom"/>
          </w:tcPr>
          <w:p>
            <w:pPr>
              <w:ind w:left="360"/>
              <w:spacing w:after="0"/>
              <w:rPr>
                <w:sz w:val="20"/>
                <w:szCs w:val="20"/>
                <w:color w:val="auto"/>
              </w:rPr>
            </w:pPr>
            <w:r>
              <w:rPr>
                <w:rFonts w:ascii="Arial" w:cs="Arial" w:eastAsia="Arial" w:hAnsi="Arial"/>
                <w:sz w:val="14"/>
                <w:szCs w:val="14"/>
                <w:color w:val="auto"/>
              </w:rPr>
              <w:t>Add / (less) Non-GAAP adjustments:</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13,488</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9,750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33,731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31,120</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40" w:type="dxa"/>
            <w:vAlign w:val="bottom"/>
          </w:tcPr>
          <w:p>
            <w:pPr>
              <w:ind w:left="460"/>
              <w:spacing w:after="0"/>
              <w:rPr>
                <w:sz w:val="20"/>
                <w:szCs w:val="20"/>
                <w:color w:val="auto"/>
              </w:rPr>
            </w:pPr>
            <w:r>
              <w:rPr>
                <w:rFonts w:ascii="Arial" w:cs="Arial" w:eastAsia="Arial" w:hAnsi="Arial"/>
                <w:sz w:val="14"/>
                <w:szCs w:val="14"/>
                <w:color w:val="auto"/>
              </w:rPr>
              <w:t>Non-cash equity-based compensation</w:t>
            </w:r>
          </w:p>
        </w:tc>
        <w:tc>
          <w:tcPr>
            <w:tcW w:w="720" w:type="dxa"/>
            <w:vAlign w:val="bottom"/>
          </w:tcPr>
          <w:p>
            <w:pPr>
              <w:spacing w:after="0"/>
              <w:rPr>
                <w:sz w:val="15"/>
                <w:szCs w:val="15"/>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color w:val="auto"/>
              </w:rPr>
              <w:t>8,743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8,285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color w:val="auto"/>
              </w:rPr>
              <w:t>26,639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color w:val="auto"/>
              </w:rPr>
              <w:t>17,681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460"/>
              <w:spacing w:after="0" w:line="187" w:lineRule="exact"/>
              <w:rPr>
                <w:sz w:val="20"/>
                <w:szCs w:val="20"/>
                <w:color w:val="auto"/>
              </w:rPr>
            </w:pPr>
            <w:r>
              <w:rPr>
                <w:rFonts w:ascii="Arial" w:cs="Arial" w:eastAsia="Arial" w:hAnsi="Arial"/>
                <w:sz w:val="14"/>
                <w:szCs w:val="14"/>
                <w:color w:val="auto"/>
              </w:rPr>
              <w:t>Other adjustments, net</w:t>
            </w:r>
            <w:r>
              <w:rPr>
                <w:rFonts w:ascii="Arial" w:cs="Arial" w:eastAsia="Arial" w:hAnsi="Arial"/>
                <w:sz w:val="17"/>
                <w:szCs w:val="17"/>
                <w:color w:val="auto"/>
                <w:vertAlign w:val="superscript"/>
              </w:rPr>
              <w:t>(1)</w:t>
            </w: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1,749</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1,168</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2,888</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506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4,391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5,597</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15,627</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11,280</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EBITDA</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44,400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47,382</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153,882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106,474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Adjusted EBITDA margin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ind w:right="133"/>
              <w:spacing w:after="0" w:line="144" w:lineRule="exact"/>
              <w:rPr>
                <w:sz w:val="20"/>
                <w:szCs w:val="20"/>
                <w:color w:val="auto"/>
              </w:rPr>
            </w:pPr>
            <w:r>
              <w:rPr>
                <w:rFonts w:ascii="Arial" w:cs="Arial" w:eastAsia="Arial" w:hAnsi="Arial"/>
                <w:sz w:val="14"/>
                <w:szCs w:val="14"/>
                <w:color w:val="auto"/>
              </w:rPr>
              <w:t>22.8</w:t>
            </w:r>
          </w:p>
        </w:tc>
        <w:tc>
          <w:tcPr>
            <w:tcW w:w="3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28.7</w:t>
            </w:r>
          </w:p>
        </w:tc>
        <w:tc>
          <w:tcPr>
            <w:tcW w:w="320" w:type="dxa"/>
            <w:vAlign w:val="bottom"/>
          </w:tcPr>
          <w:p>
            <w:pPr>
              <w:ind w:left="180"/>
              <w:spacing w:after="0" w:line="144"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jc w:val="right"/>
              <w:ind w:right="113"/>
              <w:spacing w:after="0" w:line="144" w:lineRule="exact"/>
              <w:rPr>
                <w:sz w:val="20"/>
                <w:szCs w:val="20"/>
                <w:color w:val="auto"/>
              </w:rPr>
            </w:pPr>
            <w:r>
              <w:rPr>
                <w:rFonts w:ascii="Arial" w:cs="Arial" w:eastAsia="Arial" w:hAnsi="Arial"/>
                <w:sz w:val="14"/>
                <w:szCs w:val="14"/>
                <w:color w:val="auto"/>
              </w:rPr>
              <w:t>27.1</w:t>
            </w:r>
          </w:p>
        </w:tc>
        <w:tc>
          <w:tcPr>
            <w:tcW w:w="3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21.9</w:t>
            </w:r>
          </w:p>
        </w:tc>
        <w:tc>
          <w:tcPr>
            <w:tcW w:w="3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48"/>
        <w:spacing w:after="0"/>
        <w:rPr>
          <w:sz w:val="20"/>
          <w:szCs w:val="20"/>
          <w:color w:val="auto"/>
        </w:rPr>
      </w:pPr>
      <w:r>
        <w:rPr>
          <w:rFonts w:ascii="Arial" w:cs="Arial" w:eastAsia="Arial" w:hAnsi="Arial"/>
          <w:sz w:val="15"/>
          <w:szCs w:val="15"/>
          <w:color w:val="auto"/>
        </w:rPr>
        <w:t>_______________________________________________________________________________</w:t>
      </w:r>
    </w:p>
    <w:p>
      <w:pPr>
        <w:spacing w:after="0" w:line="98" w:lineRule="exact"/>
        <w:rPr>
          <w:sz w:val="20"/>
          <w:szCs w:val="20"/>
          <w:color w:val="auto"/>
        </w:rPr>
      </w:pPr>
    </w:p>
    <w:p>
      <w:pPr>
        <w:ind w:left="268" w:hanging="268"/>
        <w:spacing w:after="0"/>
        <w:tabs>
          <w:tab w:leader="none" w:pos="26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Included in other adjustments, net are foreign currency transaction gains and losses and interest income and expense.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Adjusted Net Income and Adjusted Net Income Per Diluted Common Share</w:t>
      </w:r>
    </w:p>
    <w:p>
      <w:pPr>
        <w:spacing w:after="0" w:line="57" w:lineRule="exact"/>
        <w:rPr>
          <w:sz w:val="20"/>
          <w:szCs w:val="20"/>
          <w:color w:val="auto"/>
        </w:rPr>
      </w:pPr>
    </w:p>
    <w:p>
      <w:pPr>
        <w:ind w:left="8" w:right="300" w:firstLine="345"/>
        <w:spacing w:after="0" w:line="324" w:lineRule="auto"/>
        <w:rPr>
          <w:sz w:val="20"/>
          <w:szCs w:val="20"/>
          <w:color w:val="auto"/>
        </w:rPr>
      </w:pPr>
      <w:r>
        <w:rPr>
          <w:rFonts w:ascii="Arial" w:cs="Arial" w:eastAsia="Arial" w:hAnsi="Arial"/>
          <w:sz w:val="14"/>
          <w:szCs w:val="14"/>
          <w:color w:val="auto"/>
        </w:rPr>
        <w:t xml:space="preserve">We define adjusted net income as net income adjusted for the impact of non-cash equity-based compensation, the amortization of acquisition-related intangible assets and the estimated tax impact of such adjustments. We define adjusted net income per diluted common share as </w:t>
      </w:r>
      <w:r>
        <w:rPr>
          <w:rFonts w:ascii="Arial" w:cs="Arial" w:eastAsia="Arial" w:hAnsi="Arial"/>
          <w:sz w:val="13"/>
          <w:szCs w:val="13"/>
          <w:color w:val="auto"/>
        </w:rPr>
        <w:t>adjusted net income divided by weighted average diluted shares.</w:t>
      </w:r>
    </w:p>
    <w:p>
      <w:pPr>
        <w:spacing w:after="0" w:line="25" w:lineRule="exact"/>
        <w:rPr>
          <w:sz w:val="20"/>
          <w:szCs w:val="20"/>
          <w:color w:val="auto"/>
        </w:rPr>
      </w:pPr>
    </w:p>
    <w:p>
      <w:pPr>
        <w:ind w:left="348"/>
        <w:spacing w:after="0"/>
        <w:rPr>
          <w:sz w:val="20"/>
          <w:szCs w:val="20"/>
          <w:color w:val="auto"/>
        </w:rPr>
      </w:pPr>
      <w:r>
        <w:rPr>
          <w:rFonts w:ascii="Arial" w:cs="Arial" w:eastAsia="Arial" w:hAnsi="Arial"/>
          <w:sz w:val="15"/>
          <w:szCs w:val="15"/>
          <w:color w:val="auto"/>
        </w:rPr>
        <w:t>The following is a reconciliation of net income to adjusted net income for each of the periods indicated:</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434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2"/>
                <w:szCs w:val="12"/>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2"/>
                <w:szCs w:val="12"/>
                <w:b w:val="1"/>
                <w:bCs w:val="1"/>
                <w:color w:val="auto"/>
              </w:rPr>
              <w:t>Nine Months Ended September 30,</w:t>
            </w:r>
          </w:p>
        </w:tc>
      </w:tr>
      <w:tr>
        <w:trPr>
          <w:trHeight w:val="157"/>
        </w:trPr>
        <w:tc>
          <w:tcPr>
            <w:tcW w:w="434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2020</w:t>
            </w:r>
          </w:p>
        </w:tc>
      </w:tr>
      <w:tr>
        <w:trPr>
          <w:trHeight w:val="152"/>
        </w:trPr>
        <w:tc>
          <w:tcPr>
            <w:tcW w:w="4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gridSpan w:val="3"/>
          </w:tcPr>
          <w:p>
            <w:pPr>
              <w:jc w:val="right"/>
              <w:ind w:right="131"/>
              <w:spacing w:after="0"/>
              <w:rPr>
                <w:sz w:val="20"/>
                <w:szCs w:val="20"/>
                <w:color w:val="auto"/>
              </w:rPr>
            </w:pPr>
            <w:r>
              <w:rPr>
                <w:rFonts w:ascii="Arial" w:cs="Arial" w:eastAsia="Arial" w:hAnsi="Arial"/>
                <w:sz w:val="12"/>
                <w:szCs w:val="12"/>
                <w:b w:val="1"/>
                <w:bCs w:val="1"/>
                <w:color w:val="auto"/>
              </w:rPr>
              <w:t>(in thousands)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48"/>
        </w:trPr>
        <w:tc>
          <w:tcPr>
            <w:tcW w:w="4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184"/>
        </w:trPr>
        <w:tc>
          <w:tcPr>
            <w:tcW w:w="4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18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16,029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22,582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74,997</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45,887</w:t>
            </w:r>
          </w:p>
        </w:tc>
      </w:tr>
      <w:tr>
        <w:trPr>
          <w:trHeight w:val="181"/>
        </w:trPr>
        <w:tc>
          <w:tcPr>
            <w:tcW w:w="4340" w:type="dxa"/>
            <w:vAlign w:val="bottom"/>
          </w:tcPr>
          <w:p>
            <w:pPr>
              <w:ind w:left="360"/>
              <w:spacing w:after="0"/>
              <w:rPr>
                <w:sz w:val="20"/>
                <w:szCs w:val="20"/>
                <w:color w:val="auto"/>
              </w:rPr>
            </w:pPr>
            <w:r>
              <w:rPr>
                <w:rFonts w:ascii="Arial" w:cs="Arial" w:eastAsia="Arial" w:hAnsi="Arial"/>
                <w:sz w:val="14"/>
                <w:szCs w:val="14"/>
                <w:color w:val="auto"/>
              </w:rPr>
              <w:t>Add / (less) Non-GAAP adjustments:</w:t>
            </w: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7"/>
        </w:trPr>
        <w:tc>
          <w:tcPr>
            <w:tcW w:w="4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equity-based compensation</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17,681</w:t>
            </w:r>
          </w:p>
        </w:tc>
      </w:tr>
      <w:tr>
        <w:trPr>
          <w:trHeight w:val="184"/>
        </w:trPr>
        <w:tc>
          <w:tcPr>
            <w:tcW w:w="4340" w:type="dxa"/>
            <w:vAlign w:val="bottom"/>
          </w:tcPr>
          <w:p>
            <w:pPr>
              <w:ind w:left="460"/>
              <w:spacing w:after="0" w:line="184" w:lineRule="exact"/>
              <w:rPr>
                <w:sz w:val="20"/>
                <w:szCs w:val="20"/>
                <w:color w:val="auto"/>
              </w:rPr>
            </w:pPr>
            <w:r>
              <w:rPr>
                <w:rFonts w:ascii="Arial" w:cs="Arial" w:eastAsia="Arial" w:hAnsi="Arial"/>
                <w:sz w:val="14"/>
                <w:szCs w:val="14"/>
                <w:color w:val="auto"/>
              </w:rPr>
              <w:t>Tax effect of non-cash equity-based compensation</w:t>
            </w:r>
            <w:r>
              <w:rPr>
                <w:rFonts w:ascii="Arial" w:cs="Arial" w:eastAsia="Arial" w:hAnsi="Arial"/>
                <w:sz w:val="17"/>
                <w:szCs w:val="17"/>
                <w:color w:val="auto"/>
                <w:vertAlign w:val="superscript"/>
              </w:rPr>
              <w:t>(1)</w:t>
            </w:r>
          </w:p>
        </w:tc>
        <w:tc>
          <w:tcPr>
            <w:tcW w:w="1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(2,055)</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(1,947)</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(6,260)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(4,155)</w:t>
            </w:r>
          </w:p>
        </w:tc>
      </w:tr>
      <w:tr>
        <w:trPr>
          <w:trHeight w:val="184"/>
        </w:trPr>
        <w:tc>
          <w:tcPr>
            <w:tcW w:w="4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Acquisition-related amortization expense</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7,253</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r>
      <w:tr>
        <w:trPr>
          <w:trHeight w:val="184"/>
        </w:trPr>
        <w:tc>
          <w:tcPr>
            <w:tcW w:w="4340" w:type="dxa"/>
            <w:vAlign w:val="bottom"/>
            <w:tcBorders>
              <w:bottom w:val="single" w:sz="8" w:color="CCEEFF"/>
            </w:tcBorders>
          </w:tcPr>
          <w:p>
            <w:pPr>
              <w:ind w:left="460"/>
              <w:spacing w:after="0" w:line="184" w:lineRule="exact"/>
              <w:rPr>
                <w:sz w:val="20"/>
                <w:szCs w:val="20"/>
                <w:color w:val="auto"/>
              </w:rPr>
            </w:pPr>
            <w:r>
              <w:rPr>
                <w:rFonts w:ascii="Arial" w:cs="Arial" w:eastAsia="Arial" w:hAnsi="Arial"/>
                <w:sz w:val="14"/>
                <w:szCs w:val="14"/>
                <w:color w:val="auto"/>
              </w:rPr>
              <w:t>Tax effect of acquisition-related amortization expense</w:t>
            </w:r>
            <w:r>
              <w:rPr>
                <w:rFonts w:ascii="Arial" w:cs="Arial" w:eastAsia="Arial" w:hAnsi="Arial"/>
                <w:sz w:val="17"/>
                <w:szCs w:val="17"/>
                <w:color w:val="auto"/>
                <w:vertAlign w:val="superscript"/>
              </w:rPr>
              <w:t>(1)</w:t>
            </w:r>
          </w:p>
        </w:tc>
        <w:tc>
          <w:tcPr>
            <w:tcW w:w="1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(1,117)</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r>
      <w:tr>
        <w:trPr>
          <w:trHeight w:val="200"/>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Adjusted net income</w:t>
            </w:r>
          </w:p>
        </w:tc>
        <w:tc>
          <w:tcPr>
            <w:tcW w:w="11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26,354</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29,326</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100,925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60,647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73"/>
        </w:trPr>
        <w:tc>
          <w:tcPr>
            <w:tcW w:w="4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net income per diluted common share</w:t>
            </w:r>
          </w:p>
        </w:tc>
        <w:tc>
          <w:tcPr>
            <w:tcW w:w="118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bl>
    <w:p>
      <w:pPr>
        <w:spacing w:after="0" w:line="145" w:lineRule="exact"/>
        <w:rPr>
          <w:sz w:val="20"/>
          <w:szCs w:val="20"/>
          <w:color w:val="auto"/>
        </w:rPr>
      </w:pPr>
    </w:p>
    <w:p>
      <w:pPr>
        <w:ind w:left="268" w:hanging="268"/>
        <w:spacing w:after="0"/>
        <w:tabs>
          <w:tab w:leader="none" w:pos="268" w:val="left"/>
        </w:tabs>
        <w:numPr>
          <w:ilvl w:val="0"/>
          <w:numId w:val="12"/>
        </w:numPr>
        <w:rPr>
          <w:rFonts w:ascii="Arial" w:cs="Arial" w:eastAsia="Arial" w:hAnsi="Arial"/>
          <w:sz w:val="11"/>
          <w:szCs w:val="11"/>
          <w:color w:val="auto"/>
        </w:rPr>
      </w:pPr>
      <w:r>
        <w:rPr>
          <w:rFonts w:ascii="Arial" w:cs="Arial" w:eastAsia="Arial" w:hAnsi="Arial"/>
          <w:sz w:val="12"/>
          <w:szCs w:val="12"/>
          <w:color w:val="auto"/>
        </w:rPr>
        <w:t>Statutory tax rates are used to calculate the tax effect of the adjustments.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36" w:name="page37"/>
    <w:bookmarkEnd w:id="3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Growth (including by distribution channel) on a Constant Currency Basis</w:t>
      </w:r>
    </w:p>
    <w:p>
      <w:pPr>
        <w:spacing w:after="0" w:line="57" w:lineRule="exact"/>
        <w:rPr>
          <w:sz w:val="20"/>
          <w:szCs w:val="20"/>
          <w:color w:val="auto"/>
        </w:rPr>
      </w:pPr>
    </w:p>
    <w:p>
      <w:pPr>
        <w:ind w:right="440" w:firstLine="345"/>
        <w:spacing w:after="0" w:line="286" w:lineRule="auto"/>
        <w:rPr>
          <w:sz w:val="20"/>
          <w:szCs w:val="20"/>
          <w:color w:val="auto"/>
        </w:rPr>
      </w:pPr>
      <w:r>
        <w:rPr>
          <w:rFonts w:ascii="Arial" w:cs="Arial" w:eastAsia="Arial" w:hAnsi="Arial"/>
          <w:sz w:val="15"/>
          <w:szCs w:val="15"/>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2"/>
                <w:szCs w:val="12"/>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Reported revenue (in thousands)</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194,439</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165,227</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567,632</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485,742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460"/>
              <w:spacing w:after="0"/>
              <w:rPr>
                <w:sz w:val="20"/>
                <w:szCs w:val="20"/>
                <w:color w:val="auto"/>
              </w:rPr>
            </w:pPr>
            <w:r>
              <w:rPr>
                <w:rFonts w:ascii="Arial" w:cs="Arial" w:eastAsia="Arial" w:hAnsi="Arial"/>
                <w:sz w:val="14"/>
                <w:szCs w:val="14"/>
                <w:i w:val="1"/>
                <w:iCs w:val="1"/>
                <w:color w:val="auto"/>
              </w:rPr>
              <w:t>Revenue growth</w:t>
            </w:r>
          </w:p>
        </w:tc>
        <w:tc>
          <w:tcPr>
            <w:tcW w:w="7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i w:val="1"/>
                <w:iCs w:val="1"/>
                <w:color w:val="auto"/>
              </w:rPr>
              <w:t>18</w:t>
            </w:r>
          </w:p>
        </w:tc>
        <w:tc>
          <w:tcPr>
            <w:tcW w:w="540" w:type="dxa"/>
            <w:vAlign w:val="bottom"/>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i w:val="1"/>
                <w:iCs w:val="1"/>
                <w:color w:val="auto"/>
              </w:rPr>
              <w:t>4</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i w:val="1"/>
                <w:iCs w:val="1"/>
                <w:color w:val="auto"/>
              </w:rPr>
              <w:t>17</w:t>
            </w:r>
          </w:p>
        </w:tc>
        <w:tc>
          <w:tcPr>
            <w:tcW w:w="540" w:type="dxa"/>
            <w:vAlign w:val="bottom"/>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i w:val="1"/>
                <w:i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ind w:left="460"/>
              <w:spacing w:after="0"/>
              <w:rPr>
                <w:sz w:val="20"/>
                <w:szCs w:val="20"/>
                <w:color w:val="auto"/>
              </w:rPr>
            </w:pPr>
            <w:r>
              <w:rPr>
                <w:rFonts w:ascii="Arial" w:cs="Arial" w:eastAsia="Arial" w:hAnsi="Arial"/>
                <w:sz w:val="14"/>
                <w:szCs w:val="14"/>
                <w:i w:val="1"/>
                <w:iCs w:val="1"/>
                <w:color w:val="auto"/>
                <w:w w:val="91"/>
              </w:rPr>
              <w:t>Revenue growth on a constant currency basis</w:t>
            </w: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17</w:t>
            </w:r>
          </w:p>
        </w:tc>
        <w:tc>
          <w:tcPr>
            <w:tcW w:w="540" w:type="dxa"/>
            <w:vAlign w:val="bottom"/>
            <w:shd w:val="clear" w:color="auto" w:fill="CCEEFF"/>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i w:val="1"/>
                <w:iCs w:val="1"/>
                <w:color w:val="auto"/>
              </w:rPr>
              <w:t>3</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15</w:t>
            </w:r>
          </w:p>
        </w:tc>
        <w:tc>
          <w:tcPr>
            <w:tcW w:w="540" w:type="dxa"/>
            <w:vAlign w:val="bottom"/>
            <w:shd w:val="clear" w:color="auto" w:fill="CCEEFF"/>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i w:val="1"/>
                <w:iCs w:val="1"/>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46"/>
        </w:trPr>
        <w:tc>
          <w:tcPr>
            <w:tcW w:w="3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E-commerce reported revenue (in thousands)</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121,707</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102,816</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360,822</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300,716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460"/>
              <w:spacing w:after="0"/>
              <w:rPr>
                <w:sz w:val="20"/>
                <w:szCs w:val="20"/>
                <w:color w:val="auto"/>
              </w:rPr>
            </w:pPr>
            <w:r>
              <w:rPr>
                <w:rFonts w:ascii="Arial" w:cs="Arial" w:eastAsia="Arial" w:hAnsi="Arial"/>
                <w:sz w:val="14"/>
                <w:szCs w:val="14"/>
                <w:i w:val="1"/>
                <w:iCs w:val="1"/>
                <w:color w:val="auto"/>
              </w:rPr>
              <w:t>E-commerce revenue growth</w:t>
            </w:r>
          </w:p>
        </w:tc>
        <w:tc>
          <w:tcPr>
            <w:tcW w:w="7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i w:val="1"/>
                <w:iCs w:val="1"/>
                <w:color w:val="auto"/>
              </w:rPr>
              <w:t>18</w:t>
            </w:r>
          </w:p>
        </w:tc>
        <w:tc>
          <w:tcPr>
            <w:tcW w:w="540" w:type="dxa"/>
            <w:vAlign w:val="bottom"/>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i w:val="1"/>
                <w:iCs w:val="1"/>
                <w:color w:val="auto"/>
              </w:rPr>
              <w:t>7</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i w:val="1"/>
                <w:iCs w:val="1"/>
                <w:color w:val="auto"/>
              </w:rPr>
              <w:t>20</w:t>
            </w:r>
          </w:p>
        </w:tc>
        <w:tc>
          <w:tcPr>
            <w:tcW w:w="540" w:type="dxa"/>
            <w:vAlign w:val="bottom"/>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i w:val="1"/>
                <w:iCs w:val="1"/>
                <w:color w:val="auto"/>
              </w:rPr>
              <w:t>3</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460"/>
              <w:spacing w:after="0" w:line="144" w:lineRule="exact"/>
              <w:rPr>
                <w:sz w:val="20"/>
                <w:szCs w:val="20"/>
                <w:color w:val="auto"/>
              </w:rPr>
            </w:pPr>
            <w:r>
              <w:rPr>
                <w:rFonts w:ascii="Arial" w:cs="Arial" w:eastAsia="Arial" w:hAnsi="Arial"/>
                <w:sz w:val="14"/>
                <w:szCs w:val="14"/>
                <w:i w:val="1"/>
                <w:iCs w:val="1"/>
                <w:color w:val="auto"/>
                <w:w w:val="97"/>
              </w:rPr>
              <w:t>E-commerce revenue growth on a constant</w:t>
            </w:r>
          </w:p>
        </w:tc>
        <w:tc>
          <w:tcPr>
            <w:tcW w:w="7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18</w:t>
            </w:r>
          </w:p>
        </w:tc>
        <w:tc>
          <w:tcPr>
            <w:tcW w:w="54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i w:val="1"/>
                <w:iCs w:val="1"/>
                <w:color w:val="auto"/>
              </w:rPr>
              <w:t>6</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18</w:t>
            </w:r>
          </w:p>
        </w:tc>
        <w:tc>
          <w:tcPr>
            <w:tcW w:w="54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i w:val="1"/>
                <w:iCs w:val="1"/>
                <w:color w:val="auto"/>
              </w:rPr>
              <w:t>3</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currency basis</w:t>
            </w:r>
          </w:p>
        </w:tc>
        <w:tc>
          <w:tcPr>
            <w:tcW w:w="7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Enterprise reported revenue (in thousands)</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72,732</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62,411</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206,810</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185,026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460"/>
              <w:spacing w:after="0"/>
              <w:rPr>
                <w:sz w:val="20"/>
                <w:szCs w:val="20"/>
                <w:color w:val="auto"/>
              </w:rPr>
            </w:pPr>
            <w:r>
              <w:rPr>
                <w:rFonts w:ascii="Arial" w:cs="Arial" w:eastAsia="Arial" w:hAnsi="Arial"/>
                <w:sz w:val="14"/>
                <w:szCs w:val="14"/>
                <w:i w:val="1"/>
                <w:iCs w:val="1"/>
                <w:color w:val="auto"/>
              </w:rPr>
              <w:t>Enterprise revenue growth</w:t>
            </w:r>
          </w:p>
        </w:tc>
        <w:tc>
          <w:tcPr>
            <w:tcW w:w="7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i w:val="1"/>
                <w:iCs w:val="1"/>
                <w:color w:val="auto"/>
              </w:rPr>
              <w:t>17</w:t>
            </w:r>
          </w:p>
        </w:tc>
        <w:tc>
          <w:tcPr>
            <w:tcW w:w="540" w:type="dxa"/>
            <w:vAlign w:val="bottom"/>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tcPr>
          <w:p>
            <w:pPr>
              <w:spacing w:after="0"/>
              <w:rPr>
                <w:sz w:val="15"/>
                <w:szCs w:val="15"/>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i w:val="1"/>
                <w:iCs w:val="1"/>
                <w:color w:val="auto"/>
              </w:rPr>
              <w:t>(1)</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i w:val="1"/>
                <w:iCs w:val="1"/>
                <w:color w:val="auto"/>
              </w:rPr>
              <w:t>12</w:t>
            </w:r>
          </w:p>
        </w:tc>
        <w:tc>
          <w:tcPr>
            <w:tcW w:w="540" w:type="dxa"/>
            <w:vAlign w:val="bottom"/>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tcPr>
          <w:p>
            <w:pPr>
              <w:spacing w:after="0"/>
              <w:rPr>
                <w:sz w:val="15"/>
                <w:szCs w:val="15"/>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i w:val="1"/>
                <w:iCs w:val="1"/>
                <w:color w:val="auto"/>
              </w:rPr>
              <w:t>(4)</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460"/>
              <w:spacing w:after="0" w:line="144" w:lineRule="exact"/>
              <w:rPr>
                <w:sz w:val="20"/>
                <w:szCs w:val="20"/>
                <w:color w:val="auto"/>
              </w:rPr>
            </w:pPr>
            <w:r>
              <w:rPr>
                <w:rFonts w:ascii="Arial" w:cs="Arial" w:eastAsia="Arial" w:hAnsi="Arial"/>
                <w:sz w:val="14"/>
                <w:szCs w:val="14"/>
                <w:i w:val="1"/>
                <w:iCs w:val="1"/>
                <w:color w:val="auto"/>
              </w:rPr>
              <w:t>Enterprise revenue growth on a constant</w:t>
            </w:r>
          </w:p>
        </w:tc>
        <w:tc>
          <w:tcPr>
            <w:tcW w:w="7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15</w:t>
            </w:r>
          </w:p>
        </w:tc>
        <w:tc>
          <w:tcPr>
            <w:tcW w:w="54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i w:val="1"/>
                <w:iCs w:val="1"/>
                <w:color w:val="auto"/>
              </w:rPr>
              <w:t>(1)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9</w:t>
            </w:r>
          </w:p>
        </w:tc>
        <w:tc>
          <w:tcPr>
            <w:tcW w:w="54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i w:val="1"/>
                <w:iCs w:val="1"/>
                <w:color w:val="auto"/>
              </w:rPr>
              <w:t>%</w:t>
            </w:r>
          </w:p>
        </w:tc>
        <w:tc>
          <w:tcPr>
            <w:tcW w:w="6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i w:val="1"/>
                <w:iCs w:val="1"/>
                <w:color w:val="auto"/>
              </w:rPr>
              <w:t>(4)</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currency basis</w:t>
            </w:r>
          </w:p>
        </w:tc>
        <w:tc>
          <w:tcPr>
            <w:tcW w:w="7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Free Cash Flow</w:t>
      </w:r>
    </w:p>
    <w:p>
      <w:pPr>
        <w:spacing w:after="0" w:line="126" w:lineRule="exact"/>
        <w:rPr>
          <w:sz w:val="20"/>
          <w:szCs w:val="20"/>
          <w:color w:val="auto"/>
        </w:rPr>
      </w:pPr>
    </w:p>
    <w:p>
      <w:pPr>
        <w:ind w:right="420" w:firstLine="345"/>
        <w:spacing w:after="0" w:line="286" w:lineRule="auto"/>
        <w:rPr>
          <w:sz w:val="20"/>
          <w:szCs w:val="20"/>
          <w:color w:val="auto"/>
        </w:rPr>
      </w:pPr>
      <w:r>
        <w:rPr>
          <w:rFonts w:ascii="Arial" w:cs="Arial" w:eastAsia="Arial" w:hAnsi="Arial"/>
          <w:sz w:val="15"/>
          <w:szCs w:val="15"/>
          <w:color w:val="auto"/>
        </w:rPr>
        <w:t>We define free cash flow as our cash provided by operating activities, adjusted for capital expenditures and content acquisition, and, with respect to the three months ended March 31, 2020, a payment associated with long-term incentives related to our 2017 acquisition of Flashstock.</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is a reconciliation of net cash provided by operating activities to free cash flow for each of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2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2"/>
                <w:szCs w:val="12"/>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2"/>
                <w:szCs w:val="12"/>
                <w:b w:val="1"/>
                <w:bCs w:val="1"/>
                <w:color w:val="auto"/>
              </w:rPr>
              <w:t>Nine Months Ended September 30,</w:t>
            </w:r>
          </w:p>
        </w:tc>
      </w:tr>
      <w:tr>
        <w:trPr>
          <w:trHeight w:val="157"/>
        </w:trPr>
        <w:tc>
          <w:tcPr>
            <w:tcW w:w="4320" w:type="dxa"/>
            <w:vAlign w:val="bottom"/>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2020</w:t>
            </w:r>
          </w:p>
        </w:tc>
      </w:tr>
      <w:tr>
        <w:trPr>
          <w:trHeight w:val="152"/>
        </w:trPr>
        <w:tc>
          <w:tcPr>
            <w:tcW w:w="4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gridSpan w:val="3"/>
          </w:tcPr>
          <w:p>
            <w:pPr>
              <w:jc w:val="right"/>
              <w:ind w:right="111"/>
              <w:spacing w:after="0"/>
              <w:rPr>
                <w:sz w:val="20"/>
                <w:szCs w:val="20"/>
                <w:color w:val="auto"/>
              </w:rPr>
            </w:pPr>
            <w:r>
              <w:rPr>
                <w:rFonts w:ascii="Arial" w:cs="Arial" w:eastAsia="Arial" w:hAnsi="Arial"/>
                <w:sz w:val="12"/>
                <w:szCs w:val="12"/>
                <w:b w:val="1"/>
                <w:bCs w:val="1"/>
                <w:color w:val="auto"/>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48"/>
        </w:trPr>
        <w:tc>
          <w:tcPr>
            <w:tcW w:w="4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84"/>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1160" w:type="dxa"/>
            <w:vAlign w:val="bottom"/>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54,642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63,882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161,858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100,225</w:t>
            </w:r>
          </w:p>
        </w:tc>
      </w:tr>
      <w:tr>
        <w:trPr>
          <w:trHeight w:val="181"/>
        </w:trPr>
        <w:tc>
          <w:tcPr>
            <w:tcW w:w="4320" w:type="dxa"/>
            <w:vAlign w:val="bottom"/>
          </w:tcPr>
          <w:p>
            <w:pPr>
              <w:ind w:left="440"/>
              <w:spacing w:after="0"/>
              <w:rPr>
                <w:sz w:val="20"/>
                <w:szCs w:val="20"/>
                <w:color w:val="auto"/>
              </w:rPr>
            </w:pPr>
            <w:r>
              <w:rPr>
                <w:rFonts w:ascii="Arial" w:cs="Arial" w:eastAsia="Arial" w:hAnsi="Arial"/>
                <w:sz w:val="14"/>
                <w:szCs w:val="14"/>
                <w:color w:val="auto"/>
              </w:rPr>
              <w:t>Capital expenditures</w:t>
            </w: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(5,830)</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(6,311)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(21,167)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(20,277)</w:t>
            </w:r>
          </w:p>
        </w:tc>
      </w:tr>
      <w:tr>
        <w:trPr>
          <w:trHeight w:val="187"/>
        </w:trPr>
        <w:tc>
          <w:tcPr>
            <w:tcW w:w="43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Content acquisitions</w:t>
            </w: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(4,494)</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r>
      <w:tr>
        <w:trPr>
          <w:trHeight w:val="181"/>
        </w:trPr>
        <w:tc>
          <w:tcPr>
            <w:tcW w:w="4320" w:type="dxa"/>
            <w:vAlign w:val="bottom"/>
          </w:tcPr>
          <w:p>
            <w:pPr>
              <w:ind w:left="440"/>
              <w:spacing w:after="0"/>
              <w:rPr>
                <w:sz w:val="20"/>
                <w:szCs w:val="20"/>
                <w:color w:val="auto"/>
              </w:rPr>
            </w:pPr>
            <w:r>
              <w:rPr>
                <w:rFonts w:ascii="Arial" w:cs="Arial" w:eastAsia="Arial" w:hAnsi="Arial"/>
                <w:sz w:val="14"/>
                <w:szCs w:val="14"/>
                <w:color w:val="auto"/>
                <w:w w:val="98"/>
              </w:rPr>
              <w:t>Payments related to long-term incentives related to acquisitions</w:t>
            </w:r>
          </w:p>
        </w:tc>
        <w:tc>
          <w:tcPr>
            <w:tcW w:w="11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7,759</w:t>
            </w:r>
          </w:p>
        </w:tc>
      </w:tr>
      <w:tr>
        <w:trPr>
          <w:trHeight w:val="203"/>
        </w:trPr>
        <w:tc>
          <w:tcPr>
            <w:tcW w:w="4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Free Cash Flow</w:t>
            </w:r>
          </w:p>
        </w:tc>
        <w:tc>
          <w:tcPr>
            <w:tcW w:w="116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44,318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57,041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07" w:lineRule="exact"/>
        <w:rPr>
          <w:sz w:val="20"/>
          <w:szCs w:val="20"/>
          <w:color w:val="auto"/>
        </w:rPr>
      </w:pPr>
    </w:p>
    <w:p>
      <w:pPr>
        <w:ind w:firstLine="345"/>
        <w:spacing w:after="0" w:line="271" w:lineRule="auto"/>
        <w:rPr>
          <w:sz w:val="20"/>
          <w:szCs w:val="20"/>
          <w:color w:val="auto"/>
        </w:rPr>
      </w:pPr>
      <w:r>
        <w:rPr>
          <w:rFonts w:ascii="Arial" w:cs="Arial" w:eastAsia="Arial" w:hAnsi="Arial"/>
          <w:sz w:val="15"/>
          <w:szCs w:val="15"/>
          <w:color w:val="auto"/>
        </w:rPr>
        <w:t>As of September 30, 2021,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7" w:name="page38"/>
    <w:bookmarkEnd w:id="37"/>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8"/>
        <w:spacing w:after="0"/>
        <w:tabs>
          <w:tab w:leader="none" w:pos="788"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07" w:lineRule="exact"/>
        <w:rPr>
          <w:sz w:val="20"/>
          <w:szCs w:val="20"/>
          <w:color w:val="auto"/>
        </w:rPr>
      </w:pPr>
    </w:p>
    <w:p>
      <w:pPr>
        <w:ind w:left="8" w:right="160" w:firstLine="345"/>
        <w:spacing w:after="0" w:line="415" w:lineRule="auto"/>
        <w:rPr>
          <w:sz w:val="20"/>
          <w:szCs w:val="20"/>
          <w:color w:val="auto"/>
        </w:rPr>
      </w:pPr>
      <w:r>
        <w:rPr>
          <w:rFonts w:ascii="Arial" w:cs="Arial" w:eastAsia="Arial" w:hAnsi="Arial"/>
          <w:sz w:val="15"/>
          <w:szCs w:val="15"/>
          <w:color w:val="auto"/>
        </w:rPr>
        <w:t xml:space="preserve">We are exposed to market risks in the ordinary course of our business, including risks related to foreign currency exchange rate fluctuation, interest rate fluctuation and inflation. </w:t>
      </w:r>
      <w:r>
        <w:rPr>
          <w:rFonts w:ascii="Arial" w:cs="Arial" w:eastAsia="Arial" w:hAnsi="Arial"/>
          <w:sz w:val="15"/>
          <w:szCs w:val="15"/>
          <w:b w:val="1"/>
          <w:bCs w:val="1"/>
          <w:i w:val="1"/>
          <w:iCs w:val="1"/>
          <w:color w:val="auto"/>
        </w:rPr>
        <w:t>Foreign Currency Exchange Risk</w:t>
      </w:r>
    </w:p>
    <w:p>
      <w:pPr>
        <w:spacing w:after="0" w:line="1" w:lineRule="exact"/>
        <w:rPr>
          <w:sz w:val="20"/>
          <w:szCs w:val="20"/>
          <w:color w:val="auto"/>
        </w:rPr>
      </w:pPr>
    </w:p>
    <w:p>
      <w:pPr>
        <w:jc w:val="both"/>
        <w:ind w:left="8" w:right="160" w:firstLine="345"/>
        <w:spacing w:after="0" w:line="300" w:lineRule="auto"/>
        <w:rPr>
          <w:sz w:val="20"/>
          <w:szCs w:val="20"/>
          <w:color w:val="auto"/>
        </w:rPr>
      </w:pPr>
      <w:r>
        <w:rPr>
          <w:rFonts w:ascii="Arial" w:cs="Arial" w:eastAsia="Arial" w:hAnsi="Arial"/>
          <w:sz w:val="13"/>
          <w:szCs w:val="13"/>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35% for the nine months ended September 30, 2021 and 2020. Changes in exchange rates will affect our revenue and certain operating expenses to the extent that our revenue is generated and expenses are incurred in currencies other than the U.S. dollar.</w:t>
      </w:r>
    </w:p>
    <w:p>
      <w:pPr>
        <w:spacing w:after="0" w:line="2" w:lineRule="exact"/>
        <w:rPr>
          <w:sz w:val="20"/>
          <w:szCs w:val="20"/>
          <w:color w:val="auto"/>
        </w:rPr>
      </w:pPr>
    </w:p>
    <w:p>
      <w:pPr>
        <w:jc w:val="both"/>
        <w:ind w:left="8" w:right="420"/>
        <w:spacing w:after="0" w:line="263" w:lineRule="auto"/>
        <w:rPr>
          <w:sz w:val="20"/>
          <w:szCs w:val="20"/>
          <w:color w:val="auto"/>
        </w:rPr>
      </w:pPr>
      <w:r>
        <w:rPr>
          <w:rFonts w:ascii="Arial" w:cs="Arial" w:eastAsia="Arial" w:hAnsi="Arial"/>
          <w:sz w:val="15"/>
          <w:szCs w:val="15"/>
          <w:color w:val="auto"/>
        </w:rPr>
        <w:t>Royalties earned by and paid to contributors are denominated in the U.S. dollar and will not be affected by changes in exchange rates. Based on our foreign currency denominated revenue for the nine months ended September 30, 2021, we estimate that a 10% change in the exchange rate of the U.S. dollar against all foreign currency denominated revenues would result in an approximately 3% impact on our revenue.</w:t>
      </w:r>
    </w:p>
    <w:p>
      <w:pPr>
        <w:spacing w:after="0" w:line="100" w:lineRule="exact"/>
        <w:rPr>
          <w:sz w:val="20"/>
          <w:szCs w:val="20"/>
          <w:color w:val="auto"/>
        </w:rPr>
      </w:pPr>
    </w:p>
    <w:p>
      <w:pPr>
        <w:jc w:val="both"/>
        <w:ind w:left="8" w:right="140" w:firstLine="345"/>
        <w:spacing w:after="0" w:line="266" w:lineRule="auto"/>
        <w:rPr>
          <w:sz w:val="20"/>
          <w:szCs w:val="20"/>
          <w:color w:val="auto"/>
        </w:rPr>
      </w:pPr>
      <w:r>
        <w:rPr>
          <w:rFonts w:ascii="Arial" w:cs="Arial" w:eastAsia="Arial" w:hAnsi="Arial"/>
          <w:sz w:val="15"/>
          <w:szCs w:val="15"/>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86" w:lineRule="exact"/>
        <w:rPr>
          <w:sz w:val="20"/>
          <w:szCs w:val="20"/>
          <w:color w:val="auto"/>
        </w:rPr>
      </w:pPr>
    </w:p>
    <w:p>
      <w:pPr>
        <w:ind w:left="348"/>
        <w:spacing w:after="0"/>
        <w:rPr>
          <w:sz w:val="20"/>
          <w:szCs w:val="20"/>
          <w:color w:val="auto"/>
        </w:rPr>
      </w:pPr>
      <w:r>
        <w:rPr>
          <w:rFonts w:ascii="Arial" w:cs="Arial" w:eastAsia="Arial" w:hAnsi="Arial"/>
          <w:sz w:val="15"/>
          <w:szCs w:val="15"/>
          <w:color w:val="auto"/>
        </w:rPr>
        <w:t>Our historical revenue by currency is as follows (in thousands):</w:t>
      </w:r>
    </w:p>
    <w:p>
      <w:pPr>
        <w:spacing w:after="0" w:line="41"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8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1"/>
                <w:szCs w:val="11"/>
                <w:b w:val="1"/>
                <w:bCs w:val="1"/>
                <w:color w:val="auto"/>
                <w:w w:val="94"/>
              </w:rPr>
              <w:t>Three Months Ended September 30,</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1"/>
                <w:szCs w:val="11"/>
                <w:b w:val="1"/>
                <w:bCs w:val="1"/>
                <w:color w:val="auto"/>
                <w:w w:val="96"/>
              </w:rPr>
              <w:t>Nine Months Ended September 30,</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1"/>
                <w:szCs w:val="11"/>
                <w:b w:val="1"/>
                <w:bCs w:val="1"/>
                <w:color w:val="auto"/>
                <w:w w:val="97"/>
              </w:rPr>
              <w:t>U.S. Dollars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119"/>
              <w:spacing w:after="0" w:line="100" w:lineRule="exact"/>
              <w:rPr>
                <w:sz w:val="20"/>
                <w:szCs w:val="20"/>
                <w:color w:val="auto"/>
              </w:rPr>
            </w:pPr>
            <w:r>
              <w:rPr>
                <w:rFonts w:ascii="Arial" w:cs="Arial" w:eastAsia="Arial" w:hAnsi="Arial"/>
                <w:sz w:val="11"/>
                <w:szCs w:val="11"/>
                <w:b w:val="1"/>
                <w:bCs w:val="1"/>
                <w:color w:val="auto"/>
                <w:w w:val="91"/>
              </w:rPr>
              <w:t>Originating</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3"/>
              </w:rPr>
              <w:t>U.S. Dollars</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96"/>
              <w:spacing w:after="0" w:line="100" w:lineRule="exact"/>
              <w:rPr>
                <w:sz w:val="20"/>
                <w:szCs w:val="20"/>
                <w:color w:val="auto"/>
              </w:rPr>
            </w:pPr>
            <w:r>
              <w:rPr>
                <w:rFonts w:ascii="Arial" w:cs="Arial" w:eastAsia="Arial" w:hAnsi="Arial"/>
                <w:sz w:val="11"/>
                <w:szCs w:val="11"/>
                <w:b w:val="1"/>
                <w:bCs w:val="1"/>
                <w:color w:val="auto"/>
                <w:w w:val="95"/>
              </w:rPr>
              <w:t>Originating</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3"/>
              </w:rPr>
              <w:t>U.S. Dollars</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99"/>
              <w:spacing w:after="0" w:line="100" w:lineRule="exact"/>
              <w:rPr>
                <w:sz w:val="20"/>
                <w:szCs w:val="20"/>
                <w:color w:val="auto"/>
              </w:rPr>
            </w:pPr>
            <w:r>
              <w:rPr>
                <w:rFonts w:ascii="Arial" w:cs="Arial" w:eastAsia="Arial" w:hAnsi="Arial"/>
                <w:sz w:val="11"/>
                <w:szCs w:val="11"/>
                <w:b w:val="1"/>
                <w:bCs w:val="1"/>
                <w:color w:val="auto"/>
                <w:w w:val="95"/>
              </w:rPr>
              <w:t>Originating</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3"/>
              </w:rPr>
              <w:t>U.S. Dollars</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96"/>
              <w:spacing w:after="0" w:line="100" w:lineRule="exact"/>
              <w:rPr>
                <w:sz w:val="20"/>
                <w:szCs w:val="20"/>
                <w:color w:val="auto"/>
              </w:rPr>
            </w:pPr>
            <w:r>
              <w:rPr>
                <w:rFonts w:ascii="Arial" w:cs="Arial" w:eastAsia="Arial" w:hAnsi="Arial"/>
                <w:sz w:val="11"/>
                <w:szCs w:val="11"/>
                <w:b w:val="1"/>
                <w:bCs w:val="1"/>
                <w:color w:val="auto"/>
                <w:w w:val="95"/>
              </w:rPr>
              <w:t>Originating</w:t>
            </w:r>
          </w:p>
        </w:tc>
        <w:tc>
          <w:tcPr>
            <w:tcW w:w="0" w:type="dxa"/>
            <w:vAlign w:val="bottom"/>
          </w:tcPr>
          <w:p>
            <w:pPr>
              <w:spacing w:after="0"/>
              <w:rPr>
                <w:sz w:val="1"/>
                <w:szCs w:val="1"/>
                <w:color w:val="auto"/>
              </w:rPr>
            </w:pPr>
          </w:p>
        </w:tc>
      </w:tr>
      <w:tr>
        <w:trPr>
          <w:trHeight w:val="141"/>
        </w:trPr>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ind w:left="380"/>
              <w:spacing w:after="0"/>
              <w:rPr>
                <w:sz w:val="20"/>
                <w:szCs w:val="20"/>
                <w:color w:val="auto"/>
              </w:rPr>
            </w:pPr>
            <w:r>
              <w:rPr>
                <w:rFonts w:ascii="Arial" w:cs="Arial" w:eastAsia="Arial" w:hAnsi="Arial"/>
                <w:sz w:val="11"/>
                <w:szCs w:val="11"/>
                <w:b w:val="1"/>
                <w:bCs w:val="1"/>
                <w:color w:val="auto"/>
              </w:rPr>
              <w:t>Currency</w:t>
            </w:r>
          </w:p>
        </w:tc>
        <w:tc>
          <w:tcPr>
            <w:tcW w:w="5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ind w:left="400"/>
              <w:spacing w:after="0"/>
              <w:rPr>
                <w:sz w:val="20"/>
                <w:szCs w:val="20"/>
                <w:color w:val="auto"/>
              </w:rPr>
            </w:pPr>
            <w:r>
              <w:rPr>
                <w:rFonts w:ascii="Arial" w:cs="Arial" w:eastAsia="Arial" w:hAnsi="Arial"/>
                <w:sz w:val="11"/>
                <w:szCs w:val="11"/>
                <w:b w:val="1"/>
                <w:bCs w:val="1"/>
                <w:color w:val="auto"/>
              </w:rPr>
              <w:t>Currency</w:t>
            </w:r>
          </w:p>
        </w:tc>
        <w:tc>
          <w:tcPr>
            <w:tcW w:w="5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tcPr>
          <w:p>
            <w:pPr>
              <w:ind w:left="400"/>
              <w:spacing w:after="0"/>
              <w:rPr>
                <w:sz w:val="20"/>
                <w:szCs w:val="20"/>
                <w:color w:val="auto"/>
              </w:rPr>
            </w:pPr>
            <w:r>
              <w:rPr>
                <w:rFonts w:ascii="Arial" w:cs="Arial" w:eastAsia="Arial" w:hAnsi="Arial"/>
                <w:sz w:val="11"/>
                <w:szCs w:val="11"/>
                <w:b w:val="1"/>
                <w:bCs w:val="1"/>
                <w:color w:val="auto"/>
              </w:rPr>
              <w:t>Currency</w:t>
            </w:r>
          </w:p>
        </w:tc>
        <w:tc>
          <w:tcPr>
            <w:tcW w:w="4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316"/>
              <w:spacing w:after="0"/>
              <w:rPr>
                <w:sz w:val="20"/>
                <w:szCs w:val="20"/>
                <w:color w:val="auto"/>
              </w:rPr>
            </w:pPr>
            <w:r>
              <w:rPr>
                <w:rFonts w:ascii="Arial" w:cs="Arial" w:eastAsia="Arial" w:hAnsi="Arial"/>
                <w:sz w:val="11"/>
                <w:szCs w:val="11"/>
                <w:b w:val="1"/>
                <w:bCs w:val="1"/>
                <w:color w:val="auto"/>
              </w:rPr>
              <w:t>Currency</w:t>
            </w:r>
          </w:p>
        </w:tc>
        <w:tc>
          <w:tcPr>
            <w:tcW w:w="0" w:type="dxa"/>
            <w:vAlign w:val="bottom"/>
          </w:tcPr>
          <w:p>
            <w:pPr>
              <w:spacing w:after="0"/>
              <w:rPr>
                <w:sz w:val="1"/>
                <w:szCs w:val="1"/>
                <w:color w:val="auto"/>
              </w:rPr>
            </w:pPr>
          </w:p>
        </w:tc>
      </w:tr>
      <w:tr>
        <w:trPr>
          <w:trHeight w:val="181"/>
        </w:trPr>
        <w:tc>
          <w:tcPr>
            <w:tcW w:w="840" w:type="dxa"/>
            <w:vAlign w:val="bottom"/>
          </w:tcPr>
          <w:p>
            <w:pPr>
              <w:ind w:left="360"/>
              <w:spacing w:after="0"/>
              <w:rPr>
                <w:sz w:val="20"/>
                <w:szCs w:val="20"/>
                <w:color w:val="auto"/>
              </w:rPr>
            </w:pPr>
            <w:r>
              <w:rPr>
                <w:rFonts w:ascii="Arial" w:cs="Arial" w:eastAsia="Arial" w:hAnsi="Arial"/>
                <w:sz w:val="14"/>
                <w:szCs w:val="14"/>
                <w:color w:val="auto"/>
              </w:rPr>
              <w:t>Euro</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35,930</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30,333</w:t>
            </w:r>
          </w:p>
        </w:tc>
        <w:tc>
          <w:tcPr>
            <w:tcW w:w="6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32,949</w:t>
            </w:r>
          </w:p>
        </w:tc>
        <w:tc>
          <w:tcPr>
            <w:tcW w:w="6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28,940</w:t>
            </w:r>
          </w:p>
        </w:tc>
        <w:tc>
          <w:tcPr>
            <w:tcW w:w="6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112,573</w:t>
            </w:r>
          </w:p>
        </w:tc>
        <w:tc>
          <w:tcPr>
            <w:tcW w:w="6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94,876</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99,397</w:t>
            </w:r>
          </w:p>
        </w:tc>
        <w:tc>
          <w:tcPr>
            <w:tcW w:w="6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60,095</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ind w:left="360"/>
              <w:spacing w:after="0" w:line="144" w:lineRule="exact"/>
              <w:rPr>
                <w:sz w:val="20"/>
                <w:szCs w:val="20"/>
                <w:color w:val="auto"/>
              </w:rPr>
            </w:pPr>
            <w:r>
              <w:rPr>
                <w:rFonts w:ascii="Arial" w:cs="Arial" w:eastAsia="Arial" w:hAnsi="Arial"/>
                <w:sz w:val="14"/>
                <w:szCs w:val="14"/>
                <w:color w:val="auto"/>
              </w:rPr>
              <w:t>British</w:t>
            </w:r>
          </w:p>
        </w:tc>
        <w:tc>
          <w:tcPr>
            <w:tcW w:w="4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14,678</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10,681</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12,439</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9,743</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43,587</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31,802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35,916</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18,509</w:t>
            </w:r>
          </w:p>
        </w:tc>
        <w:tc>
          <w:tcPr>
            <w:tcW w:w="0" w:type="dxa"/>
            <w:vAlign w:val="bottom"/>
          </w:tcPr>
          <w:p>
            <w:pPr>
              <w:spacing w:after="0"/>
              <w:rPr>
                <w:sz w:val="1"/>
                <w:szCs w:val="1"/>
                <w:color w:val="auto"/>
              </w:rPr>
            </w:pPr>
          </w:p>
        </w:tc>
      </w:tr>
      <w:tr>
        <w:trPr>
          <w:trHeight w:val="18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pounds</w:t>
            </w: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360"/>
              <w:spacing w:after="0" w:line="141" w:lineRule="exact"/>
              <w:rPr>
                <w:sz w:val="20"/>
                <w:szCs w:val="20"/>
                <w:color w:val="auto"/>
              </w:rPr>
            </w:pPr>
            <w:r>
              <w:rPr>
                <w:rFonts w:ascii="Arial" w:cs="Arial" w:eastAsia="Arial" w:hAnsi="Arial"/>
                <w:sz w:val="14"/>
                <w:szCs w:val="14"/>
                <w:color w:val="auto"/>
              </w:rPr>
              <w:t>All</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line="138" w:lineRule="exact"/>
              <w:rPr>
                <w:sz w:val="20"/>
                <w:szCs w:val="20"/>
                <w:color w:val="auto"/>
              </w:rPr>
            </w:pPr>
            <w:r>
              <w:rPr>
                <w:rFonts w:ascii="Arial" w:cs="Arial" w:eastAsia="Arial" w:hAnsi="Arial"/>
                <w:sz w:val="14"/>
                <w:szCs w:val="14"/>
                <w:color w:val="auto"/>
              </w:rPr>
              <w:t>other non-</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line="138" w:lineRule="exact"/>
              <w:rPr>
                <w:sz w:val="20"/>
                <w:szCs w:val="20"/>
                <w:color w:val="auto"/>
              </w:rPr>
            </w:pPr>
            <w:r>
              <w:rPr>
                <w:rFonts w:ascii="Arial" w:cs="Arial" w:eastAsia="Arial" w:hAnsi="Arial"/>
                <w:sz w:val="14"/>
                <w:szCs w:val="14"/>
                <w:color w:val="auto"/>
              </w:rPr>
              <w:t>U.S.</w:t>
            </w: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14,261</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12,567</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42,290</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35,770</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40" w:type="dxa"/>
            <w:vAlign w:val="bottom"/>
            <w:tcBorders>
              <w:bottom w:val="single" w:sz="8" w:color="CCEEFF"/>
            </w:tcBorders>
          </w:tcPr>
          <w:p>
            <w:pPr>
              <w:spacing w:after="0" w:line="181" w:lineRule="exact"/>
              <w:rPr>
                <w:sz w:val="20"/>
                <w:szCs w:val="20"/>
                <w:color w:val="auto"/>
              </w:rPr>
            </w:pPr>
            <w:r>
              <w:rPr>
                <w:rFonts w:ascii="Arial" w:cs="Arial" w:eastAsia="Arial" w:hAnsi="Arial"/>
                <w:sz w:val="14"/>
                <w:szCs w:val="14"/>
                <w:color w:val="auto"/>
              </w:rPr>
              <w:t>currencies</w:t>
            </w:r>
            <w:r>
              <w:rPr>
                <w:rFonts w:ascii="Arial" w:cs="Arial" w:eastAsia="Arial" w:hAnsi="Arial"/>
                <w:sz w:val="17"/>
                <w:szCs w:val="17"/>
                <w:color w:val="auto"/>
                <w:vertAlign w:val="superscript"/>
              </w:rPr>
              <w:t>(1)</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ind w:left="460"/>
              <w:spacing w:after="0" w:line="121" w:lineRule="exact"/>
              <w:rPr>
                <w:sz w:val="20"/>
                <w:szCs w:val="20"/>
                <w:color w:val="auto"/>
              </w:rPr>
            </w:pPr>
            <w:r>
              <w:rPr>
                <w:rFonts w:ascii="Arial" w:cs="Arial" w:eastAsia="Arial" w:hAnsi="Arial"/>
                <w:sz w:val="14"/>
                <w:szCs w:val="14"/>
                <w:color w:val="auto"/>
              </w:rPr>
              <w:t>Total</w:t>
            </w:r>
          </w:p>
        </w:tc>
        <w:tc>
          <w:tcPr>
            <w:tcW w:w="4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foreign</w:t>
            </w:r>
          </w:p>
        </w:tc>
        <w:tc>
          <w:tcPr>
            <w:tcW w:w="4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64,869</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57,955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198,450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171,083</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w:t>
            </w: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0" w:type="dxa"/>
            <w:vAlign w:val="bottom"/>
          </w:tcPr>
          <w:p>
            <w:pPr>
              <w:ind w:left="360"/>
              <w:spacing w:after="0"/>
              <w:rPr>
                <w:sz w:val="20"/>
                <w:szCs w:val="20"/>
                <w:color w:val="auto"/>
              </w:rPr>
            </w:pPr>
            <w:r>
              <w:rPr>
                <w:rFonts w:ascii="Arial" w:cs="Arial" w:eastAsia="Arial" w:hAnsi="Arial"/>
                <w:sz w:val="14"/>
                <w:szCs w:val="14"/>
                <w:color w:val="auto"/>
              </w:rPr>
              <w:t>U.S.</w:t>
            </w:r>
          </w:p>
        </w:tc>
        <w:tc>
          <w:tcPr>
            <w:tcW w:w="4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129,570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107,272</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369,182</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314,659</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dollar</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40" w:type="dxa"/>
            <w:vAlign w:val="bottom"/>
            <w:shd w:val="clear" w:color="auto" w:fill="CCEEFF"/>
          </w:tcPr>
          <w:p>
            <w:pPr>
              <w:ind w:left="460"/>
              <w:spacing w:after="0" w:line="124" w:lineRule="exact"/>
              <w:rPr>
                <w:sz w:val="20"/>
                <w:szCs w:val="20"/>
                <w:color w:val="auto"/>
              </w:rPr>
            </w:pPr>
            <w:r>
              <w:rPr>
                <w:rFonts w:ascii="Arial" w:cs="Arial" w:eastAsia="Arial" w:hAnsi="Arial"/>
                <w:sz w:val="14"/>
                <w:szCs w:val="14"/>
                <w:color w:val="auto"/>
              </w:rPr>
              <w:t>Total</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194,439</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165,227</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567,632</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485,742</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CCEEFF"/>
            </w:tcBorders>
            <w:shd w:val="clear" w:color="auto" w:fill="CCEEFF"/>
          </w:tcPr>
          <w:p>
            <w:pPr>
              <w:ind w:left="120"/>
              <w:spacing w:after="0" w:line="158" w:lineRule="exact"/>
              <w:rPr>
                <w:sz w:val="20"/>
                <w:szCs w:val="20"/>
                <w:color w:val="auto"/>
              </w:rPr>
            </w:pPr>
            <w:r>
              <w:rPr>
                <w:rFonts w:ascii="Arial" w:cs="Arial" w:eastAsia="Arial" w:hAnsi="Arial"/>
                <w:sz w:val="14"/>
                <w:szCs w:val="14"/>
                <w:color w:val="auto"/>
              </w:rPr>
              <w:t>revenue</w:t>
            </w: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68" w:hanging="268"/>
        <w:spacing w:after="0"/>
        <w:tabs>
          <w:tab w:leader="none" w:pos="268"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no single currency which exceeded 5% of total revenue for any of the periods presented.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Interest Rate Fluctuation Risk</w:t>
      </w:r>
    </w:p>
    <w:p>
      <w:pPr>
        <w:spacing w:after="0" w:line="103" w:lineRule="exact"/>
        <w:rPr>
          <w:sz w:val="20"/>
          <w:szCs w:val="20"/>
          <w:color w:val="auto"/>
        </w:rPr>
      </w:pPr>
    </w:p>
    <w:p>
      <w:pPr>
        <w:ind w:left="8" w:right="240" w:firstLine="345"/>
        <w:spacing w:after="0" w:line="286" w:lineRule="auto"/>
        <w:rPr>
          <w:sz w:val="20"/>
          <w:szCs w:val="20"/>
          <w:color w:val="auto"/>
        </w:rPr>
      </w:pPr>
      <w:r>
        <w:rPr>
          <w:rFonts w:ascii="Arial" w:cs="Arial" w:eastAsia="Arial" w:hAnsi="Arial"/>
          <w:sz w:val="15"/>
          <w:szCs w:val="15"/>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49" w:lineRule="exact"/>
        <w:rPr>
          <w:sz w:val="20"/>
          <w:szCs w:val="20"/>
          <w:color w:val="auto"/>
        </w:rPr>
      </w:pPr>
    </w:p>
    <w:p>
      <w:pPr>
        <w:ind w:left="348"/>
        <w:spacing w:after="0"/>
        <w:rPr>
          <w:sz w:val="20"/>
          <w:szCs w:val="20"/>
          <w:color w:val="auto"/>
        </w:rPr>
      </w:pPr>
      <w:r>
        <w:rPr>
          <w:rFonts w:ascii="Arial" w:cs="Arial" w:eastAsia="Arial" w:hAnsi="Arial"/>
          <w:sz w:val="15"/>
          <w:szCs w:val="15"/>
          <w:color w:val="auto"/>
        </w:rPr>
        <w:t>We did not have any long-term borrowings as of September 30, 2021.</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Inflation Risk</w:t>
      </w:r>
    </w:p>
    <w:p>
      <w:pPr>
        <w:spacing w:after="0" w:line="103" w:lineRule="exact"/>
        <w:rPr>
          <w:sz w:val="20"/>
          <w:szCs w:val="20"/>
          <w:color w:val="auto"/>
        </w:rPr>
      </w:pPr>
    </w:p>
    <w:p>
      <w:pPr>
        <w:ind w:left="8" w:right="320" w:firstLine="345"/>
        <w:spacing w:after="0" w:line="271" w:lineRule="auto"/>
        <w:rPr>
          <w:sz w:val="20"/>
          <w:szCs w:val="20"/>
          <w:color w:val="auto"/>
        </w:rPr>
      </w:pPr>
      <w:r>
        <w:rPr>
          <w:rFonts w:ascii="Arial" w:cs="Arial" w:eastAsia="Arial" w:hAnsi="Arial"/>
          <w:sz w:val="15"/>
          <w:szCs w:val="15"/>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8"/>
          </w:cols>
          <w:pgMar w:left="312" w:top="129" w:right="239" w:bottom="1440" w:gutter="0" w:footer="0" w:header="0"/>
        </w:sectPr>
      </w:pPr>
    </w:p>
    <w:bookmarkStart w:id="38" w:name="page39"/>
    <w:bookmarkEnd w:id="38"/>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03" w:lineRule="exact"/>
        <w:rPr>
          <w:sz w:val="20"/>
          <w:szCs w:val="20"/>
          <w:color w:val="auto"/>
        </w:rPr>
      </w:pPr>
    </w:p>
    <w:p>
      <w:pPr>
        <w:ind w:firstLine="345"/>
        <w:spacing w:after="0" w:line="282"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evaluated the effectiveness of our disclosure controls and procedures as of September 30,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55" w:lineRule="exact"/>
        <w:rPr>
          <w:sz w:val="20"/>
          <w:szCs w:val="20"/>
          <w:color w:val="auto"/>
        </w:rPr>
      </w:pPr>
    </w:p>
    <w:p>
      <w:pPr>
        <w:ind w:right="120" w:firstLine="345"/>
        <w:spacing w:after="0" w:line="286" w:lineRule="auto"/>
        <w:rPr>
          <w:sz w:val="20"/>
          <w:szCs w:val="20"/>
          <w:color w:val="auto"/>
        </w:rPr>
      </w:pPr>
      <w:r>
        <w:rPr>
          <w:rFonts w:ascii="Arial" w:cs="Arial" w:eastAsia="Arial" w:hAnsi="Arial"/>
          <w:sz w:val="15"/>
          <w:szCs w:val="15"/>
          <w:color w:val="auto"/>
        </w:rPr>
        <w:t>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103" w:lineRule="exact"/>
        <w:rPr>
          <w:sz w:val="20"/>
          <w:szCs w:val="20"/>
          <w:color w:val="auto"/>
        </w:rPr>
      </w:pPr>
    </w:p>
    <w:p>
      <w:pPr>
        <w:ind w:right="260" w:firstLine="345"/>
        <w:spacing w:after="0" w:line="266" w:lineRule="auto"/>
        <w:rPr>
          <w:sz w:val="20"/>
          <w:szCs w:val="20"/>
          <w:color w:val="auto"/>
        </w:rPr>
      </w:pPr>
      <w:r>
        <w:rPr>
          <w:rFonts w:ascii="Arial" w:cs="Arial" w:eastAsia="Arial" w:hAnsi="Arial"/>
          <w:sz w:val="15"/>
          <w:szCs w:val="15"/>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We completed several business combinations and asset acquisitions during 2021 and are in the process of integrating the acquired businesses into our overall internal control over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9" w:name="page40"/>
    <w:bookmarkEnd w:id="3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PART II.</w:t>
        <w:tab/>
        <w:t>OTHER INFORMATION</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142" w:lineRule="exact"/>
        <w:rPr>
          <w:sz w:val="20"/>
          <w:szCs w:val="20"/>
          <w:color w:val="auto"/>
        </w:rPr>
      </w:pPr>
    </w:p>
    <w:p>
      <w:pPr>
        <w:ind w:firstLine="345"/>
        <w:spacing w:after="0" w:line="262" w:lineRule="auto"/>
        <w:rPr>
          <w:sz w:val="20"/>
          <w:szCs w:val="20"/>
          <w:color w:val="auto"/>
        </w:rPr>
      </w:pPr>
      <w:r>
        <w:rPr>
          <w:rFonts w:ascii="Arial" w:cs="Arial" w:eastAsia="Arial" w:hAnsi="Arial"/>
          <w:sz w:val="15"/>
          <w:szCs w:val="15"/>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7" w:lineRule="exact"/>
        <w:rPr>
          <w:sz w:val="20"/>
          <w:szCs w:val="20"/>
          <w:color w:val="auto"/>
        </w:rPr>
      </w:pPr>
    </w:p>
    <w:p>
      <w:pPr>
        <w:jc w:val="both"/>
        <w:ind w:right="160" w:firstLine="345"/>
        <w:spacing w:after="0" w:line="266" w:lineRule="auto"/>
        <w:rPr>
          <w:sz w:val="20"/>
          <w:szCs w:val="20"/>
          <w:color w:val="auto"/>
        </w:rPr>
      </w:pPr>
      <w:r>
        <w:rPr>
          <w:rFonts w:ascii="Arial" w:cs="Arial" w:eastAsia="Arial" w:hAnsi="Arial"/>
          <w:sz w:val="15"/>
          <w:szCs w:val="15"/>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2020 Form 10-K, which could materially affect our business, financial condition or future results. During the three months ended September 30, 2021, there were no material changes to these risk factors as described in our 2020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0" w:name="page41"/>
    <w:bookmarkEnd w:id="40"/>
    <w:p>
      <w:pPr>
        <w:ind w:left="27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960" w:type="dxa"/>
            <w:vAlign w:val="bottom"/>
          </w:tcPr>
          <w:p>
            <w:pPr>
              <w:spacing w:after="0"/>
              <w:rPr>
                <w:sz w:val="17"/>
                <w:szCs w:val="17"/>
                <w:color w:val="auto"/>
              </w:rPr>
            </w:pPr>
          </w:p>
        </w:tc>
        <w:tc>
          <w:tcPr>
            <w:tcW w:w="9700" w:type="dxa"/>
            <w:vAlign w:val="bottom"/>
            <w:gridSpan w:val="3"/>
          </w:tcPr>
          <w:p>
            <w:pPr>
              <w:ind w:left="4000"/>
              <w:spacing w:after="0"/>
              <w:rPr>
                <w:sz w:val="20"/>
                <w:szCs w:val="20"/>
                <w:color w:val="auto"/>
              </w:rPr>
            </w:pPr>
            <w:r>
              <w:rPr>
                <w:rFonts w:ascii="Arial" w:cs="Arial" w:eastAsia="Arial" w:hAnsi="Arial"/>
                <w:sz w:val="15"/>
                <w:szCs w:val="15"/>
                <w:b w:val="1"/>
                <w:bCs w:val="1"/>
                <w:color w:val="auto"/>
              </w:rPr>
              <w:t>EXHIBIT INDEX</w:t>
            </w:r>
          </w:p>
        </w:tc>
      </w:tr>
      <w:tr>
        <w:trPr>
          <w:trHeight w:val="174"/>
        </w:trPr>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Exhibit</w:t>
            </w:r>
          </w:p>
        </w:tc>
        <w:tc>
          <w:tcPr>
            <w:tcW w:w="9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61"/>
        </w:trPr>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Number</w:t>
            </w:r>
          </w:p>
        </w:tc>
        <w:tc>
          <w:tcPr>
            <w:tcW w:w="9700" w:type="dxa"/>
            <w:vAlign w:val="bottom"/>
            <w:gridSpan w:val="3"/>
          </w:tcPr>
          <w:p>
            <w:pPr>
              <w:ind w:left="4560"/>
              <w:spacing w:after="0"/>
              <w:rPr>
                <w:sz w:val="20"/>
                <w:szCs w:val="20"/>
                <w:color w:val="auto"/>
              </w:rPr>
            </w:pPr>
            <w:r>
              <w:rPr>
                <w:rFonts w:ascii="Arial" w:cs="Arial" w:eastAsia="Arial" w:hAnsi="Arial"/>
                <w:sz w:val="12"/>
                <w:szCs w:val="12"/>
                <w:b w:val="1"/>
                <w:bCs w:val="1"/>
                <w:color w:val="auto"/>
              </w:rPr>
              <w:t>Exhibit Description</w:t>
            </w:r>
          </w:p>
        </w:tc>
      </w:tr>
      <w:tr>
        <w:trPr>
          <w:trHeight w:val="159"/>
        </w:trPr>
        <w:tc>
          <w:tcPr>
            <w:tcW w:w="960" w:type="dxa"/>
            <w:vAlign w:val="bottom"/>
          </w:tcPr>
          <w:p>
            <w:pPr>
              <w:spacing w:after="0" w:line="159" w:lineRule="exact"/>
              <w:rPr>
                <w:sz w:val="20"/>
                <w:szCs w:val="20"/>
                <w:color w:val="auto"/>
              </w:rPr>
            </w:pPr>
            <w:r>
              <w:rPr>
                <w:rFonts w:ascii="Arial" w:cs="Arial" w:eastAsia="Arial" w:hAnsi="Arial"/>
                <w:sz w:val="14"/>
                <w:szCs w:val="14"/>
                <w:color w:val="auto"/>
              </w:rPr>
              <w:t>31.1#</w:t>
            </w:r>
          </w:p>
        </w:tc>
        <w:tc>
          <w:tcPr>
            <w:tcW w:w="9360" w:type="dxa"/>
            <w:vAlign w:val="bottom"/>
            <w:tcBorders>
              <w:bottom w:val="single" w:sz="8" w:color="0000FF"/>
            </w:tcBorders>
            <w:gridSpan w:val="2"/>
          </w:tcPr>
          <w:p>
            <w:pPr>
              <w:spacing w:after="0" w:line="159" w:lineRule="exact"/>
              <w:rPr>
                <w:rFonts w:ascii="Arial" w:cs="Arial" w:eastAsia="Arial" w:hAnsi="Arial"/>
                <w:sz w:val="14"/>
                <w:szCs w:val="14"/>
                <w:color w:val="0000FF"/>
                <w:w w:val="89"/>
              </w:rPr>
            </w:pPr>
            <w:hyperlink w:anchor="page43">
              <w:r>
                <w:rPr>
                  <w:rFonts w:ascii="Arial" w:cs="Arial" w:eastAsia="Arial" w:hAnsi="Arial"/>
                  <w:sz w:val="14"/>
                  <w:szCs w:val="14"/>
                  <w:color w:val="0000FF"/>
                  <w:w w:val="89"/>
                </w:rPr>
                <w:t>Certification of Chief Executive Officer pursuant to Exchange Act Rules 13a-14(a) and 15d-14(a), as adopted pursuant to Section 302 of the Sarbanes-Oxley Act of 2002</w:t>
              </w:r>
            </w:hyperlink>
          </w:p>
        </w:tc>
        <w:tc>
          <w:tcPr>
            <w:tcW w:w="340" w:type="dxa"/>
            <w:vAlign w:val="bottom"/>
          </w:tcPr>
          <w:p>
            <w:pPr>
              <w:spacing w:after="0"/>
              <w:rPr>
                <w:sz w:val="13"/>
                <w:szCs w:val="13"/>
                <w:color w:val="auto"/>
              </w:rPr>
            </w:pPr>
          </w:p>
        </w:tc>
      </w:tr>
      <w:tr>
        <w:trPr>
          <w:trHeight w:val="164"/>
        </w:trPr>
        <w:tc>
          <w:tcPr>
            <w:tcW w:w="960" w:type="dxa"/>
            <w:vAlign w:val="bottom"/>
          </w:tcPr>
          <w:p>
            <w:pPr>
              <w:spacing w:after="0"/>
              <w:rPr>
                <w:sz w:val="20"/>
                <w:szCs w:val="20"/>
                <w:color w:val="auto"/>
              </w:rPr>
            </w:pPr>
            <w:r>
              <w:rPr>
                <w:rFonts w:ascii="Arial" w:cs="Arial" w:eastAsia="Arial" w:hAnsi="Arial"/>
                <w:sz w:val="14"/>
                <w:szCs w:val="14"/>
                <w:color w:val="auto"/>
              </w:rPr>
              <w:t>31.2#</w:t>
            </w:r>
          </w:p>
        </w:tc>
        <w:tc>
          <w:tcPr>
            <w:tcW w:w="9320" w:type="dxa"/>
            <w:vAlign w:val="bottom"/>
            <w:tcBorders>
              <w:bottom w:val="single" w:sz="8" w:color="0000FF"/>
            </w:tcBorders>
          </w:tcPr>
          <w:p>
            <w:pPr>
              <w:spacing w:after="0"/>
              <w:rPr>
                <w:rFonts w:ascii="Arial" w:cs="Arial" w:eastAsia="Arial" w:hAnsi="Arial"/>
                <w:sz w:val="14"/>
                <w:szCs w:val="14"/>
                <w:color w:val="0000FF"/>
                <w:w w:val="89"/>
              </w:rPr>
            </w:pPr>
            <w:hyperlink w:anchor="page44">
              <w:r>
                <w:rPr>
                  <w:rFonts w:ascii="Arial" w:cs="Arial" w:eastAsia="Arial" w:hAnsi="Arial"/>
                  <w:sz w:val="14"/>
                  <w:szCs w:val="14"/>
                  <w:color w:val="0000FF"/>
                  <w:w w:val="89"/>
                </w:rPr>
                <w:t>Certification of Chief Financial Officer pursuant to Exchange Act Rules 13a-14(a) and 15d-14(a), as adopted pursuant to Section 302 of the Sarbanes-Oxley Act of 2002</w:t>
              </w:r>
            </w:hyperlink>
          </w:p>
        </w:tc>
        <w:tc>
          <w:tcPr>
            <w:tcW w:w="380" w:type="dxa"/>
            <w:vAlign w:val="bottom"/>
            <w:gridSpan w:val="2"/>
          </w:tcPr>
          <w:p>
            <w:pPr>
              <w:spacing w:after="0"/>
              <w:rPr>
                <w:sz w:val="14"/>
                <w:szCs w:val="14"/>
                <w:color w:val="auto"/>
              </w:rPr>
            </w:pPr>
          </w:p>
        </w:tc>
      </w:tr>
      <w:tr>
        <w:trPr>
          <w:trHeight w:val="164"/>
        </w:trPr>
        <w:tc>
          <w:tcPr>
            <w:tcW w:w="960" w:type="dxa"/>
            <w:vAlign w:val="bottom"/>
          </w:tcPr>
          <w:p>
            <w:pPr>
              <w:spacing w:after="0"/>
              <w:rPr>
                <w:sz w:val="20"/>
                <w:szCs w:val="20"/>
                <w:color w:val="auto"/>
              </w:rPr>
            </w:pPr>
            <w:r>
              <w:rPr>
                <w:rFonts w:ascii="Arial" w:cs="Arial" w:eastAsia="Arial" w:hAnsi="Arial"/>
                <w:sz w:val="14"/>
                <w:szCs w:val="14"/>
                <w:color w:val="auto"/>
              </w:rPr>
              <w:t>32#</w:t>
            </w:r>
          </w:p>
        </w:tc>
        <w:tc>
          <w:tcPr>
            <w:tcW w:w="9700" w:type="dxa"/>
            <w:vAlign w:val="bottom"/>
            <w:tcBorders>
              <w:bottom w:val="single" w:sz="8" w:color="0000FF"/>
            </w:tcBorders>
            <w:gridSpan w:val="3"/>
          </w:tcPr>
          <w:p>
            <w:pPr>
              <w:spacing w:after="0"/>
              <w:rPr>
                <w:rFonts w:ascii="Arial" w:cs="Arial" w:eastAsia="Arial" w:hAnsi="Arial"/>
                <w:sz w:val="14"/>
                <w:szCs w:val="14"/>
                <w:color w:val="0000FF"/>
                <w:w w:val="90"/>
              </w:rPr>
            </w:pPr>
            <w:hyperlink w:anchor="page45">
              <w:r>
                <w:rPr>
                  <w:rFonts w:ascii="Arial" w:cs="Arial" w:eastAsia="Arial" w:hAnsi="Arial"/>
                  <w:sz w:val="14"/>
                  <w:szCs w:val="14"/>
                  <w:color w:val="0000FF"/>
                  <w:w w:val="90"/>
                </w:rPr>
                <w:t>Certification of Chief Executive Officer and Chief Financial Officer pursuant to 18 U.S.C. Section 1350, as adopted pursuant to Section 906 of the Sarbanes-Oxley Act of 2002</w:t>
              </w:r>
            </w:hyperlink>
          </w:p>
        </w:tc>
      </w:tr>
      <w:tr>
        <w:trPr>
          <w:trHeight w:val="192"/>
        </w:trPr>
        <w:tc>
          <w:tcPr>
            <w:tcW w:w="960" w:type="dxa"/>
            <w:vAlign w:val="bottom"/>
          </w:tcPr>
          <w:p>
            <w:pPr>
              <w:spacing w:after="0"/>
              <w:rPr>
                <w:sz w:val="20"/>
                <w:szCs w:val="20"/>
                <w:color w:val="auto"/>
              </w:rPr>
            </w:pPr>
            <w:r>
              <w:rPr>
                <w:rFonts w:ascii="Arial" w:cs="Arial" w:eastAsia="Arial" w:hAnsi="Arial"/>
                <w:sz w:val="14"/>
                <w:szCs w:val="14"/>
                <w:color w:val="auto"/>
              </w:rPr>
              <w:t>101.INS</w:t>
            </w:r>
          </w:p>
        </w:tc>
        <w:tc>
          <w:tcPr>
            <w:tcW w:w="9700" w:type="dxa"/>
            <w:vAlign w:val="bottom"/>
            <w:gridSpan w:val="3"/>
          </w:tcPr>
          <w:p>
            <w:pPr>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File because its XBRL tags are embedded within the Inline XBRL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101.SCH</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Schema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101.CAL</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101.DEF</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101.LAB</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101.PRE</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9" w:lineRule="exact"/>
        <w:rPr>
          <w:sz w:val="20"/>
          <w:szCs w:val="20"/>
          <w:color w:val="auto"/>
        </w:rPr>
      </w:pPr>
    </w:p>
    <w:p>
      <w:pPr>
        <w:ind w:left="970" w:hanging="970"/>
        <w:spacing w:after="0"/>
        <w:tabs>
          <w:tab w:leader="none" w:pos="97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89" w:lineRule="exact"/>
        <w:rPr>
          <w:rFonts w:ascii="Arial" w:cs="Arial" w:eastAsia="Arial" w:hAnsi="Arial"/>
          <w:sz w:val="14"/>
          <w:szCs w:val="14"/>
          <w:color w:val="auto"/>
        </w:rPr>
      </w:pPr>
    </w:p>
    <w:p>
      <w:pPr>
        <w:ind w:left="270"/>
        <w:spacing w:after="0"/>
        <w:rPr>
          <w:rFonts w:ascii="Arial" w:cs="Arial" w:eastAsia="Arial" w:hAnsi="Arial"/>
          <w:sz w:val="14"/>
          <w:szCs w:val="14"/>
          <w:color w:val="auto"/>
        </w:rPr>
      </w:pPr>
      <w:r>
        <w:rPr>
          <w:rFonts w:ascii="Arial" w:cs="Arial" w:eastAsia="Arial" w:hAnsi="Arial"/>
          <w:sz w:val="15"/>
          <w:szCs w:val="15"/>
          <w:color w:val="auto"/>
        </w:rPr>
        <w:t>______________________________________</w:t>
      </w:r>
    </w:p>
    <w:p>
      <w:pPr>
        <w:spacing w:after="0" w:line="98" w:lineRule="exact"/>
        <w:rPr>
          <w:rFonts w:ascii="Arial" w:cs="Arial" w:eastAsia="Arial" w:hAnsi="Arial"/>
          <w:sz w:val="14"/>
          <w:szCs w:val="14"/>
          <w:color w:val="auto"/>
        </w:rPr>
      </w:pPr>
    </w:p>
    <w:p>
      <w:pPr>
        <w:ind w:left="270"/>
        <w:spacing w:after="0"/>
        <w:rPr>
          <w:rFonts w:ascii="Arial" w:cs="Arial" w:eastAsia="Arial" w:hAnsi="Arial"/>
          <w:sz w:val="14"/>
          <w:szCs w:val="14"/>
          <w:color w:val="auto"/>
        </w:rPr>
      </w:pPr>
      <w:r>
        <w:rPr>
          <w:rFonts w:ascii="Arial" w:cs="Arial" w:eastAsia="Arial" w:hAnsi="Arial"/>
          <w:sz w:val="12"/>
          <w:szCs w:val="12"/>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50"/>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118110</wp:posOffset>
            </wp:positionV>
            <wp:extent cx="717804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670"/>
          </w:cols>
          <w:pgMar w:left="390" w:top="129" w:right="839" w:bottom="1440" w:gutter="0" w:footer="0" w:header="0"/>
        </w:sectPr>
      </w:pPr>
    </w:p>
    <w:bookmarkStart w:id="41" w:name="page42"/>
    <w:bookmarkEnd w:id="41"/>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314" w:lineRule="exact"/>
        <w:rPr>
          <w:sz w:val="20"/>
          <w:szCs w:val="20"/>
          <w:color w:val="auto"/>
        </w:rPr>
      </w:pPr>
    </w:p>
    <w:p>
      <w:pPr>
        <w:ind w:right="440" w:firstLine="345"/>
        <w:spacing w:after="0" w:line="27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9"/>
        </w:trPr>
        <w:tc>
          <w:tcPr>
            <w:tcW w:w="3400" w:type="dxa"/>
            <w:vAlign w:val="bottom"/>
          </w:tcPr>
          <w:p>
            <w:pPr>
              <w:spacing w:after="0"/>
              <w:rPr>
                <w:sz w:val="15"/>
                <w:szCs w:val="15"/>
                <w:color w:val="auto"/>
              </w:rPr>
            </w:pPr>
          </w:p>
        </w:tc>
        <w:tc>
          <w:tcPr>
            <w:tcW w:w="7480" w:type="dxa"/>
            <w:vAlign w:val="bottom"/>
            <w:gridSpan w:val="2"/>
          </w:tcPr>
          <w:p>
            <w:pPr>
              <w:ind w:left="2040"/>
              <w:spacing w:after="0"/>
              <w:rPr>
                <w:sz w:val="20"/>
                <w:szCs w:val="20"/>
                <w:color w:val="auto"/>
              </w:rPr>
            </w:pPr>
            <w:r>
              <w:rPr>
                <w:rFonts w:ascii="Arial" w:cs="Arial" w:eastAsia="Arial" w:hAnsi="Arial"/>
                <w:sz w:val="14"/>
                <w:szCs w:val="14"/>
                <w:b w:val="1"/>
                <w:bCs w:val="1"/>
                <w:color w:val="auto"/>
              </w:rPr>
              <w:t>SHUTTERSTOCK, INC.</w:t>
            </w:r>
          </w:p>
        </w:tc>
      </w:tr>
      <w:tr>
        <w:trPr>
          <w:trHeight w:val="371"/>
        </w:trPr>
        <w:tc>
          <w:tcPr>
            <w:tcW w:w="3400" w:type="dxa"/>
            <w:vAlign w:val="bottom"/>
          </w:tcPr>
          <w:p>
            <w:pPr>
              <w:spacing w:after="0"/>
              <w:rPr>
                <w:sz w:val="20"/>
                <w:szCs w:val="20"/>
                <w:color w:val="auto"/>
              </w:rPr>
            </w:pPr>
            <w:r>
              <w:rPr>
                <w:rFonts w:ascii="Arial" w:cs="Arial" w:eastAsia="Arial" w:hAnsi="Arial"/>
                <w:sz w:val="14"/>
                <w:szCs w:val="14"/>
                <w:color w:val="auto"/>
              </w:rPr>
              <w:t>Dated: October 26, 2021</w:t>
            </w:r>
          </w:p>
        </w:tc>
        <w:tc>
          <w:tcPr>
            <w:tcW w:w="2340" w:type="dxa"/>
            <w:vAlign w:val="bottom"/>
          </w:tcPr>
          <w:p>
            <w:pPr>
              <w:ind w:left="204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 Jarrod Yahes</w:t>
            </w:r>
          </w:p>
        </w:tc>
      </w:tr>
      <w:tr>
        <w:trPr>
          <w:trHeight w:val="172"/>
        </w:trPr>
        <w:tc>
          <w:tcPr>
            <w:tcW w:w="3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140" w:type="dxa"/>
            <w:vAlign w:val="bottom"/>
          </w:tcPr>
          <w:p>
            <w:pPr>
              <w:ind w:left="360"/>
              <w:spacing w:after="0"/>
              <w:rPr>
                <w:sz w:val="20"/>
                <w:szCs w:val="20"/>
                <w:color w:val="auto"/>
              </w:rPr>
            </w:pPr>
            <w:r>
              <w:rPr>
                <w:rFonts w:ascii="Arial" w:cs="Arial" w:eastAsia="Arial" w:hAnsi="Arial"/>
                <w:sz w:val="14"/>
                <w:szCs w:val="14"/>
                <w:color w:val="auto"/>
              </w:rPr>
              <w:t>Jarrod Yahes</w:t>
            </w:r>
          </w:p>
        </w:tc>
      </w:tr>
      <w:tr>
        <w:trPr>
          <w:trHeight w:val="184"/>
        </w:trPr>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Chief Financial Officer</w:t>
            </w:r>
          </w:p>
        </w:tc>
      </w:tr>
      <w:tr>
        <w:trPr>
          <w:trHeight w:val="184"/>
        </w:trPr>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(Principal Financial Officer)</w:t>
            </w:r>
          </w:p>
        </w:tc>
      </w:tr>
      <w:tr>
        <w:trPr>
          <w:trHeight w:val="371"/>
        </w:trPr>
        <w:tc>
          <w:tcPr>
            <w:tcW w:w="3400" w:type="dxa"/>
            <w:vAlign w:val="bottom"/>
          </w:tcPr>
          <w:p>
            <w:pPr>
              <w:spacing w:after="0"/>
              <w:rPr>
                <w:sz w:val="20"/>
                <w:szCs w:val="20"/>
                <w:color w:val="auto"/>
              </w:rPr>
            </w:pPr>
            <w:r>
              <w:rPr>
                <w:rFonts w:ascii="Arial" w:cs="Arial" w:eastAsia="Arial" w:hAnsi="Arial"/>
                <w:sz w:val="14"/>
                <w:szCs w:val="14"/>
                <w:color w:val="auto"/>
              </w:rPr>
              <w:t>Dated: October 26, 2021</w:t>
            </w:r>
          </w:p>
        </w:tc>
        <w:tc>
          <w:tcPr>
            <w:tcW w:w="2340" w:type="dxa"/>
            <w:vAlign w:val="bottom"/>
          </w:tcPr>
          <w:p>
            <w:pPr>
              <w:ind w:left="204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 Steven Ciardiello</w:t>
            </w:r>
          </w:p>
        </w:tc>
      </w:tr>
      <w:tr>
        <w:trPr>
          <w:trHeight w:val="172"/>
        </w:trPr>
        <w:tc>
          <w:tcPr>
            <w:tcW w:w="3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140" w:type="dxa"/>
            <w:vAlign w:val="bottom"/>
          </w:tcPr>
          <w:p>
            <w:pPr>
              <w:ind w:left="360"/>
              <w:spacing w:after="0"/>
              <w:rPr>
                <w:sz w:val="20"/>
                <w:szCs w:val="20"/>
                <w:color w:val="auto"/>
              </w:rPr>
            </w:pPr>
            <w:r>
              <w:rPr>
                <w:rFonts w:ascii="Arial" w:cs="Arial" w:eastAsia="Arial" w:hAnsi="Arial"/>
                <w:sz w:val="14"/>
                <w:szCs w:val="14"/>
                <w:color w:val="auto"/>
              </w:rPr>
              <w:t>Steven Ciardiello</w:t>
            </w:r>
          </w:p>
        </w:tc>
      </w:tr>
      <w:tr>
        <w:trPr>
          <w:trHeight w:val="184"/>
        </w:trPr>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Chief Accounting Officer</w:t>
            </w:r>
          </w:p>
        </w:tc>
      </w:tr>
      <w:tr>
        <w:trPr>
          <w:trHeight w:val="184"/>
        </w:trPr>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240"/>
          </w:cols>
          <w:pgMar w:left="320" w:top="12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31.1</w:t>
      </w:r>
    </w:p>
    <w:p>
      <w:pPr>
        <w:spacing w:after="0" w:line="161" w:lineRule="exact"/>
        <w:rPr>
          <w:sz w:val="20"/>
          <w:szCs w:val="20"/>
          <w:color w:val="auto"/>
        </w:rPr>
      </w:pPr>
    </w:p>
    <w:p>
      <w:pPr>
        <w:jc w:val="center"/>
        <w:ind w:right="20"/>
        <w:spacing w:after="0" w:line="253"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 Stan Pavlovsky, certify that:</w:t>
      </w:r>
    </w:p>
    <w:p>
      <w:pPr>
        <w:spacing w:after="0" w:line="161" w:lineRule="exact"/>
        <w:rPr>
          <w:sz w:val="20"/>
          <w:szCs w:val="20"/>
          <w:color w:val="auto"/>
        </w:rPr>
      </w:pPr>
    </w:p>
    <w:p>
      <w:pPr>
        <w:ind w:left="720" w:hanging="452"/>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Shutterstock, Inc.;</w:t>
      </w:r>
    </w:p>
    <w:p>
      <w:pPr>
        <w:spacing w:after="0" w:line="160" w:lineRule="exact"/>
        <w:rPr>
          <w:rFonts w:ascii="Arial" w:cs="Arial" w:eastAsia="Arial" w:hAnsi="Arial"/>
          <w:sz w:val="14"/>
          <w:szCs w:val="14"/>
          <w:color w:val="auto"/>
        </w:rPr>
      </w:pPr>
    </w:p>
    <w:p>
      <w:pPr>
        <w:ind w:left="260" w:right="760" w:firstLine="8"/>
        <w:spacing w:after="0" w:line="260" w:lineRule="auto"/>
        <w:tabs>
          <w:tab w:leader="none" w:pos="708"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260" w:right="240" w:firstLine="8"/>
        <w:spacing w:after="0" w:line="260" w:lineRule="auto"/>
        <w:tabs>
          <w:tab w:leader="none" w:pos="708"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260" w:right="80" w:firstLine="8"/>
        <w:spacing w:after="0" w:line="260" w:lineRule="auto"/>
        <w:tabs>
          <w:tab w:leader="none" w:pos="70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540" w:right="40" w:firstLine="4"/>
        <w:spacing w:after="0" w:line="299" w:lineRule="auto"/>
        <w:tabs>
          <w:tab w:leader="none" w:pos="981" w:val="left"/>
        </w:tabs>
        <w:numPr>
          <w:ilvl w:val="1"/>
          <w:numId w:val="1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540" w:right="240" w:firstLine="4"/>
        <w:spacing w:after="0" w:line="299" w:lineRule="auto"/>
        <w:tabs>
          <w:tab w:leader="none" w:pos="988" w:val="left"/>
        </w:tabs>
        <w:numPr>
          <w:ilvl w:val="1"/>
          <w:numId w:val="1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3"/>
          <w:szCs w:val="13"/>
          <w:color w:val="auto"/>
        </w:rPr>
      </w:pPr>
    </w:p>
    <w:p>
      <w:pPr>
        <w:ind w:left="540" w:right="420" w:firstLine="4"/>
        <w:spacing w:after="0" w:line="260" w:lineRule="auto"/>
        <w:tabs>
          <w:tab w:leader="none" w:pos="981" w:val="left"/>
        </w:tabs>
        <w:numPr>
          <w:ilvl w:val="1"/>
          <w:numId w:val="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540" w:right="80" w:firstLine="4"/>
        <w:spacing w:after="0" w:line="299" w:lineRule="auto"/>
        <w:tabs>
          <w:tab w:leader="none" w:pos="988" w:val="left"/>
        </w:tabs>
        <w:numPr>
          <w:ilvl w:val="1"/>
          <w:numId w:val="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3"/>
          <w:szCs w:val="13"/>
          <w:color w:val="auto"/>
        </w:rPr>
      </w:pPr>
    </w:p>
    <w:p>
      <w:pPr>
        <w:ind w:left="260" w:right="560" w:firstLine="8"/>
        <w:spacing w:after="0" w:line="260" w:lineRule="auto"/>
        <w:tabs>
          <w:tab w:leader="none" w:pos="70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540" w:right="140" w:firstLine="4"/>
        <w:spacing w:after="0" w:line="260" w:lineRule="auto"/>
        <w:tabs>
          <w:tab w:leader="none" w:pos="973" w:val="left"/>
        </w:tabs>
        <w:numPr>
          <w:ilvl w:val="1"/>
          <w:numId w:val="1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980" w:hanging="436"/>
        <w:spacing w:after="0"/>
        <w:tabs>
          <w:tab w:leader="none" w:pos="9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4"/>
          <w:szCs w:val="14"/>
          <w:color w:val="auto"/>
        </w:rPr>
        <w:t>Date: October 26,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12700</wp:posOffset>
            </wp:positionV>
            <wp:extent cx="326961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Stan Pavlovsky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60"/>
          </w:cols>
          <w:pgMar w:left="320" w:top="782"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31.2</w:t>
      </w:r>
    </w:p>
    <w:p>
      <w:pPr>
        <w:spacing w:after="0" w:line="161" w:lineRule="exact"/>
        <w:rPr>
          <w:sz w:val="20"/>
          <w:szCs w:val="20"/>
          <w:color w:val="auto"/>
        </w:rPr>
      </w:pPr>
    </w:p>
    <w:p>
      <w:pPr>
        <w:jc w:val="center"/>
        <w:ind w:right="20"/>
        <w:spacing w:after="0" w:line="253"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 Jarrod Yahes, certify that:</w:t>
      </w:r>
    </w:p>
    <w:p>
      <w:pPr>
        <w:spacing w:after="0" w:line="161" w:lineRule="exact"/>
        <w:rPr>
          <w:sz w:val="20"/>
          <w:szCs w:val="20"/>
          <w:color w:val="auto"/>
        </w:rPr>
      </w:pPr>
    </w:p>
    <w:p>
      <w:pPr>
        <w:ind w:left="720" w:hanging="452"/>
        <w:spacing w:after="0"/>
        <w:tabs>
          <w:tab w:leader="none" w:pos="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Shutterstock, Inc.;</w:t>
      </w:r>
    </w:p>
    <w:p>
      <w:pPr>
        <w:spacing w:after="0" w:line="160" w:lineRule="exact"/>
        <w:rPr>
          <w:rFonts w:ascii="Arial" w:cs="Arial" w:eastAsia="Arial" w:hAnsi="Arial"/>
          <w:sz w:val="14"/>
          <w:szCs w:val="14"/>
          <w:color w:val="auto"/>
        </w:rPr>
      </w:pPr>
    </w:p>
    <w:p>
      <w:pPr>
        <w:ind w:left="260" w:right="760" w:firstLine="8"/>
        <w:spacing w:after="0" w:line="260" w:lineRule="auto"/>
        <w:tabs>
          <w:tab w:leader="none" w:pos="708"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260" w:right="240" w:firstLine="8"/>
        <w:spacing w:after="0" w:line="260" w:lineRule="auto"/>
        <w:tabs>
          <w:tab w:leader="none" w:pos="708"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260" w:right="80" w:firstLine="8"/>
        <w:spacing w:after="0" w:line="260" w:lineRule="auto"/>
        <w:tabs>
          <w:tab w:leader="none" w:pos="70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540" w:right="40" w:firstLine="4"/>
        <w:spacing w:after="0" w:line="299" w:lineRule="auto"/>
        <w:tabs>
          <w:tab w:leader="none" w:pos="981"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540" w:right="240" w:firstLine="4"/>
        <w:spacing w:after="0" w:line="299" w:lineRule="auto"/>
        <w:tabs>
          <w:tab w:leader="none" w:pos="988"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3"/>
          <w:szCs w:val="13"/>
          <w:color w:val="auto"/>
        </w:rPr>
      </w:pPr>
    </w:p>
    <w:p>
      <w:pPr>
        <w:ind w:left="540" w:right="420" w:firstLine="4"/>
        <w:spacing w:after="0" w:line="260" w:lineRule="auto"/>
        <w:tabs>
          <w:tab w:leader="none" w:pos="981" w:val="left"/>
        </w:tabs>
        <w:numPr>
          <w:ilvl w:val="1"/>
          <w:numId w:val="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540" w:right="80" w:firstLine="4"/>
        <w:spacing w:after="0" w:line="299" w:lineRule="auto"/>
        <w:tabs>
          <w:tab w:leader="none" w:pos="988"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3"/>
          <w:szCs w:val="13"/>
          <w:color w:val="auto"/>
        </w:rPr>
      </w:pPr>
    </w:p>
    <w:p>
      <w:pPr>
        <w:ind w:left="260" w:right="560" w:firstLine="8"/>
        <w:spacing w:after="0" w:line="260" w:lineRule="auto"/>
        <w:tabs>
          <w:tab w:leader="none" w:pos="70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540" w:right="140" w:firstLine="4"/>
        <w:spacing w:after="0" w:line="260" w:lineRule="auto"/>
        <w:tabs>
          <w:tab w:leader="none" w:pos="973" w:val="left"/>
        </w:tabs>
        <w:numPr>
          <w:ilvl w:val="1"/>
          <w:numId w:val="1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980" w:hanging="436"/>
        <w:spacing w:after="0"/>
        <w:tabs>
          <w:tab w:leader="none" w:pos="9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4"/>
          <w:szCs w:val="14"/>
          <w:color w:val="auto"/>
        </w:rPr>
        <w:t>Date: October 26,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12700</wp:posOffset>
            </wp:positionV>
            <wp:extent cx="318960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9605" cy="6985"/>
                    </a:xfrm>
                    <a:prstGeom prst="rect">
                      <a:avLst/>
                    </a:prstGeom>
                    <a:noFill/>
                  </pic:spPr>
                </pic:pic>
              </a:graphicData>
            </a:graphic>
          </wp:anchor>
        </w:drawing>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Jarrod Yahes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Chief Financial Officer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60"/>
          </w:cols>
          <w:pgMar w:left="320" w:top="782"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49"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September 30, 2021 as filed with the Securities and Exchange Commission on the date hereof (the “Report”), I, Stan Pavlovsky,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9"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4"/>
          <w:szCs w:val="14"/>
          <w:color w:val="auto"/>
        </w:rPr>
        <w:t>Date: October 26,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12700</wp:posOffset>
            </wp:positionV>
            <wp:extent cx="326961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Stan Pavlovsky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Executive Officer)</w:t>
      </w:r>
    </w:p>
    <w:p>
      <w:pPr>
        <w:spacing w:after="0" w:line="253"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September 30, 2021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9"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4"/>
          <w:szCs w:val="14"/>
          <w:color w:val="auto"/>
        </w:rPr>
        <w:t>Date: October 26,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12700</wp:posOffset>
            </wp:positionV>
            <wp:extent cx="32696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Jarrod Yahes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Financial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Financial Officer)</w:t>
      </w:r>
    </w:p>
    <w:sectPr>
      <w:pgSz w:w="11900" w:h="16838" w:orient="portrait"/>
      <w:cols w:equalWidth="0" w:num="1">
        <w:col w:w="11260"/>
      </w:cols>
      <w:pgMar w:left="320" w:top="78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2021-10-26T06:08:14Z</dcterms:created>
  <dcterms:modified xsi:type="dcterms:W3CDTF">2021-10-26T06:08:14Z</dcterms:modified>
</cp:coreProperties>
</file>