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5" w:lineRule="exact"/>
        <w:rPr>
          <w:rFonts w:ascii="MS PGothic" w:cs="MS PGothic" w:eastAsia="MS PGothic" w:hAnsi="MS PGothic"/>
          <w:sz w:val="15"/>
          <w:szCs w:val="15"/>
          <w:color w:val="auto"/>
        </w:rPr>
      </w:pPr>
    </w:p>
    <w:p>
      <w:pPr>
        <w:ind w:left="406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3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646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710-3417</w:t>
      </w:r>
    </w:p>
    <w:p>
      <w:pPr>
        <w:spacing w:after="0" w:line="3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0"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2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99" w:lineRule="exact"/>
        <w:rPr>
          <w:sz w:val="24"/>
          <w:szCs w:val="24"/>
          <w:color w:val="auto"/>
        </w:rPr>
      </w:pPr>
    </w:p>
    <w:p>
      <w:pPr>
        <w:ind w:right="420" w:firstLine="395"/>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9" w:lineRule="exact"/>
        <w:rPr>
          <w:sz w:val="24"/>
          <w:szCs w:val="24"/>
          <w:color w:val="auto"/>
        </w:rPr>
      </w:pPr>
    </w:p>
    <w:p>
      <w:pPr>
        <w:ind w:right="180" w:firstLine="395"/>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April 21, 2023, 36,050,788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40" w:type="dxa"/>
            <w:vAlign w:val="bottom"/>
            <w:gridSpan w:val="2"/>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6"/>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7"/>
              </w:rPr>
              <w:t>For the Quarterly Period Ended March 31, 2023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26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60" w:type="dxa"/>
            <w:vAlign w:val="bottom"/>
            <w:gridSpan w:val="22"/>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7"/>
          </w:tcPr>
          <w:p>
            <w:pPr>
              <w:ind w:left="120"/>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7"/>
              </w:rPr>
              <w:t>Consolidated Balance Sheets</w:t>
            </w:r>
          </w:p>
        </w:tc>
        <w:tc>
          <w:tcPr>
            <w:tcW w:w="160" w:type="dxa"/>
            <w:vAlign w:val="bottom"/>
            <w:tcBorders>
              <w:top w:val="single" w:sz="8" w:color="0000FF"/>
            </w:tcBorders>
          </w:tcPr>
          <w:p>
            <w:pPr>
              <w:spacing w:after="0"/>
              <w:rPr>
                <w:sz w:val="16"/>
                <w:szCs w:val="16"/>
                <w:color w:val="auto"/>
              </w:rPr>
            </w:pPr>
          </w:p>
        </w:tc>
        <w:tc>
          <w:tcPr>
            <w:tcW w:w="7040" w:type="dxa"/>
            <w:vAlign w:val="bottom"/>
            <w:gridSpan w:val="8"/>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8"/>
              </w:rPr>
              <w:t>Consolidated Statements of Stockholders’ Equity</w:t>
            </w:r>
          </w:p>
        </w:tc>
        <w:tc>
          <w:tcPr>
            <w:tcW w:w="160" w:type="dxa"/>
            <w:vAlign w:val="bottom"/>
            <w:tcBorders>
              <w:top w:val="single" w:sz="8" w:color="0000FF"/>
            </w:tcBorders>
          </w:tcPr>
          <w:p>
            <w:pPr>
              <w:spacing w:after="0"/>
              <w:rPr>
                <w:sz w:val="16"/>
                <w:szCs w:val="16"/>
                <w:color w:val="auto"/>
              </w:rPr>
            </w:pPr>
          </w:p>
        </w:tc>
        <w:tc>
          <w:tcPr>
            <w:tcW w:w="5760" w:type="dxa"/>
            <w:vAlign w:val="bottom"/>
            <w:gridSpan w:val="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6520" w:type="dxa"/>
            <w:vAlign w:val="bottom"/>
            <w:gridSpan w:val="6"/>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20</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6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340" w:type="dxa"/>
            <w:vAlign w:val="bottom"/>
            <w:gridSpan w:val="2"/>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6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20" w:type="dxa"/>
            <w:vAlign w:val="bottom"/>
            <w:tcBorders>
              <w:top w:val="single" w:sz="8" w:color="0000FF"/>
            </w:tcBorders>
            <w:gridSpan w:val="2"/>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Legal Proceedings</w:t>
            </w:r>
          </w:p>
        </w:tc>
        <w:tc>
          <w:tcPr>
            <w:tcW w:w="140" w:type="dxa"/>
            <w:vAlign w:val="bottom"/>
            <w:tcBorders>
              <w:top w:val="single" w:sz="8" w:color="0000FF"/>
            </w:tcBorders>
          </w:tcPr>
          <w:p>
            <w:pPr>
              <w:spacing w:after="0"/>
              <w:rPr>
                <w:sz w:val="21"/>
                <w:szCs w:val="21"/>
                <w:color w:val="auto"/>
              </w:rPr>
            </w:pPr>
          </w:p>
        </w:tc>
        <w:tc>
          <w:tcPr>
            <w:tcW w:w="7840" w:type="dxa"/>
            <w:vAlign w:val="bottom"/>
            <w:gridSpan w:val="11"/>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0" w:type="dxa"/>
            <w:vAlign w:val="bottom"/>
          </w:tcPr>
          <w:p>
            <w:pPr>
              <w:spacing w:after="0"/>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Item 1A.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Risk Factors</w:t>
            </w:r>
          </w:p>
        </w:tc>
        <w:tc>
          <w:tcPr>
            <w:tcW w:w="8360" w:type="dxa"/>
            <w:vAlign w:val="bottom"/>
            <w:gridSpan w:val="1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0" w:type="dxa"/>
            <w:vAlign w:val="bottom"/>
          </w:tcPr>
          <w:p>
            <w:pPr>
              <w:spacing w:after="0"/>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Signatures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9" w:lineRule="exact"/>
        <w:rPr>
          <w:sz w:val="20"/>
          <w:szCs w:val="20"/>
          <w:color w:val="auto"/>
        </w:rPr>
      </w:pPr>
    </w:p>
    <w:p>
      <w:pPr>
        <w:ind w:right="40" w:firstLine="395"/>
        <w:spacing w:after="0" w:line="24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those discussed under the caption “Risk Factors” in our most recently filed Annual Report on Form 10-K, which was filed with the Securities and Exchange Commission (the “SEC”) on February 14, 2023 (our “2022 Form 10-K”) and in our consolidated financial statements, related notes, and the other information appearing elsewhere in the 2022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9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“Shutterstock Studios”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95,832</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$6,566 and $5,830</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33,268</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215,671</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54,548</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17,593</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381,920</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21,832</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842,523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89,387</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187,070</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11,445</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383,734</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35,611</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365,989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433,702</w:t>
            </w:r>
          </w:p>
        </w:tc>
        <w:tc>
          <w:tcPr>
            <w:tcW w:w="0" w:type="dxa"/>
            <w:vAlign w:val="bottom"/>
          </w:tcPr>
          <w:p>
            <w:pPr>
              <w:spacing w:after="0"/>
              <w:rPr>
                <w:sz w:val="1"/>
                <w:szCs w:val="1"/>
                <w:color w:val="auto"/>
              </w:rPr>
            </w:pPr>
          </w:p>
        </w:tc>
      </w:tr>
      <w:tr>
        <w:trPr>
          <w:trHeight w:val="19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73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39,690 and 39,605 shares issued and 35,914 and</w:t>
            </w:r>
          </w:p>
        </w:tc>
        <w:tc>
          <w:tcPr>
            <w:tcW w:w="4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35,829 shares outstanding as of March 31, 2023 and December 31, 2022, respectively</w:t>
            </w:r>
          </w:p>
        </w:tc>
        <w:tc>
          <w:tcPr>
            <w:tcW w:w="4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Treasury stock, at cost; 3,776 shares as of March 31, 2023 and December 31, 2022</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391,482</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294,232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271,051</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476,534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447,482</w:t>
            </w:r>
          </w:p>
        </w:tc>
        <w:tc>
          <w:tcPr>
            <w:tcW w:w="0" w:type="dxa"/>
            <w:vAlign w:val="bottom"/>
          </w:tcPr>
          <w:p>
            <w:pPr>
              <w:spacing w:after="0"/>
              <w:rPr>
                <w:sz w:val="1"/>
                <w:szCs w:val="1"/>
                <w:color w:val="auto"/>
              </w:rPr>
            </w:pPr>
          </w:p>
        </w:tc>
      </w:tr>
      <w:tr>
        <w:trPr>
          <w:trHeight w:val="202"/>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842,523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881,184</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3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Pr>
          <w:p>
            <w:pPr>
              <w:spacing w:after="0"/>
              <w:rPr>
                <w:sz w:val="16"/>
                <w:szCs w:val="16"/>
                <w:color w:val="auto"/>
              </w:rPr>
            </w:pPr>
          </w:p>
        </w:tc>
      </w:tr>
      <w:tr>
        <w:trPr>
          <w:trHeight w:val="23"/>
        </w:trPr>
        <w:tc>
          <w:tcPr>
            <w:tcW w:w="86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0"/>
        </w:trPr>
        <w:tc>
          <w:tcPr>
            <w:tcW w:w="8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6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38"/>
        </w:trPr>
        <w:tc>
          <w:tcPr>
            <w:tcW w:w="8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215,280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r>
      <w:tr>
        <w:trPr>
          <w:trHeight w:val="197"/>
        </w:trPr>
        <w:tc>
          <w:tcPr>
            <w:tcW w:w="8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78,163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69,451</w:t>
            </w:r>
          </w:p>
        </w:tc>
      </w:tr>
      <w:tr>
        <w:trPr>
          <w:trHeight w:val="212"/>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w:t>
            </w:r>
          </w:p>
        </w:tc>
      </w:tr>
      <w:tr>
        <w:trPr>
          <w:trHeight w:val="209"/>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15,406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r>
      <w:tr>
        <w:trPr>
          <w:trHeight w:val="212"/>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30,808</w:t>
            </w:r>
          </w:p>
        </w:tc>
      </w:tr>
      <w:tr>
        <w:trPr>
          <w:trHeight w:val="202"/>
        </w:trPr>
        <w:tc>
          <w:tcPr>
            <w:tcW w:w="8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174,911</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167,214</w:t>
            </w:r>
          </w:p>
        </w:tc>
      </w:tr>
      <w:tr>
        <w:trPr>
          <w:trHeight w:val="206"/>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40,369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w:t>
            </w:r>
          </w:p>
        </w:tc>
      </w:tr>
      <w:tr>
        <w:trPr>
          <w:trHeight w:val="20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0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41,414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r>
      <w:tr>
        <w:trPr>
          <w:trHeight w:val="20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w:t>
            </w:r>
          </w:p>
        </w:tc>
      </w:tr>
      <w:tr>
        <w:trPr>
          <w:trHeight w:val="204"/>
        </w:trPr>
        <w:tc>
          <w:tcPr>
            <w:tcW w:w="8600" w:type="dxa"/>
            <w:vAlign w:val="bottom"/>
            <w:tcBorders>
              <w:bottom w:val="single" w:sz="8" w:color="CCEEFF"/>
            </w:tcBorders>
            <w:shd w:val="clear" w:color="auto" w:fill="CCEEFF"/>
          </w:tcPr>
          <w:p>
            <w:pPr>
              <w:ind w:left="34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shd w:val="clear" w:color="auto" w:fill="CCEEFF"/>
          </w:tcPr>
          <w:p>
            <w:pPr>
              <w:jc w:val="right"/>
              <w:ind w:right="2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32,843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26,572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8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0.73</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9"/>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36,303</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5" w:name="page6"/>
    <w:bookmarkEnd w:id="5"/>
    <w:p>
      <w:pPr>
        <w:ind w:left="3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6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1"/>
        </w:trPr>
        <w:tc>
          <w:tcPr>
            <w:tcW w:w="8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r>
      <w:tr>
        <w:trPr>
          <w:trHeight w:val="20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 / (loss)</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0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 (loss)</w:t>
            </w: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0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34,262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25,686</w:t>
            </w:r>
          </w:p>
        </w:tc>
      </w:tr>
      <w:tr>
        <w:trPr>
          <w:trHeight w:val="21"/>
        </w:trPr>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Income / (Loss)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391,482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447,482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32,843</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294,232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476,534</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(38,269)</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(10,596)</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26,572</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444,423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91"/>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26,572</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15,065</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(26,717)</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66,775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22,723</w:t>
            </w:r>
          </w:p>
        </w:tc>
      </w:tr>
      <w:tr>
        <w:trPr>
          <w:trHeight w:val="192"/>
        </w:trPr>
        <w:tc>
          <w:tcPr>
            <w:tcW w:w="8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(11,775)</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(12,525)</w:t>
            </w:r>
          </w:p>
        </w:tc>
      </w:tr>
      <w:tr>
        <w:trPr>
          <w:trHeight w:val="192"/>
        </w:trPr>
        <w:tc>
          <w:tcPr>
            <w:tcW w:w="85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(70,667)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(65,574)</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(55,905)</w:t>
            </w:r>
          </w:p>
        </w:tc>
      </w:tr>
      <w:tr>
        <w:trPr>
          <w:trHeight w:val="263"/>
        </w:trPr>
        <w:tc>
          <w:tcPr>
            <w:tcW w:w="8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314,017</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95,832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258,112</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9"/>
        </w:trPr>
        <w:tc>
          <w:tcPr>
            <w:tcW w:w="8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(received) / paid for income taxes</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07"/>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Shutterstock, Inc. (the “Company” or “Shutterstock”) is a premier partner for transformative brands, newsrooms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key content offerings include:</w:t>
      </w:r>
    </w:p>
    <w:p>
      <w:pPr>
        <w:spacing w:after="0" w:line="148" w:lineRule="exact"/>
        <w:rPr>
          <w:sz w:val="20"/>
          <w:szCs w:val="20"/>
          <w:color w:val="auto"/>
        </w:rPr>
      </w:pPr>
    </w:p>
    <w:p>
      <w:pPr>
        <w:ind w:left="960" w:right="22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4" w:lineRule="exact"/>
        <w:rPr>
          <w:rFonts w:ascii="Times New Roman" w:cs="Times New Roman" w:eastAsia="Times New Roman" w:hAnsi="Times New Roman"/>
          <w:sz w:val="18"/>
          <w:szCs w:val="18"/>
          <w:color w:val="auto"/>
        </w:rPr>
      </w:pPr>
    </w:p>
    <w:p>
      <w:pPr>
        <w:ind w:left="960" w:right="6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08" w:lineRule="exact"/>
        <w:rPr>
          <w:rFonts w:ascii="Times New Roman" w:cs="Times New Roman" w:eastAsia="Times New Roman" w:hAnsi="Times New Roman"/>
          <w:sz w:val="18"/>
          <w:szCs w:val="18"/>
          <w:color w:val="auto"/>
        </w:rPr>
      </w:pPr>
    </w:p>
    <w:p>
      <w:pPr>
        <w:ind w:left="960" w:right="2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4" w:lineRule="exact"/>
        <w:rPr>
          <w:sz w:val="20"/>
          <w:szCs w:val="20"/>
          <w:color w:val="auto"/>
        </w:rPr>
      </w:pPr>
    </w:p>
    <w:p>
      <w:pPr>
        <w:ind w:right="400" w:firstLine="395"/>
        <w:spacing w:after="0" w:line="303" w:lineRule="auto"/>
        <w:rPr>
          <w:sz w:val="20"/>
          <w:szCs w:val="20"/>
          <w:color w:val="auto"/>
        </w:rPr>
      </w:pPr>
      <w:r>
        <w:rPr>
          <w:rFonts w:ascii="Times New Roman" w:cs="Times New Roman" w:eastAsia="Times New Roman" w:hAnsi="Times New Roman"/>
          <w:sz w:val="16"/>
          <w:szCs w:val="16"/>
          <w:color w:val="auto"/>
        </w:rPr>
        <w:t>On May 11, 2022, the Company completed its acquisition of Pond5, Inc. (“Pond5”), a video-first content marketplace which expands Shutterstock’s content offerings across footage, image and music. On May 28, 2022, Shutterstock acquired SCP 2020 Limited (“Splash News”), an entertainment news network for newsrooms and media companies, which offers image and video content across celebrity, red carpet and live events. See Note 3 Acquisitions.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2"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The interim Consolidated Balance Sheet as of March 31, 2023, and the Consolidated Statements of Operations, Comprehensive Income, Stockholders’ Equity and Cash Flows for the three months ended March 31, 2023 and 2022, are unaudited. The Consolidated Balance Sheet as of December 31, 2022,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March 31, 2023, and its consolidated results of operations, comprehensive income, stockholders’ equity and cash flows for the three months ended March 31, 2023 and 2022. The financial data and the other financial information disclosed in the notes to the financial statements related to these periods are also unaudited. The results of operations for the three months ended March 31, 2023 are not necessarily indicative of the results to be expected for the fiscal year ending December 31, 2023 or for any other future annual or interim period.</w:t>
      </w:r>
    </w:p>
    <w:p>
      <w:pPr>
        <w:spacing w:after="0" w:line="8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2022 included in the Company’s Annual Report on Form 10-K, which was filed with the SEC on February 14, 2023.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13"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7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recorded bad debt expense of $0.8 million. As of March 31, 2023 and December 31, 2022, the Company’s allowance for doubtful accounts was approximately $6.6 million and $5.8 million, respectively. The allowance for doubtful accounts is included as a reduction of accounts receivable on the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20" w:firstLine="395"/>
        <w:spacing w:after="0" w:line="303" w:lineRule="auto"/>
        <w:rPr>
          <w:sz w:val="20"/>
          <w:szCs w:val="20"/>
          <w:color w:val="auto"/>
        </w:rPr>
      </w:pPr>
      <w:r>
        <w:rPr>
          <w:rFonts w:ascii="Times New Roman" w:cs="Times New Roman" w:eastAsia="Times New Roman" w:hAnsi="Times New Roman"/>
          <w:sz w:val="16"/>
          <w:szCs w:val="16"/>
          <w:color w:val="auto"/>
        </w:rPr>
        <w:t>The Company establishes a chargeback allowance and sales refund reserve allowance based on factors surrounding historical credit card chargeback trends, historical sales refund trends and other information. As of March 31, 2023 and December 31, 2022, the Company’s combined allowance for chargebacks and sales refunds was $0.4 million, which was included as a component of other current liabilities on the Consolidated Balance Sheets.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made available through the Company’s platform.</w:t>
      </w:r>
    </w:p>
    <w:p>
      <w:pPr>
        <w:spacing w:after="0" w:line="118"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104"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available through the Company’s platform, revenue is recognized on a straight-line basis over the subscription period. The Company expenses contract acquisition costs as incurred, to the extent that the amortization period would otherwise be one year or less.</w:t>
      </w:r>
    </w:p>
    <w:p>
      <w:pPr>
        <w:spacing w:after="0" w:line="121"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Collectability is probable at the time the electronic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w:t>
      </w:r>
    </w:p>
    <w:p>
      <w:pPr>
        <w:spacing w:after="0" w:line="200" w:lineRule="exact"/>
        <w:rPr>
          <w:sz w:val="20"/>
          <w:szCs w:val="20"/>
          <w:color w:val="auto"/>
        </w:rPr>
      </w:pPr>
    </w:p>
    <w:p>
      <w:pPr>
        <w:spacing w:after="0" w:line="39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color w:val="auto"/>
        </w:rPr>
        <w:t>customers who pay on credit terms allowing for payment beyond the date at which service commences, is based on a credit evaluation for certain new customers and transaction history with existing customers.</w:t>
      </w:r>
    </w:p>
    <w:p>
      <w:pPr>
        <w:spacing w:after="0" w:line="10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22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March 31, 2023 or December 31, 2022, except as noted below. </w:t>
      </w:r>
      <w:r>
        <w:rPr>
          <w:rFonts w:ascii="Times New Roman" w:cs="Times New Roman" w:eastAsia="Times New Roman" w:hAnsi="Times New Roman"/>
          <w:sz w:val="18"/>
          <w:szCs w:val="18"/>
          <w:i w:val="1"/>
          <w:iCs w:val="1"/>
          <w:color w:val="auto"/>
        </w:rPr>
        <w:t>Other Fair Value Measurements</w:t>
      </w: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5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2023 and December 31, 2022,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10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its long-term investments for impairment, which includes an assessment of revenue growth, earnings performance, working capital and general market conditions. As of March 31, 2023,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97" w:lineRule="exact"/>
        <w:rPr>
          <w:sz w:val="20"/>
          <w:szCs w:val="20"/>
          <w:color w:val="auto"/>
        </w:rPr>
      </w:pPr>
    </w:p>
    <w:p>
      <w:pPr>
        <w:jc w:val="right"/>
        <w:ind w:left="400" w:right="10000" w:hanging="395"/>
        <w:spacing w:after="0" w:line="413" w:lineRule="auto"/>
        <w:tabs>
          <w:tab w:leader="none" w:pos="244"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i w:val="1"/>
          <w:iCs w:val="1"/>
          <w:color w:val="auto"/>
        </w:rPr>
        <w:t>Pond5, Inc.</w:t>
      </w: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May 11, 2022, the Company completed its acquisition of all of the outstanding shares of Pond5, for approximately $218.0 million. The total purchase price was paid with existing cash on hand as well as a $50 million drawdown on a newly established revolving credit facility (See Note 7). In connection with the acquisition, the Company incurred approximately $4.0 million of transaction costs, which is included in general and administrative expenses on the Consolidated Statements of Operations.</w:t>
      </w:r>
    </w:p>
    <w:p>
      <w:pPr>
        <w:spacing w:after="0" w:line="78"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64"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14.2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Splash News</w:t>
      </w:r>
    </w:p>
    <w:p>
      <w:pPr>
        <w:spacing w:after="0" w:line="111"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On May 28, 2022, the Company completed its acquisition of all of the outstanding shares of Splash News, for approximately $6.3 million. The total purchase price was paid with existing cash on hand. In connection with the acquisition, the Company incurred approximately $0.3 million of transaction costs, which is included in general and administrative expenses on the Consolidated Statements of Operations.</w:t>
      </w:r>
    </w:p>
    <w:p>
      <w:pPr>
        <w:spacing w:after="0" w:line="75"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64"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64"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The Pond5 and Splash News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Pond5</w:t>
            </w:r>
            <w:r>
              <w:rPr>
                <w:rFonts w:ascii="Times New Roman" w:cs="Times New Roman" w:eastAsia="Times New Roman" w:hAnsi="Times New Roman"/>
                <w:sz w:val="18"/>
                <w:szCs w:val="18"/>
                <w:b w:val="1"/>
                <w:bCs w:val="1"/>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Splash News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28,863</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158,957</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164,522</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242,481</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250,514</w:t>
            </w:r>
          </w:p>
        </w:tc>
      </w:tr>
      <w:tr>
        <w:trPr>
          <w:trHeight w:val="204"/>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(26,184)</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218,014</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w:t>
      </w:r>
    </w:p>
    <w:p>
      <w:pPr>
        <w:spacing w:after="0" w:line="121" w:lineRule="exact"/>
        <w:rPr>
          <w:sz w:val="20"/>
          <w:szCs w:val="20"/>
          <w:color w:val="auto"/>
        </w:rPr>
      </w:pPr>
    </w:p>
    <w:p>
      <w:pPr>
        <w:ind w:right="100" w:firstLine="5"/>
        <w:spacing w:after="0" w:line="209" w:lineRule="auto"/>
        <w:tabs>
          <w:tab w:leader="none" w:pos="8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During the three months ended September 30, 2022, the Company updated its preliminary allocation of the Pond5 purchase price to the assets acquired and liabilities assumed. This resulted in a (i) $4.0 million increase to goodwill, (ii) a $4.1 million decrease to intangible assets, including a $7.0 million decrease to the value of customer relationships, partially offset by a $2.3 million increase to the value of the developed technology, and (iii) other immaterial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(in thousands) reflects the results of operations of the Company for the three months ended March 31, 2022, as if the Pond5 and Splash News acquisitions had been completed on January 1, 2021, after giving effect to certain purchase accounting adjustments, primarily related to intangible assets and transaction costs. These pro forma results have been prepared for comparative purposes only and are not necessarily indicative of what the Company’s operating results would have been, had the acquisitions actually taken place at the beginning of the previous annual period.</w:t>
      </w:r>
    </w:p>
    <w:tbl>
      <w:tblPr>
        <w:tblLayout w:type="fixed"/>
        <w:tblInd w:w="0" w:type="dxa"/>
        <w:tblCellMar>
          <w:top w:w="0" w:type="dxa"/>
          <w:left w:w="0" w:type="dxa"/>
          <w:bottom w:w="0" w:type="dxa"/>
          <w:right w:w="0" w:type="dxa"/>
        </w:tblCellMar>
      </w:tblPr>
      <w:tr>
        <w:trPr>
          <w:trHeight w:val="153"/>
        </w:trPr>
        <w:tc>
          <w:tcPr>
            <w:tcW w:w="9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25"/>
              <w:spacing w:after="0" w:line="153"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7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96"/>
        </w:trPr>
        <w:tc>
          <w:tcPr>
            <w:tcW w:w="9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89"/>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2"/>
        </w:trPr>
        <w:tc>
          <w:tcPr>
            <w:tcW w:w="9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r>
      <w:tr>
        <w:trPr>
          <w:trHeight w:val="209"/>
        </w:trPr>
        <w:tc>
          <w:tcPr>
            <w:tcW w:w="9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212,835</w:t>
            </w: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9"/>
        </w:trPr>
        <w:tc>
          <w:tcPr>
            <w:tcW w:w="9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32,676</w:t>
            </w:r>
          </w:p>
        </w:tc>
      </w:tr>
      <w:tr>
        <w:trPr>
          <w:trHeight w:val="212"/>
        </w:trPr>
        <w:tc>
          <w:tcPr>
            <w:tcW w:w="9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4"/>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261,067</w:t>
            </w: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301,607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290,030</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(245,003)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(235,482)</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56,604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54,548</w:t>
            </w:r>
          </w:p>
        </w:tc>
      </w:tr>
      <w:tr>
        <w:trPr>
          <w:trHeight w:val="21"/>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$9.1 million and $8.0 million for the three months ended March 31, 2023 and 2022, respectively. Of these amounts, $8.7 million and $7.2 million are included in cost of revenue for the three months ended March 31, 2023 and 2022, respectively, and $0.5 million and $0.8 million are included in general and administrative expense for the three months ended March 31, 2023 and 2022, respectively.</w:t>
      </w:r>
    </w:p>
    <w:p>
      <w:pPr>
        <w:spacing w:after="0" w:line="183"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$10.3 million and $9.5 million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2023 and 2022, respectively. Capitalized amounts are included as a component of property and equipment under computer equipment and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Consolidated Balance Sheets.</w:t>
      </w:r>
    </w:p>
    <w:p>
      <w:pPr>
        <w:spacing w:after="0" w:line="91"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$8.4 million and $6.9 million for the three months ended March 31, 2023 and 2022, respectively. Depreciation expense related to capitalized internal-use software is included in cost of revenue in the Consolidated Statements of Operations.</w:t>
      </w:r>
    </w:p>
    <w:p>
      <w:pPr>
        <w:spacing w:after="0" w:line="75"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As of March 31, 2023 and December 31, 2022, the Company had capitalized internal-use software of $52.0 million and $50.1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three months ended March 31, 2023.</w:t>
      </w:r>
    </w:p>
    <w:p>
      <w:pPr>
        <w:spacing w:after="0" w:line="64" w:lineRule="exact"/>
        <w:rPr>
          <w:sz w:val="20"/>
          <w:szCs w:val="20"/>
          <w:color w:val="auto"/>
        </w:rPr>
      </w:pPr>
    </w:p>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three months ended March 31,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4"/>
        </w:trPr>
        <w:tc>
          <w:tcPr>
            <w:tcW w:w="9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4"/>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381,920</w:t>
            </w:r>
          </w:p>
        </w:tc>
      </w:tr>
      <w:tr>
        <w:trPr>
          <w:trHeight w:val="209"/>
        </w:trPr>
        <w:tc>
          <w:tcPr>
            <w:tcW w:w="9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31"/>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382,640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March 31, 2023 and December 31, 2022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89,704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88,996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95,667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59,584</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57,938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34,186</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260,335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167,807</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254,999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173,087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was $9.8 million and $7.1 million for the three months ended March 31, 2023 and 2022, respectively. Of these amounts, $9.2 million and $6.5 million are included in cost of revenue for the three months ended March 31, 2023 and 2022, respectively, and $0.6 million are included in general and administrative expense for the three months ended March 31, 2023 and 2022.</w:t>
      </w:r>
    </w:p>
    <w:p>
      <w:pPr>
        <w:spacing w:after="0" w:line="75"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$29.6 million for the remaining nine months of 2023, $32.7 million in 2024, $22.3 million in 2025, $19.8 million in 2026, $13.5 million in 2027, $10.9 million in 2028 and $39.0 million thereafter.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4"/>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23,452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40,314</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2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23,451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24,390</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w:t>
            </w:r>
          </w:p>
        </w:tc>
      </w:tr>
      <w:tr>
        <w:trPr>
          <w:trHeight w:val="20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17,598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18,075</w:t>
            </w:r>
          </w:p>
        </w:tc>
      </w:tr>
      <w:tr>
        <w:trPr>
          <w:trHeight w:val="229"/>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72,802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1"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Company’s option, revolving loans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 unused commitment fee ranging from 0.150% to 0.225%, determined based on the Company’s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the Company paid debt issuance costs of approximately $0.6 million.</w:t>
      </w:r>
    </w:p>
    <w:p>
      <w:pPr>
        <w:spacing w:after="0" w:line="91"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On May 9, 2022, the Company borrowed $50 million for use in connection with the acquisition of Pond5, described under Note 3 (“Acquisitions”) and for general corporate purposes. During the three months ended March 31, 2023, the Company repaid the full amount outstanding and as of March 31, 2023, the Company had no outstanding borrowings under the Credit Facility. As of March 31, 2023, the Company had a remaining borrowing capacity of $98 million, net of standby letters of credit. For the three months ended March 31, 2023, the Company recognized interest expense of $0.2 million.</w:t>
      </w:r>
    </w:p>
    <w:p>
      <w:pPr>
        <w:spacing w:after="0" w:line="78"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March 31, 2023, the Company was in compliance with these covenants.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85,000 and 143,000 shares of common stock during the three months ended March 31, 2023 and 2022,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w:t>
      </w:r>
    </w:p>
    <w:p>
      <w:pPr>
        <w:spacing w:after="0" w:line="75"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2022, the Company repurchased approximately 422,000 shares of its common stock at an average cost of $90.69. As of December 31, 2022, the Company fully utilized its authorization for purchases under the share repurchase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Company declared and paid cash dividends of $0.27 and $0.24 per share of common stock or $9.7 million and $8.7 million, during the three months ended March 31, 2023 and 2022, respectively.</w:t>
      </w:r>
    </w:p>
    <w:p>
      <w:pPr>
        <w:spacing w:after="0" w:line="169"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On April 17, 2023, the Company’s Board of Directors declared a quarterly cash dividend of $0.27 per share of outstanding common stock payable on June 15, 2023 to stockholders of record at the close of business on June 1, 2023. Future declarations of dividends are subject to the final determination of the Board of Directors, and will depend on, among other things, the Company’s future financial condition, results of operations, capital requirements,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contractual restrictions, anticipated cash needs, business prospects, provisions of applicable law and other factors the Board of Directors may deem relevant.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80"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months ended March 31, 2023 and 2022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1,781</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5,407</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5,039</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7,826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accompanying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2023 and 2022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7,651</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7,826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2023, no options to purchase shares of its common stock were granted. As of March 31, 2023, there were approximately 303,000 options vested and exercisable with a weighted average exercise price of $34.55.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2023, the Company had RSU grants, net of forfeitures, of approximately 129,000. As of March 31, 2023, there are approximately 1,703,000 non-vested RSUs outstanding with a weighted average grant-date fair value of $71.08. As of March 31, 2023, the total unrecognized non-cash equity-based compensation expense related to the non-vested RSUs was approximately $74.9 million, which is expected to be recognized through 2027.</w:t>
      </w:r>
    </w:p>
    <w:p>
      <w:pPr>
        <w:spacing w:after="0" w:line="78"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2023 and 2022, shares of common stock with an aggregate value of $4.2 million and $10.6 million were withheld upon vesting of RSUs and paid in connection with related remittance of employee withholding taxes to taxing authorities.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April 3, 2023, the Company granted approximately 822,000 RSUs with a grant date fair value of $58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channels:</w:t>
      </w:r>
    </w:p>
    <w:p>
      <w:pPr>
        <w:spacing w:after="0" w:line="107" w:lineRule="exact"/>
        <w:rPr>
          <w:sz w:val="20"/>
          <w:szCs w:val="20"/>
          <w:color w:val="auto"/>
        </w:rPr>
      </w:pPr>
    </w:p>
    <w:p>
      <w:pPr>
        <w:ind w:right="6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the Company’s customers license content directly through the Company’s self-service web properties.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have the flexibility to purchase subscription-based plans that are paid on a monthly or</w:t>
      </w:r>
    </w:p>
    <w:p>
      <w:pPr>
        <w:spacing w:after="0" w:line="200" w:lineRule="exact"/>
        <w:rPr>
          <w:sz w:val="20"/>
          <w:szCs w:val="20"/>
          <w:color w:val="auto"/>
        </w:rPr>
      </w:pPr>
    </w:p>
    <w:p>
      <w:pPr>
        <w:spacing w:after="0" w:line="3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annual basis. Customer are also able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73" w:lineRule="exact"/>
        <w:rPr>
          <w:sz w:val="20"/>
          <w:szCs w:val="20"/>
          <w:color w:val="auto"/>
        </w:rPr>
      </w:pPr>
    </w:p>
    <w:p>
      <w:pPr>
        <w:ind w:right="4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The Company also has a base of customers with unique content, licensing and workflow needs. These customers benefit from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months ended March 31, 2023 and 2022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3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127,070</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72,062</w:t>
            </w:r>
          </w:p>
        </w:tc>
      </w:tr>
      <w:tr>
        <w:trPr>
          <w:trHeight w:val="231"/>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The March 31, 2023 deferred revenue balance will be earned as content is downloaded or upon the expiration of subscription-based products, and nearly all is expected to be earned within the next twelve months. $80.5 million of total revenue recognized for the three months ended March 31, 2023 was reflected in deferred revenue as of December 31, 2022.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Income / (Expense),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2023 and 2022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8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2"/>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income</w:t>
            </w:r>
          </w:p>
        </w:tc>
        <w:tc>
          <w:tcPr>
            <w:tcW w:w="90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1"/>
        </w:trPr>
        <w:tc>
          <w:tcPr>
            <w:tcW w:w="8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were 20.7% and 18.7% for the three months ended March 31, 2023 and 2022, respectively. For the three months ended March 31, 2023, the net effect of discrete items increased the effective tax rate by 0.9%. Excluding these items, the Company’s effective tax rate would have been 19.8% for the three months ended March 31, 2023.</w:t>
      </w:r>
    </w:p>
    <w:p>
      <w:pPr>
        <w:spacing w:after="0" w:line="75"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2022, the net effect of discrete items decreased the effective tax rate by 0.2%. Excluding these items, the Company’s effective tax rate would have been 18.9% for the three months ended March 31, 2022.</w:t>
      </w:r>
    </w:p>
    <w:p>
      <w:pPr>
        <w:spacing w:after="0" w:line="64"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loss jurisdictions with no tax benefit and the application of discrete items, if any, in the applicable period.</w:t>
      </w:r>
    </w:p>
    <w:p>
      <w:pPr>
        <w:spacing w:after="0" w:line="64"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2023 and 2022, uncertain tax positions recorded by the Company were not material. To the extent the remaining uncertain tax positions are ultimately recognized, the Company’s effective tax rate may be impacted in future periods.</w:t>
      </w:r>
    </w:p>
    <w:p>
      <w:pPr>
        <w:spacing w:after="0" w:line="64"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2023 and 2022.</w:t>
      </w:r>
    </w:p>
    <w:p>
      <w:pPr>
        <w:spacing w:after="0" w:line="75"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2023, the Company had net cash taxes refunded of $5.2 million and during the three months ended March 31, 2022, the Company had net cash taxes paid of $1.7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66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months ended March 31,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900" w:type="dxa"/>
            <w:vAlign w:val="bottom"/>
            <w:gridSpan w:val="5"/>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32,843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35,856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36,303</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06"/>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36,575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8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6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77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79,943</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62,553</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56,636</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6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215,280</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199,132</w:t>
            </w:r>
          </w:p>
        </w:tc>
      </w:tr>
      <w:tr>
        <w:trPr>
          <w:trHeight w:val="21"/>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43% and 37% of consolidated revenue for the three months ended March 31, 2023 and 2022, respectively. No other country accounts for more than 10% of the Company’s revenue in any period presented.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42,266</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12,079</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56,604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54,548</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72% and 73% of total long-lived tangible assets as of March 31, 2023 and December 31, 2022, respectively. Ireland, included in Europe in the above table, accounted for 19% and 17% of total long-lived tangible assets as of March 31, 2023 and December 31, 2022, respectively. No other country accounts for more than 10% of the Company’s long-lived tangible assets in any period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As of March 31, 2023, the Company had total non-lease obligations in the amount of approximately $73.8 million, which consisted primarily of minimum royalty guarantees and unconditional purchase obligations related to contracts for infrastructure and other business services. As of March 31, 2023, the Company’s non-lease obligations for the remainder of 2023 and for the years ending December 31, 2024, 2025, 2026, 2027 and 2028 were approximately $35.5 million, $30.1 million, $6.7 million, $0.9 million, $0.4 million and $0.2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5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13"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March 31, 2023,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85"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4"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2022 Form 10-K.</w:t>
      </w:r>
    </w:p>
    <w:p>
      <w:pPr>
        <w:spacing w:after="0" w:line="11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2022 Form 10-K for additional discussion of the risks and uncertainties that could cause our actual results to differ materially from those expressed or implied in our forward-looking statements.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premier partner for transformative brands, newsrooms and media companies. Our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key content offerings include:</w:t>
      </w:r>
    </w:p>
    <w:p>
      <w:pPr>
        <w:spacing w:after="0" w:line="148" w:lineRule="exact"/>
        <w:rPr>
          <w:sz w:val="20"/>
          <w:szCs w:val="20"/>
          <w:color w:val="auto"/>
        </w:rPr>
      </w:pPr>
    </w:p>
    <w:p>
      <w:pPr>
        <w:ind w:left="1040" w:right="160" w:hanging="403"/>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1040" w:hanging="403"/>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580" w:hanging="403"/>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Our offerings are distributed to customers under the following brands: Shutterstock; Pond5; TurboSquid; Offset; PremiumBeat; Bigstock; PicMonkey; and Splash News.</w:t>
      </w:r>
    </w:p>
    <w:p>
      <w:pPr>
        <w:spacing w:after="0" w:line="90"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Shutterstock, our flagship brand, includes various content types such as image, footage, music and editorial. For customers seeking specialized solutions, Shutterstock Studios extends our offerings by providing custom, high-quality content matched with production tools and services at scale. In addition, our collection of images, footage clips, music tracks and 3D models is also distributed through our computer vision offering which is used by large technology companies to train AI models.</w:t>
      </w:r>
    </w:p>
    <w:p>
      <w:pPr>
        <w:spacing w:after="0" w:line="118"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PicMonkey is a leading online graphic design and image editing platform. TurboSquid operates a marketplace that offers more than one million 3D models and a 2 dimensional (“2D”) marketplace derived from 3D objects. Our Offset brand provides authentic and exceptional content for high-impact use cases that require extraordinary images, featuring work from top assignment photographers and illustrators from around the world. PremiumBeat offers exclusive high-quality music tracks and provides producers, filmmakers and marketers the ability to search handpicked production music from the world’s leading composers. Bigstock maintains a separate content library tailored for creators seeking to incorporate cost-effective imagery into their projects.</w:t>
      </w:r>
    </w:p>
    <w:p>
      <w:pPr>
        <w:spacing w:after="0" w:line="119"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Over 2.2 million active, paying customers contributed to our revenue for the twelve-month period ended March 31, 2023. As of March 31, 2023, more than 2.4 million approved contributors made their images, footage and music tracks available in our collection, which has grown to more than 615 million images and more than 47 million footage clips as of March 31, 2023.</w:t>
      </w:r>
    </w:p>
    <w:p>
      <w:pPr>
        <w:spacing w:after="0" w:line="200" w:lineRule="exact"/>
        <w:rPr>
          <w:sz w:val="20"/>
          <w:szCs w:val="20"/>
          <w:color w:val="auto"/>
        </w:rPr>
      </w:pPr>
    </w:p>
    <w:p>
      <w:pPr>
        <w:spacing w:after="0" w:line="3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This makes our collection of content one of the largest of its kind, and we delivered 42.7 million paid downloads to our customers across all of our brands during the three months ended March 31, 2023.</w:t>
      </w:r>
    </w:p>
    <w:p>
      <w:pPr>
        <w:spacing w:after="0" w:line="9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118" w:lineRule="exact"/>
        <w:rPr>
          <w:sz w:val="20"/>
          <w:szCs w:val="20"/>
          <w:color w:val="auto"/>
        </w:rPr>
      </w:pPr>
    </w:p>
    <w:p>
      <w:pPr>
        <w:ind w:right="400" w:firstLine="395"/>
        <w:spacing w:after="0" w:line="256" w:lineRule="auto"/>
        <w:rPr>
          <w:sz w:val="20"/>
          <w:szCs w:val="20"/>
          <w:color w:val="auto"/>
        </w:rPr>
      </w:pPr>
      <w:r>
        <w:rPr>
          <w:rFonts w:ascii="Times New Roman" w:cs="Times New Roman" w:eastAsia="Times New Roman" w:hAnsi="Times New Roman"/>
          <w:sz w:val="18"/>
          <w:szCs w:val="18"/>
          <w:color w:val="auto"/>
        </w:rPr>
        <w:t>In October 2022, Shutterstock announced our strategic partnership with OpenAI, an AI research and deployment company. In 2023, Shutterstock integrated Dall-E 2, OpenAI’s tool for AI-generated content into the Shutterstock platform to enable our customers to input keywords and generate unique images based on their specific criteria.</w:t>
      </w:r>
    </w:p>
    <w:p>
      <w:pPr>
        <w:spacing w:after="0" w:line="114"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Through our platform, we generate revenue by licensing content to our customers. During the three months ended March 31, 2023, 56% of our revenue and the majority of our content licenses came from our E-commerce sales channel. The majority of our customers license content directly through our self-service web properties.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106"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access to (i) Shutterstock Editorial, which includes our library of editorial images and videos, (ii) Shutterstock Studios, our offering which provides custom, high-quality content matched with production tools and services at scale, and (iii) computer vision, our data partnerships offering which provides metadata associated with our content collection, used to train AI models. Our range of solutions, including the depth of our API platform integrations, appeals to a broad and diverse customer base and enables us to adapt and evolve with the needs of our more high touch clients to deliver capabilities that embed deep within their workflows. Our Enterprise sales channel provided approximately 44% of our revenue for the three months ended March 31, 2023.</w:t>
      </w:r>
    </w:p>
    <w:p>
      <w:pPr>
        <w:spacing w:after="0" w:line="31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As the use cases for our creative solutions expand, we believe our customers are seeking alternative means to consume our offerings. As a result, we have seen continued demand for our monthly subscription products, including our suite of multi-asset subscriptions. These multi-asset products are credit-based and enable customers to license images, footage and music in a single subscription. Our monthly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4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jc w:val="both"/>
        <w:ind w:right="320"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counts and revenues from our acquisitions of Pond5 and Splash News.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 Measuring the number of paid downloads that our customers make in a given period is important because it is a measure of customer engagement on our platform and triggers the recognition of revenue and contributor royalties.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1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our Studios business,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and sales channel mix and customer utilization of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at the end of the period. We exclude content from this collection metric that is not uploaded directly to our site but is available for license by our customers through an application program interface, content from our Studios business and editorial content. Prior to December 31, 2022, this metric only included approved images and footage clips in our library on shutterstock.com at the end of the period. We believe that our large selection of high-quality content enables us to attract and retain customers and drives our network effect.</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key operating metrics, which are unaudited, for the three months ended March 31, 2023 and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66"/>
        </w:trPr>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56"/>
        </w:trPr>
        <w:tc>
          <w:tcPr>
            <w:tcW w:w="8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8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559,000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359,000</w:t>
            </w: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90.6</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92"/>
        </w:trPr>
        <w:tc>
          <w:tcPr>
            <w:tcW w:w="8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356</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42.7</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4.41</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615</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160" w:lineRule="exact"/>
        <w:rPr>
          <w:sz w:val="20"/>
          <w:szCs w:val="20"/>
          <w:color w:val="auto"/>
        </w:rPr>
      </w:pPr>
    </w:p>
    <w:p>
      <w:pPr>
        <w:ind w:right="500" w:firstLine="5"/>
        <w:spacing w:after="0" w:line="209" w:lineRule="auto"/>
        <w:tabs>
          <w:tab w:leader="none" w:pos="8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counts and revenues from our acquisitions of Pond5 and Splash News.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25"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We believe that the policies, assumptions and estimates associated with our revenue recognition, allowance for doubtful accounts, goodwill and intangible assets and accounting for income taxes have the greatest potential impact on our financial statements. Therefore, we consider these to be our critical accounting policies and estimates.</w:t>
      </w:r>
    </w:p>
    <w:p>
      <w:pPr>
        <w:spacing w:after="0" w:line="101"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2022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2022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content offerings through two primary channels:</w:t>
      </w:r>
    </w:p>
    <w:p>
      <w:pPr>
        <w:spacing w:after="0" w:line="107" w:lineRule="exact"/>
        <w:rPr>
          <w:sz w:val="20"/>
          <w:szCs w:val="20"/>
          <w:color w:val="auto"/>
        </w:rPr>
      </w:pPr>
    </w:p>
    <w:p>
      <w:pPr>
        <w:ind w:right="10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our customers license content directly through our self-service web properties. E-commerce customers have the flexibility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75"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We also have a base of customers with unique content, licensing and workflow needs. These customers benefit from communication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months ended March 31, 2023 and 2022 are as follows (in thousands):</w:t>
      </w:r>
    </w:p>
    <w:p>
      <w:pPr>
        <w:spacing w:after="0" w:line="50"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119,754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127,070</w:t>
            </w:r>
          </w:p>
        </w:tc>
      </w:tr>
      <w:tr>
        <w:trPr>
          <w:trHeight w:val="20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72,062</w:t>
            </w:r>
          </w:p>
        </w:tc>
      </w:tr>
      <w:tr>
        <w:trPr>
          <w:trHeight w:val="23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7"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19"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14" w:lineRule="exact"/>
        <w:rPr>
          <w:sz w:val="20"/>
          <w:szCs w:val="20"/>
          <w:color w:val="auto"/>
        </w:rPr>
      </w:pPr>
    </w:p>
    <w:p>
      <w:pPr>
        <w:ind w:right="1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of non-operating costs such as foreign currency transaction gains and losses in addition to 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w:t>
      </w:r>
    </w:p>
    <w:p>
      <w:pPr>
        <w:spacing w:after="0" w:line="98"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80" w:type="dxa"/>
            <w:vAlign w:val="bottom"/>
            <w:gridSpan w:val="5"/>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8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215,280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199,132</w:t>
            </w: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69,451</w:t>
            </w: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w:t>
            </w: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30,808</w:t>
            </w:r>
          </w:p>
        </w:tc>
      </w:tr>
      <w:tr>
        <w:trPr>
          <w:trHeight w:val="202"/>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174,911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167,214</w:t>
            </w:r>
          </w:p>
        </w:tc>
      </w:tr>
      <w:tr>
        <w:trPr>
          <w:trHeight w:val="20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0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w:t>
            </w:r>
          </w:p>
        </w:tc>
      </w:tr>
      <w:tr>
        <w:trPr>
          <w:trHeight w:val="229"/>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9"/>
        </w:trPr>
        <w:tc>
          <w:tcPr>
            <w:tcW w:w="90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2"/>
        </w:trPr>
        <w:tc>
          <w:tcPr>
            <w:tcW w:w="9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9"/>
        </w:trPr>
        <w:tc>
          <w:tcPr>
            <w:tcW w:w="90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2"/>
        </w:trPr>
        <w:tc>
          <w:tcPr>
            <w:tcW w:w="9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2"/>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0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6"/>
        </w:trPr>
        <w:tc>
          <w:tcPr>
            <w:tcW w:w="8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9"/>
        </w:trPr>
        <w:tc>
          <w:tcPr>
            <w:tcW w:w="8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2023 and 2022</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215,280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5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167,214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9"/>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Revenue increased by $16.1 million, or 8%, to $215.3 million in the three months ended March 31, 2023 compared to the same period in 2022. On a constant currency basis, revenue increased approximately 10% in the three months ended March 31, 2023, compared to the same period in 2022.</w:t>
      </w:r>
    </w:p>
    <w:p>
      <w:pPr>
        <w:spacing w:after="0" w:line="104"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The Company’s E-commerce revenues decreased by 6%, to $119.8 million in the three months ended March 31, 2023, compared to the same period in 2022. On a constant currency basis, E-commerce revenues decreased by 4% in the three months ended March 31, 2023, compared to the same period in 2022. The decline in our E-commerce revenues was driven by continued weakness in new customer acquisition in Europe and Rest of World, partially offset by revenues generated from our acquisition of Pond5, which was completed on May 11, 2022.</w:t>
      </w:r>
    </w:p>
    <w:p>
      <w:pPr>
        <w:spacing w:after="0" w:line="118" w:lineRule="exact"/>
        <w:rPr>
          <w:sz w:val="20"/>
          <w:szCs w:val="20"/>
          <w:color w:val="auto"/>
        </w:rPr>
      </w:pPr>
    </w:p>
    <w:p>
      <w:pPr>
        <w:jc w:val="both"/>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Company’s Enterprise revenues increased by 33%, to $95.5 million in the three months ended March 31, 2023, compared to the same period in 2022. On a constant currency basis, the Company’s Enterprise revenues increased by 35% in the three months ended March 31, 2023, compared to the same period in 2022. The increase in Enterprise revenues was primarily driven by growth in our computer vision data partnerships and Studios business, in addition to revenue generated from our acquisitions of Pond5 and Splash News, which were completed on May 11, 2022 and May 28, 2022, respectively.</w:t>
      </w:r>
    </w:p>
    <w:p>
      <w:pPr>
        <w:spacing w:after="0" w:line="104"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In the three months ended March 31, 2023 and 2022, we delivered 42.7 million and 44.6 million paid downloads, respectively, and our revenue per download was $4.41 and $4.22 for the three months ended March 31, 2023 and 2022, respectively. During the three months ended March 31, 2023, the decline in paid downloads is attributed to the decline in the E-commerce business, and the increase in revenue per download was primarily due to changes in sales channel mix.</w:t>
      </w:r>
    </w:p>
    <w:p>
      <w:pPr>
        <w:spacing w:after="0" w:line="118" w:lineRule="exact"/>
        <w:rPr>
          <w:sz w:val="20"/>
          <w:szCs w:val="20"/>
          <w:color w:val="auto"/>
        </w:rPr>
      </w:pPr>
    </w:p>
    <w:p>
      <w:pPr>
        <w:ind w:right="5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$19.2 million, or 24%, to $99.1 million, revenue from Europe decreased by $3.5 million, or 6%, to $59.0 million and revenue from outside Europe and North America increased by $0.5 million, or 1%, to $57.1 million, in the three months ended March 31, 2023 compared to the same period in 2022.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30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by $8.7 million, or 13% to $78.2 million in the three months ended March 31, 2023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This increase was primarily driven by: (i) increased depreciation and amortization expense driven by our recent acquisitions; (ii) increased royalty, content and reviewer costs; and (iii) higher costs associated with website hosting, hardware and software licenses. We expect that our cost of revenue will continue to fluctuate in-line with changes in revenue.</w:t>
      </w: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$5.8 million, or 11%, to $47.5 million in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2022. As a percent of revenue, sales and marketing expenses decreased to 22% for the three months ended March 31, 2023, from 27% for the same period in 2022. This was primarily driven by $7.0 million in decreased performance marketing spend, partially offset by higher employee-related costs. We expect sales and marketing expenses to continue to fluctuate as we optimize our sales channels and invest in new customer acquisition, products and geographies.</w:t>
      </w:r>
    </w:p>
    <w:p>
      <w:pPr>
        <w:spacing w:after="0" w:line="80"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increased by $1.8 million, or 13%, to $15.4 million in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2022. This increase was driven by $1.8 million in higher employee and third-party contractor related costs, net of capitalized labor, for the three months ended March 31, 2023,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$3.0 million, or 10%, to $33.8 million in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2023 compared to the same period in 2022. This increase was driven by $2.4 million in higher employee-related costs and $1.9 million in severance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strategic workforce optimizations, partially offset by $0.8 million in lower professional fees.</w:t>
      </w:r>
    </w:p>
    <w:p>
      <w:pPr>
        <w:spacing w:after="0" w:line="89"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In the three months ended March 31, 2023, other income, net substantially consisted of $1.1 million of favorable unrealized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fluctuations. During the three months ended March 31, 2022, other income, net substantially consisted of $0.7 million of favorable unrealized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75" w:lineRule="exact"/>
        <w:rPr>
          <w:sz w:val="20"/>
          <w:szCs w:val="20"/>
          <w:color w:val="auto"/>
        </w:rPr>
      </w:pPr>
    </w:p>
    <w:p>
      <w:pPr>
        <w:ind w:right="4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increased by $2.5 million for the three months ended March 31, 2023, compared to the same period in 2022.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20.7% and 18.7% for the three months ended March 31, 2023 and 2022, respectively.</w:t>
      </w:r>
    </w:p>
    <w:p>
      <w:pPr>
        <w:spacing w:after="0" w:line="61"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2023, the net effect of discrete items increased the effective tax rate by 0.9%. Excluding discrete items, our effective tax rate would have been 19.8% for the three months ended March 31, 2023.</w:t>
      </w:r>
    </w:p>
    <w:p>
      <w:pPr>
        <w:spacing w:after="0" w:line="64"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2022, the net effect of discrete items decreased the effective tax rate by 0.2%. Excluding discrete items, our effective tax rate would have been 18.9% for the three months ended March 31, 2022.</w:t>
      </w:r>
    </w:p>
    <w:p>
      <w:pPr>
        <w:spacing w:after="0" w:line="10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including the effects of some seasonal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119"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right="36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2023, we had cash and cash equivalents totaling $95.8 million which consisted primarily of bank balances. Since inception, we have financed our operations primarily through cash flows generated from operations. In addition, if necessary, we have the ability to draw on our credit facility, which was obtained on May 6, 2022.</w:t>
      </w:r>
    </w:p>
    <w:p>
      <w:pPr>
        <w:spacing w:after="0" w:line="75"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and asset acquisitions that enhance our strategic position, cash dividend payments and share purchases</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our share repurchase program.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$0.27 per share of common stock, or $9.7 million during the three months ended March 31, 2023.</w:t>
      </w:r>
    </w:p>
    <w:p>
      <w:pPr>
        <w:spacing w:after="0" w:line="109"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On April 17, 2023, our Board of Directors declared a quarterly cash dividend of $0.27 per share of outstanding common stock payable on June 15, 2023 to stockholders of record at the close of business on June 1, 2023.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5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2023, we have repurchased approximately 3.8 million shares of our common stock under the share repurchase program at an average per-share cost of $52.97. As of December 31, 2022, we have fully utilized our authorization for purchases under the share repurchase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0" w:lineRule="exact"/>
        <w:rPr>
          <w:sz w:val="20"/>
          <w:szCs w:val="20"/>
          <w:color w:val="auto"/>
        </w:rPr>
      </w:pPr>
    </w:p>
    <w:p>
      <w:pPr>
        <w:ind w:right="480" w:firstLine="395"/>
        <w:spacing w:after="0" w:line="252" w:lineRule="auto"/>
        <w:rPr>
          <w:sz w:val="20"/>
          <w:szCs w:val="20"/>
          <w:color w:val="auto"/>
        </w:rPr>
      </w:pPr>
      <w:r>
        <w:rPr>
          <w:rFonts w:ascii="Times New Roman" w:cs="Times New Roman" w:eastAsia="Times New Roman" w:hAnsi="Times New Roman"/>
          <w:sz w:val="18"/>
          <w:szCs w:val="18"/>
          <w:color w:val="auto"/>
        </w:rPr>
        <w:t>On May 9, 2022, we borrowed $50 million for use in connection with the acquisition of Pond5 and for general corporate purposes. During the three months ended March 31, 2023, we repaid the full amount and had no outstanding borrowings under the Credit Facility. As of March 31, 2023, we had a remaining borrowing capacity of $98 million, net of standby letters of credit. For the three months ended March 31, 2023, we paid cash interest totaling $0.4 million.</w:t>
      </w:r>
    </w:p>
    <w:p>
      <w:pPr>
        <w:spacing w:after="0" w:line="7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March 31, 2023, we are in compliance with these covenants.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2023, we had approximately $74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March 31, 2023, we had approximately $49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14 to our Unaudited Consolidated Financial Statements included in Part I, Item 1 of this Quarterly Report on Form 10-Q for information regarding our existing capital commitments as of March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three months ended March 31, 2023 and 2022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25"/>
              <w:spacing w:after="0"/>
              <w:rPr>
                <w:sz w:val="20"/>
                <w:szCs w:val="20"/>
                <w:color w:val="auto"/>
              </w:rPr>
            </w:pPr>
            <w:r>
              <w:rPr>
                <w:rFonts w:ascii="Times New Roman" w:cs="Times New Roman" w:eastAsia="Times New Roman" w:hAnsi="Times New Roman"/>
                <w:sz w:val="16"/>
                <w:szCs w:val="16"/>
                <w:color w:val="auto"/>
                <w:w w:val="99"/>
              </w:rPr>
              <w:t>66,775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16"/>
                <w:szCs w:val="16"/>
                <w:color w:val="auto"/>
                <w:w w:val="99"/>
              </w:rPr>
              <w:t>22,723</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ind w:left="405"/>
              <w:spacing w:after="0"/>
              <w:rPr>
                <w:sz w:val="20"/>
                <w:szCs w:val="20"/>
                <w:color w:val="auto"/>
              </w:rPr>
            </w:pPr>
            <w:r>
              <w:rPr>
                <w:rFonts w:ascii="Times New Roman" w:cs="Times New Roman" w:eastAsia="Times New Roman" w:hAnsi="Times New Roman"/>
                <w:sz w:val="16"/>
                <w:szCs w:val="16"/>
                <w:color w:val="auto"/>
                <w:w w:val="98"/>
              </w:rPr>
              <w:t>(15,937)</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8"/>
              </w:rPr>
              <w:t>(12,525)</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05"/>
              <w:spacing w:after="0"/>
              <w:rPr>
                <w:sz w:val="20"/>
                <w:szCs w:val="20"/>
                <w:color w:val="auto"/>
              </w:rPr>
            </w:pPr>
            <w:r>
              <w:rPr>
                <w:rFonts w:ascii="Times New Roman" w:cs="Times New Roman" w:eastAsia="Times New Roman" w:hAnsi="Times New Roman"/>
                <w:sz w:val="16"/>
                <w:szCs w:val="16"/>
                <w:color w:val="auto"/>
                <w:w w:val="98"/>
              </w:rPr>
              <w:t>(70,667)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6"/>
                <w:szCs w:val="16"/>
                <w:color w:val="auto"/>
                <w:w w:val="98"/>
              </w:rPr>
              <w:t>(65,574)</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$66.8 million for the three months ended March 31, 2023, compared to $22.7 million for the three months ended March 31, 2022. In the three months ended March 31, 2023, operating cash flows were favorably impacted from an increase in operating income and changes in the timing of cash collections from our computer vision customers and payments pertaining to operating expenses, which can cause operating cash flow to fluctuate from period to period. In addition, operating cash flows for the three months ended March 31, 2022 were unfavorably impacted by several large accounts payables and accrued expense items from 2021 that were paid in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2023 was $15.9 million, consisting primarily of (i) capital expenditures of $12.4 million for internal-use software and website development costs and purchases of software and equipment, and (ii) $3.5 million paid to acquire the rights to distribute certain digital content into perpetuity.</w:t>
      </w:r>
    </w:p>
    <w:p>
      <w:pPr>
        <w:spacing w:after="0" w:line="75" w:lineRule="exact"/>
        <w:rPr>
          <w:sz w:val="20"/>
          <w:szCs w:val="20"/>
          <w:color w:val="auto"/>
        </w:rPr>
      </w:pPr>
    </w:p>
    <w:p>
      <w:pPr>
        <w:jc w:val="both"/>
        <w:ind w:right="300"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2022 was $12.5 million, consisting primarily of (i) capital expenditures of $11.8 million for internal-use software and website development costs and purchases of software and equipment, and (ii) $0.7 million paid to acquire the rights to distribute certain digital content in perpetuity.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2023 was $70.7 million, consisting of (i) $50.0 million used for the repayment of our Credit Facility; (ii) $9.7 million, related to the payment of the quarterly cash dividend, and (iii) $11.0 million paid in settlement of tax withholding obligations related to employee stock-based compensation awards.</w:t>
      </w:r>
    </w:p>
    <w:p>
      <w:pPr>
        <w:spacing w:after="0" w:line="7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2022 was $65.6 million, consisting primarily of (i) $38.4 million in connection with the repurchase of common stock under our share repurchase program; (ii) $18.5 million paid in settlement of tax withholding obligations related to employee stock-based compensation awards; and (iii) $8.7 million related to the payment of the quarterly cash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4"/>
        </w:trPr>
        <w:tc>
          <w:tcPr>
            <w:tcW w:w="8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69,764</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54,809</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47,134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37,184</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50,868</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10,214</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bl>
    <w:p>
      <w:pPr>
        <w:spacing w:after="0" w:line="200" w:lineRule="exact"/>
        <w:rPr>
          <w:sz w:val="20"/>
          <w:szCs w:val="20"/>
          <w:color w:val="auto"/>
        </w:rPr>
      </w:pPr>
    </w:p>
    <w:p>
      <w:pPr>
        <w:spacing w:after="0" w:line="268"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8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GAAP financial measures should be considered in addition to other financial performance measures, including various cash flow metrics, net income and our other GAAP results.</w:t>
      </w:r>
    </w:p>
    <w:p>
      <w:pPr>
        <w:spacing w:after="0" w:line="64"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 xml:space="preserve">We define adjusted EBITDA as net income adjusted for depreciation and amortization, non-cash equity-based compensation, foreign currency transaction gains and losses, severance costs associated with strategic workforce optimizations, interest income and expense and income taxes. We define adjusted EBITDA margin as </w:t>
      </w:r>
      <w:r>
        <w:rPr>
          <w:rFonts w:ascii="Times New Roman" w:cs="Times New Roman" w:eastAsia="Times New Roman" w:hAnsi="Times New Roman"/>
          <w:sz w:val="16"/>
          <w:szCs w:val="16"/>
          <w:color w:val="auto"/>
        </w:rPr>
        <w:t>the ratio of adjusted EBITDA to revenue.</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9"/>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26,572</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18,896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15,065</w:t>
            </w:r>
          </w:p>
        </w:tc>
        <w:tc>
          <w:tcPr>
            <w:tcW w:w="0" w:type="dxa"/>
            <w:vAlign w:val="bottom"/>
          </w:tcPr>
          <w:p>
            <w:pPr>
              <w:spacing w:after="0"/>
              <w:rPr>
                <w:sz w:val="1"/>
                <w:szCs w:val="1"/>
                <w:color w:val="auto"/>
              </w:rPr>
            </w:pPr>
          </w:p>
        </w:tc>
      </w:tr>
      <w:tr>
        <w:trPr>
          <w:trHeight w:val="209"/>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60" w:type="dxa"/>
            <w:vAlign w:val="bottom"/>
          </w:tcPr>
          <w:p>
            <w:pPr>
              <w:spacing w:after="0"/>
              <w:rPr>
                <w:sz w:val="18"/>
                <w:szCs w:val="18"/>
                <w:color w:val="auto"/>
              </w:rPr>
            </w:pP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7,826</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3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69,764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54,809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32.4 %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27.5 %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net includes unrealized foreign currency transaction gains and losses, severance associated with strategic workforce optimizations and interest income and expense.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 xml:space="preserve">We define adjusted net income as net income adjusted for the impact of non-cash equity-based compensation, the amortization of acquisition-related intangible assets, severance costs associated with strategic workforce optimizations and the estimated tax impact of such adjustments. We define adjusted net income per diluted common share as </w:t>
      </w:r>
      <w:r>
        <w:rPr>
          <w:rFonts w:ascii="Times New Roman" w:cs="Times New Roman" w:eastAsia="Times New Roman" w:hAnsi="Times New Roman"/>
          <w:sz w:val="16"/>
          <w:szCs w:val="16"/>
          <w:color w:val="auto"/>
        </w:rPr>
        <w:t>adjusted net income divided by weighted average diluted shares.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r>
      <w:tr>
        <w:trPr>
          <w:trHeight w:val="39"/>
        </w:trPr>
        <w:tc>
          <w:tcPr>
            <w:tcW w:w="8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26,572</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7,826</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(1,838)</w:t>
            </w:r>
          </w:p>
        </w:tc>
      </w:tr>
      <w:tr>
        <w:trPr>
          <w:trHeight w:val="21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amortization expense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6,045</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(1,421)</w:t>
            </w:r>
          </w:p>
        </w:tc>
      </w:tr>
      <w:tr>
        <w:trPr>
          <w:trHeight w:val="21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26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37,184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75"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5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9"/>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215,280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199,132</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53"/>
        </w:trPr>
        <w:tc>
          <w:tcPr>
            <w:tcW w:w="8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119,754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127,070</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 on a constant currency basis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r>
      <w:tr>
        <w:trPr>
          <w:trHeight w:val="92"/>
        </w:trPr>
        <w:tc>
          <w:tcPr>
            <w:tcW w:w="8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Enterprise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95,526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72,062</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 on a constant currency basis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35 %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80" w:type="dxa"/>
            <w:vAlign w:val="bottom"/>
            <w:gridSpan w:val="5"/>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9"/>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22,723</w:t>
            </w:r>
          </w:p>
        </w:tc>
      </w:tr>
      <w:tr>
        <w:trPr>
          <w:trHeight w:val="209"/>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(12,380)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(11,775)</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0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10,214</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30% and 33% for the three months ended March 31, 2023 and 2022,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three months ended March 31, 2023,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6"/>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0" w:type="dxa"/>
            <w:vAlign w:val="bottom"/>
            <w:tcBorders>
              <w:bottom w:val="single" w:sz="8" w:color="auto"/>
            </w:tcBorders>
          </w:tcPr>
          <w:p>
            <w:pPr>
              <w:spacing w:after="0"/>
              <w:rPr>
                <w:sz w:val="14"/>
                <w:szCs w:val="14"/>
                <w:color w:val="auto"/>
              </w:rPr>
            </w:pPr>
          </w:p>
        </w:tc>
      </w:tr>
      <w:tr>
        <w:trPr>
          <w:trHeight w:val="123"/>
        </w:trPr>
        <w:tc>
          <w:tcPr>
            <w:tcW w:w="7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2"/>
              <w:spacing w:after="0" w:line="123"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1"/>
        </w:trPr>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37,618</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33,015</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w:t>
            </w:r>
          </w:p>
        </w:tc>
      </w:tr>
      <w:tr>
        <w:trPr>
          <w:trHeight w:val="211"/>
        </w:trPr>
        <w:tc>
          <w:tcPr>
            <w:tcW w:w="726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150,866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133,863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1"/>
        </w:trPr>
        <w:tc>
          <w:tcPr>
            <w:tcW w:w="7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borrowed under our Credit Facility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our consolidated leverage ratio or (ii) the Term Secured Overnight Financing Rate (for interest periods of 1, 3 or 6 months)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ranging from 1.125% to 1.5%, determined based on our consolidated leverage ratio. A hypothetical 10% change in interest rates would not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on our interest expense as of March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March 31,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2023,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16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3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2022 Form 10-K, which could materially affect our business, financial condition or future results. During the three months ended March 31, 2023, there were no material changes to these risk factors as described in our 2022 Form 10-K.</w:t>
      </w:r>
    </w:p>
    <w:p>
      <w:pPr>
        <w:spacing w:after="0" w:line="3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three months ended March 31, 2023.</w:t>
      </w:r>
    </w:p>
    <w:p>
      <w:pPr>
        <w:spacing w:after="0" w:line="200" w:lineRule="exact"/>
        <w:rPr>
          <w:sz w:val="20"/>
          <w:szCs w:val="20"/>
          <w:color w:val="auto"/>
        </w:rPr>
      </w:pPr>
    </w:p>
    <w:p>
      <w:pPr>
        <w:spacing w:after="0" w:line="24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80" w:type="dxa"/>
            <w:vAlign w:val="bottom"/>
            <w:gridSpan w:val="5"/>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80" w:type="dxa"/>
            <w:vAlign w:val="bottom"/>
            <w:gridSpan w:val="5"/>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630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8"/>
              </w:rPr>
            </w:pPr>
            <w:hyperlink r:id="rId48">
              <w:r>
                <w:rPr>
                  <w:rFonts w:ascii="Times New Roman" w:cs="Times New Roman" w:eastAsia="Times New Roman" w:hAnsi="Times New Roman"/>
                  <w:sz w:val="16"/>
                  <w:szCs w:val="16"/>
                  <w:color w:val="0000FF"/>
                  <w:w w:val="98"/>
                </w:rPr>
                <w:t>Employment Agreement by and between John Caine and Shutterstock, Inc., dated January 12, 2023</w:t>
              </w:r>
            </w:hyperlink>
          </w:p>
        </w:tc>
        <w:tc>
          <w:tcPr>
            <w:tcW w:w="3660" w:type="dxa"/>
            <w:vAlign w:val="bottom"/>
            <w:gridSpan w:val="4"/>
          </w:tcPr>
          <w:p>
            <w:pPr>
              <w:spacing w:after="0"/>
              <w:rPr>
                <w:sz w:val="16"/>
                <w:szCs w:val="16"/>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r>
      <w:tr>
        <w:trPr>
          <w:trHeight w:val="177"/>
        </w:trPr>
        <w:tc>
          <w:tcPr>
            <w:tcW w:w="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996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auto"/>
                <w:w w:val="98"/>
              </w:rPr>
              <w:t>XBRL Instance Document - the instance document does not appear in the Interactive Data File because its XBRL tags are embedded within the Inline XBRL</w:t>
            </w:r>
          </w:p>
        </w:tc>
      </w:tr>
      <w:tr>
        <w:trPr>
          <w:trHeight w:val="207"/>
        </w:trPr>
        <w:tc>
          <w:tcPr>
            <w:tcW w:w="960" w:type="dxa"/>
            <w:vAlign w:val="bottom"/>
          </w:tcPr>
          <w:p>
            <w:pPr>
              <w:spacing w:after="0"/>
              <w:rPr>
                <w:sz w:val="17"/>
                <w:szCs w:val="17"/>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960" w:hanging="958"/>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400" w:top="121" w:right="59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420" w:type="dxa"/>
            <w:vAlign w:val="bottom"/>
          </w:tcPr>
          <w:p>
            <w:pPr>
              <w:spacing w:after="0"/>
              <w:rPr>
                <w:sz w:val="18"/>
                <w:szCs w:val="18"/>
                <w:color w:val="auto"/>
              </w:rPr>
            </w:pPr>
          </w:p>
        </w:tc>
        <w:tc>
          <w:tcPr>
            <w:tcW w:w="7780" w:type="dxa"/>
            <w:vAlign w:val="bottom"/>
            <w:gridSpan w:val="2"/>
          </w:tcPr>
          <w:p>
            <w:pPr>
              <w:ind w:left="202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Dated: April 25, 2023</w:t>
            </w:r>
          </w:p>
        </w:tc>
        <w:tc>
          <w:tcPr>
            <w:tcW w:w="266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10"/>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Dated: April 25, 2023</w:t>
            </w:r>
          </w:p>
        </w:tc>
        <w:tc>
          <w:tcPr>
            <w:tcW w:w="266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21"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25, 2023</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April 25,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2023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25, 2023</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2023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April 25,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48" Type="http://schemas.openxmlformats.org/officeDocument/2006/relationships/hyperlink" Target="http://www.sec.gov/Archives/edgar/data/1549346/000154934623000003/executiveemployme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2023-04-25T06:14:09Z</dcterms:created>
  <dcterms:modified xsi:type="dcterms:W3CDTF">2023-04-25T06:14:09Z</dcterms:modified>
</cp:coreProperties>
</file>