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530860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Washington, D.C. 20549</w:t>
      </w:r>
    </w:p>
    <w:p>
      <w:pPr>
        <w:ind w:left="3560"/>
        <w:spacing w:after="0"/>
        <w:rPr>
          <w:sz w:val="20"/>
          <w:szCs w:val="20"/>
          <w:color w:val="auto"/>
        </w:rPr>
      </w:pPr>
      <w:r>
        <w:rPr>
          <w:rFonts w:ascii="Arial" w:cs="Arial" w:eastAsia="Arial" w:hAnsi="Arial"/>
          <w:sz w:val="14"/>
          <w:szCs w:val="14"/>
          <w:color w:val="auto"/>
        </w:rPr>
        <w:t>___________________________________________________________</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10-Q</w:t>
      </w:r>
    </w:p>
    <w:p>
      <w:pPr>
        <w:spacing w:after="0" w:line="3"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540" w:hanging="217"/>
        <w:spacing w:after="0"/>
        <w:tabs>
          <w:tab w:leader="none" w:pos="5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8" w:lineRule="exact"/>
        <w:rPr>
          <w:rFonts w:ascii="MS PGothic" w:cs="MS PGothic" w:eastAsia="MS PGothic" w:hAnsi="MS PGothic"/>
          <w:sz w:val="13"/>
          <w:szCs w:val="13"/>
          <w:color w:val="auto"/>
        </w:rPr>
      </w:pPr>
    </w:p>
    <w:p>
      <w:pPr>
        <w:ind w:left="444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For the quarterly period ended June 30, 2020</w:t>
      </w:r>
    </w:p>
    <w:p>
      <w:pPr>
        <w:spacing w:after="0" w:line="5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720" w:hanging="397"/>
        <w:spacing w:after="0"/>
        <w:tabs>
          <w:tab w:leader="none" w:pos="72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38" w:lineRule="exact"/>
        <w:rPr>
          <w:sz w:val="24"/>
          <w:szCs w:val="24"/>
          <w:color w:val="auto"/>
        </w:rPr>
      </w:pPr>
    </w:p>
    <w:p>
      <w:pPr>
        <w:ind w:left="4500"/>
        <w:spacing w:after="0"/>
        <w:tabs>
          <w:tab w:leader="none" w:pos="6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Commission File Number: 001-35669</w:t>
      </w:r>
    </w:p>
    <w:p>
      <w:pPr>
        <w:spacing w:after="0" w:line="55"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___________________________________________________________</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SHUTTERSTOCK, INC.</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________________________________________________________</w:t>
      </w:r>
    </w:p>
    <w:p>
      <w:pPr>
        <w:spacing w:after="0" w:line="73" w:lineRule="exact"/>
        <w:rPr>
          <w:sz w:val="24"/>
          <w:szCs w:val="24"/>
          <w:color w:val="auto"/>
        </w:rPr>
      </w:pPr>
    </w:p>
    <w:p>
      <w:pPr>
        <w:ind w:left="2460"/>
        <w:spacing w:after="0"/>
        <w:tabs>
          <w:tab w:leader="none" w:pos="8240" w:val="left"/>
        </w:tabs>
        <w:rPr>
          <w:sz w:val="20"/>
          <w:szCs w:val="20"/>
          <w:color w:val="auto"/>
        </w:rPr>
      </w:pPr>
      <w:r>
        <w:rPr>
          <w:rFonts w:ascii="Arial" w:cs="Arial" w:eastAsia="Arial" w:hAnsi="Arial"/>
          <w:sz w:val="13"/>
          <w:szCs w:val="13"/>
          <w:b w:val="1"/>
          <w:bCs w:val="1"/>
          <w:color w:val="auto"/>
        </w:rPr>
        <w:t>Delaware</w:t>
      </w:r>
      <w:r>
        <w:rPr>
          <w:sz w:val="20"/>
          <w:szCs w:val="20"/>
          <w:color w:val="auto"/>
        </w:rPr>
        <w:tab/>
      </w:r>
      <w:r>
        <w:rPr>
          <w:rFonts w:ascii="Arial" w:cs="Arial" w:eastAsia="Arial" w:hAnsi="Arial"/>
          <w:sz w:val="13"/>
          <w:szCs w:val="13"/>
          <w:b w:val="1"/>
          <w:bCs w:val="1"/>
          <w:color w:val="auto"/>
        </w:rPr>
        <w:t>80-0812659</w:t>
      </w:r>
    </w:p>
    <w:p>
      <w:pPr>
        <w:spacing w:after="0" w:line="48" w:lineRule="exact"/>
        <w:rPr>
          <w:sz w:val="24"/>
          <w:szCs w:val="24"/>
          <w:color w:val="auto"/>
        </w:rPr>
      </w:pPr>
    </w:p>
    <w:p>
      <w:pPr>
        <w:ind w:left="1380"/>
        <w:spacing w:after="0"/>
        <w:tabs>
          <w:tab w:leader="none" w:pos="7720" w:val="left"/>
        </w:tabs>
        <w:rPr>
          <w:sz w:val="20"/>
          <w:szCs w:val="20"/>
          <w:color w:val="auto"/>
        </w:rPr>
      </w:pPr>
      <w:r>
        <w:rPr>
          <w:rFonts w:ascii="Arial" w:cs="Arial" w:eastAsia="Arial" w:hAnsi="Arial"/>
          <w:sz w:val="11"/>
          <w:szCs w:val="11"/>
          <w:color w:val="auto"/>
        </w:rPr>
        <w:t>(State or other jurisdiction of incorporation or organization)</w:t>
      </w:r>
      <w:r>
        <w:rPr>
          <w:sz w:val="20"/>
          <w:szCs w:val="20"/>
          <w:color w:val="auto"/>
        </w:rPr>
        <w:tab/>
      </w:r>
      <w:r>
        <w:rPr>
          <w:rFonts w:ascii="Arial" w:cs="Arial" w:eastAsia="Arial" w:hAnsi="Arial"/>
          <w:sz w:val="10"/>
          <w:szCs w:val="10"/>
          <w:color w:val="auto"/>
        </w:rPr>
        <w:t>(I.R.S. Employer Identification No.)</w:t>
      </w:r>
    </w:p>
    <w:p>
      <w:pPr>
        <w:spacing w:after="0" w:line="101"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350 Fifth Avenue, 21st Floor</w:t>
      </w:r>
    </w:p>
    <w:p>
      <w:pPr>
        <w:spacing w:after="0" w:line="12"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New York, NY 10118</w:t>
      </w:r>
    </w:p>
    <w:p>
      <w:pPr>
        <w:jc w:val="center"/>
        <w:ind w:right="-379"/>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28" w:lineRule="exact"/>
        <w:rPr>
          <w:sz w:val="24"/>
          <w:szCs w:val="24"/>
          <w:color w:val="auto"/>
        </w:rPr>
      </w:pPr>
    </w:p>
    <w:p>
      <w:pPr>
        <w:jc w:val="center"/>
        <w:ind w:right="-379"/>
        <w:spacing w:after="0"/>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646</w:t>
      </w:r>
      <w:r>
        <w:rPr>
          <w:rFonts w:ascii="Arial" w:cs="Arial" w:eastAsia="Arial" w:hAnsi="Arial"/>
          <w:sz w:val="13"/>
          <w:szCs w:val="13"/>
          <w:color w:val="auto"/>
        </w:rPr>
        <w:t xml:space="preserve">) </w:t>
      </w:r>
      <w:r>
        <w:rPr>
          <w:rFonts w:ascii="Arial" w:cs="Arial" w:eastAsia="Arial" w:hAnsi="Arial"/>
          <w:sz w:val="14"/>
          <w:szCs w:val="14"/>
          <w:color w:val="auto"/>
        </w:rPr>
        <w:t>710-3417</w:t>
      </w:r>
    </w:p>
    <w:p>
      <w:pPr>
        <w:spacing w:after="0" w:line="19" w:lineRule="exact"/>
        <w:rPr>
          <w:sz w:val="24"/>
          <w:szCs w:val="24"/>
          <w:color w:val="auto"/>
        </w:rPr>
      </w:pPr>
    </w:p>
    <w:p>
      <w:pPr>
        <w:ind w:left="4460"/>
        <w:spacing w:after="0"/>
        <w:rPr>
          <w:sz w:val="20"/>
          <w:szCs w:val="20"/>
          <w:color w:val="auto"/>
        </w:rPr>
      </w:pPr>
      <w:r>
        <w:rPr>
          <w:rFonts w:ascii="Arial" w:cs="Arial" w:eastAsia="Arial" w:hAnsi="Arial"/>
          <w:sz w:val="13"/>
          <w:szCs w:val="13"/>
          <w:color w:val="auto"/>
        </w:rPr>
        <w:t>(Registrant’s telephone number, including area code)</w:t>
      </w:r>
    </w:p>
    <w:p>
      <w:pPr>
        <w:spacing w:after="0" w:line="35" w:lineRule="exact"/>
        <w:rPr>
          <w:sz w:val="24"/>
          <w:szCs w:val="24"/>
          <w:color w:val="auto"/>
        </w:rPr>
      </w:pPr>
    </w:p>
    <w:p>
      <w:pPr>
        <w:ind w:left="5440"/>
        <w:spacing w:after="0"/>
        <w:rPr>
          <w:sz w:val="20"/>
          <w:szCs w:val="20"/>
          <w:color w:val="auto"/>
        </w:rPr>
      </w:pPr>
      <w:r>
        <w:rPr>
          <w:rFonts w:ascii="Arial" w:cs="Arial" w:eastAsia="Arial" w:hAnsi="Arial"/>
          <w:sz w:val="13"/>
          <w:szCs w:val="13"/>
          <w:color w:val="auto"/>
        </w:rPr>
        <w:t>Not applicable</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ind w:left="3480"/>
        <w:spacing w:after="0"/>
        <w:rPr>
          <w:sz w:val="20"/>
          <w:szCs w:val="20"/>
          <w:color w:val="auto"/>
        </w:rPr>
      </w:pPr>
      <w:r>
        <w:rPr>
          <w:rFonts w:ascii="Arial" w:cs="Arial" w:eastAsia="Arial" w:hAnsi="Arial"/>
          <w:sz w:val="8"/>
          <w:szCs w:val="8"/>
          <w:color w:val="auto"/>
        </w:rPr>
        <w:t>______________________________________________________________________________________________________________</w:t>
      </w:r>
    </w:p>
    <w:p>
      <w:pPr>
        <w:spacing w:after="0" w:line="18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5" w:lineRule="exact"/>
        <w:rPr>
          <w:sz w:val="24"/>
          <w:szCs w:val="24"/>
          <w:color w:val="auto"/>
        </w:rPr>
      </w:pPr>
    </w:p>
    <w:tbl>
      <w:tblPr>
        <w:tblLayout w:type="fixed"/>
        <w:tblInd w:w="720" w:type="dxa"/>
        <w:tblCellMar>
          <w:top w:w="0" w:type="dxa"/>
          <w:left w:w="0" w:type="dxa"/>
          <w:bottom w:w="0" w:type="dxa"/>
          <w:right w:w="0" w:type="dxa"/>
        </w:tblCellMar>
      </w:tblPr>
      <w:tr>
        <w:trPr>
          <w:trHeight w:val="151"/>
        </w:trPr>
        <w:tc>
          <w:tcPr>
            <w:tcW w:w="3840" w:type="dxa"/>
            <w:vAlign w:val="bottom"/>
            <w:tcBorders>
              <w:bottom w:val="single" w:sz="8" w:color="auto"/>
            </w:tcBorders>
          </w:tcPr>
          <w:p>
            <w:pPr>
              <w:jc w:val="center"/>
              <w:ind w:left="303"/>
              <w:spacing w:after="0"/>
              <w:rPr>
                <w:sz w:val="20"/>
                <w:szCs w:val="20"/>
                <w:color w:val="auto"/>
              </w:rPr>
            </w:pPr>
            <w:r>
              <w:rPr>
                <w:rFonts w:ascii="Arial" w:cs="Arial" w:eastAsia="Arial" w:hAnsi="Arial"/>
                <w:sz w:val="11"/>
                <w:szCs w:val="11"/>
                <w:b w:val="1"/>
                <w:bCs w:val="1"/>
                <w:color w:val="auto"/>
                <w:w w:val="88"/>
              </w:rPr>
              <w:t>Title of each class</w:t>
            </w:r>
          </w:p>
        </w:tc>
        <w:tc>
          <w:tcPr>
            <w:tcW w:w="230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93"/>
              </w:rPr>
              <w:t>Trading Symbol(s)</w:t>
            </w:r>
          </w:p>
        </w:tc>
        <w:tc>
          <w:tcPr>
            <w:tcW w:w="3700" w:type="dxa"/>
            <w:vAlign w:val="bottom"/>
            <w:tcBorders>
              <w:bottom w:val="single" w:sz="8" w:color="auto"/>
            </w:tcBorders>
          </w:tcPr>
          <w:p>
            <w:pPr>
              <w:jc w:val="center"/>
              <w:ind w:right="223"/>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46"/>
        </w:trPr>
        <w:tc>
          <w:tcPr>
            <w:tcW w:w="3840" w:type="dxa"/>
            <w:vAlign w:val="bottom"/>
          </w:tcPr>
          <w:p>
            <w:pPr>
              <w:jc w:val="center"/>
              <w:ind w:left="323"/>
              <w:spacing w:after="0"/>
              <w:rPr>
                <w:sz w:val="20"/>
                <w:szCs w:val="20"/>
                <w:color w:val="auto"/>
              </w:rPr>
            </w:pPr>
            <w:r>
              <w:rPr>
                <w:rFonts w:ascii="Arial" w:cs="Arial" w:eastAsia="Arial" w:hAnsi="Arial"/>
                <w:sz w:val="11"/>
                <w:szCs w:val="11"/>
                <w:b w:val="1"/>
                <w:bCs w:val="1"/>
                <w:color w:val="auto"/>
                <w:w w:val="92"/>
              </w:rPr>
              <w:t>Common Stock, $0.01 par value per share</w:t>
            </w:r>
          </w:p>
        </w:tc>
        <w:tc>
          <w:tcPr>
            <w:tcW w:w="2300" w:type="dxa"/>
            <w:vAlign w:val="bottom"/>
          </w:tcPr>
          <w:p>
            <w:pPr>
              <w:jc w:val="center"/>
              <w:ind w:left="3"/>
              <w:spacing w:after="0"/>
              <w:rPr>
                <w:sz w:val="20"/>
                <w:szCs w:val="20"/>
                <w:color w:val="auto"/>
              </w:rPr>
            </w:pPr>
            <w:r>
              <w:rPr>
                <w:rFonts w:ascii="Arial" w:cs="Arial" w:eastAsia="Arial" w:hAnsi="Arial"/>
                <w:sz w:val="11"/>
                <w:szCs w:val="11"/>
                <w:b w:val="1"/>
                <w:bCs w:val="1"/>
                <w:color w:val="auto"/>
                <w:w w:val="95"/>
              </w:rPr>
              <w:t>SSTK</w:t>
            </w:r>
          </w:p>
        </w:tc>
        <w:tc>
          <w:tcPr>
            <w:tcW w:w="3700" w:type="dxa"/>
            <w:vAlign w:val="bottom"/>
          </w:tcPr>
          <w:p>
            <w:pPr>
              <w:jc w:val="center"/>
              <w:ind w:right="243"/>
              <w:spacing w:after="0"/>
              <w:rPr>
                <w:sz w:val="20"/>
                <w:szCs w:val="20"/>
                <w:color w:val="auto"/>
              </w:rPr>
            </w:pPr>
            <w:r>
              <w:rPr>
                <w:rFonts w:ascii="Arial" w:cs="Arial" w:eastAsia="Arial" w:hAnsi="Arial"/>
                <w:sz w:val="11"/>
                <w:szCs w:val="11"/>
                <w:b w:val="1"/>
                <w:bCs w:val="1"/>
                <w:color w:val="auto"/>
                <w:w w:val="92"/>
              </w:rPr>
              <w:t>New York Stock Exchange</w:t>
            </w:r>
          </w:p>
        </w:tc>
      </w:tr>
    </w:tbl>
    <w:p>
      <w:pPr>
        <w:spacing w:after="0" w:line="82" w:lineRule="exact"/>
        <w:rPr>
          <w:sz w:val="24"/>
          <w:szCs w:val="24"/>
          <w:color w:val="auto"/>
        </w:rPr>
      </w:pPr>
    </w:p>
    <w:p>
      <w:pPr>
        <w:ind w:right="360" w:firstLine="318"/>
        <w:spacing w:after="0" w:line="15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6" w:lineRule="exact"/>
        <w:rPr>
          <w:sz w:val="24"/>
          <w:szCs w:val="24"/>
          <w:color w:val="auto"/>
        </w:rPr>
      </w:pPr>
    </w:p>
    <w:p>
      <w:pPr>
        <w:ind w:right="20" w:firstLine="318"/>
        <w:spacing w:after="0" w:line="15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6" w:lineRule="exact"/>
        <w:rPr>
          <w:sz w:val="24"/>
          <w:szCs w:val="24"/>
          <w:color w:val="auto"/>
        </w:rPr>
      </w:pPr>
    </w:p>
    <w:p>
      <w:pPr>
        <w:ind w:firstLine="318"/>
        <w:spacing w:after="0" w:line="26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214" w:right="379" w:bottom="1440" w:gutter="0" w:footer="0" w:header="0"/>
        </w:sectPr>
      </w:pPr>
    </w:p>
    <w:p>
      <w:pPr>
        <w:spacing w:after="0" w:line="34" w:lineRule="exact"/>
        <w:rPr>
          <w:sz w:val="24"/>
          <w:szCs w:val="24"/>
          <w:color w:val="auto"/>
        </w:rPr>
      </w:pPr>
    </w:p>
    <w:tbl>
      <w:tblPr>
        <w:tblLayout w:type="fixed"/>
        <w:tblInd w:w="1480" w:type="dxa"/>
        <w:tblCellMar>
          <w:top w:w="0" w:type="dxa"/>
          <w:left w:w="0" w:type="dxa"/>
          <w:bottom w:w="0" w:type="dxa"/>
          <w:right w:w="0" w:type="dxa"/>
        </w:tblCellMar>
      </w:tblPr>
      <w:tr>
        <w:trPr>
          <w:trHeight w:val="191"/>
        </w:trPr>
        <w:tc>
          <w:tcPr>
            <w:tcW w:w="1160" w:type="dxa"/>
            <w:vAlign w:val="bottom"/>
          </w:tcPr>
          <w:p>
            <w:pPr>
              <w:jc w:val="right"/>
              <w:ind w:right="20"/>
              <w:spacing w:after="0"/>
              <w:rPr>
                <w:sz w:val="20"/>
                <w:szCs w:val="20"/>
                <w:color w:val="auto"/>
              </w:rPr>
            </w:pPr>
            <w:r>
              <w:rPr>
                <w:rFonts w:ascii="Arial" w:cs="Arial" w:eastAsia="Arial" w:hAnsi="Arial"/>
                <w:sz w:val="12"/>
                <w:szCs w:val="12"/>
                <w:color w:val="auto"/>
                <w:w w:val="89"/>
              </w:rPr>
              <w:t>Large accelerated filer</w:t>
            </w:r>
          </w:p>
        </w:tc>
        <w:tc>
          <w:tcPr>
            <w:tcW w:w="28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jc w:val="right"/>
              <w:spacing w:after="0"/>
              <w:rPr>
                <w:sz w:val="20"/>
                <w:szCs w:val="20"/>
                <w:color w:val="auto"/>
              </w:rPr>
            </w:pPr>
            <w:r>
              <w:rPr>
                <w:rFonts w:ascii="Arial" w:cs="Arial" w:eastAsia="Arial" w:hAnsi="Arial"/>
                <w:sz w:val="12"/>
                <w:szCs w:val="12"/>
                <w:color w:val="auto"/>
              </w:rPr>
              <w:t>Accelerated filer</w:t>
            </w:r>
          </w:p>
        </w:tc>
        <w:tc>
          <w:tcPr>
            <w:tcW w:w="200" w:type="dxa"/>
            <w:vAlign w:val="bottom"/>
          </w:tcPr>
          <w:p>
            <w:pPr>
              <w:ind w:left="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1"/>
        </w:trPr>
        <w:tc>
          <w:tcPr>
            <w:tcW w:w="1160" w:type="dxa"/>
            <w:vAlign w:val="bottom"/>
          </w:tcPr>
          <w:p>
            <w:pPr>
              <w:jc w:val="right"/>
              <w:ind w:right="20"/>
              <w:spacing w:after="0"/>
              <w:rPr>
                <w:sz w:val="20"/>
                <w:szCs w:val="20"/>
                <w:color w:val="auto"/>
              </w:rPr>
            </w:pPr>
            <w:r>
              <w:rPr>
                <w:rFonts w:ascii="Arial" w:cs="Arial" w:eastAsia="Arial" w:hAnsi="Arial"/>
                <w:sz w:val="12"/>
                <w:szCs w:val="12"/>
                <w:color w:val="auto"/>
                <w:w w:val="95"/>
              </w:rPr>
              <w:t>Non-accelerated filer</w:t>
            </w:r>
          </w:p>
        </w:tc>
        <w:tc>
          <w:tcPr>
            <w:tcW w:w="28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jc w:val="right"/>
              <w:spacing w:after="0"/>
              <w:rPr>
                <w:sz w:val="20"/>
                <w:szCs w:val="20"/>
                <w:color w:val="auto"/>
              </w:rPr>
            </w:pPr>
            <w:r>
              <w:rPr>
                <w:rFonts w:ascii="Arial" w:cs="Arial" w:eastAsia="Arial" w:hAnsi="Arial"/>
                <w:sz w:val="12"/>
                <w:szCs w:val="12"/>
                <w:color w:val="auto"/>
              </w:rPr>
              <w:t>Smaller reporting company</w:t>
            </w:r>
          </w:p>
        </w:tc>
        <w:tc>
          <w:tcPr>
            <w:tcW w:w="200" w:type="dxa"/>
            <w:vAlign w:val="bottom"/>
          </w:tcPr>
          <w:p>
            <w:pPr>
              <w:ind w:left="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00" w:type="dxa"/>
            <w:vAlign w:val="bottom"/>
          </w:tcPr>
          <w:p>
            <w:pPr>
              <w:jc w:val="right"/>
              <w:spacing w:after="0"/>
              <w:rPr>
                <w:sz w:val="20"/>
                <w:szCs w:val="20"/>
                <w:color w:val="auto"/>
              </w:rPr>
            </w:pPr>
            <w:r>
              <w:rPr>
                <w:rFonts w:ascii="Arial" w:cs="Arial" w:eastAsia="Arial" w:hAnsi="Arial"/>
                <w:sz w:val="12"/>
                <w:szCs w:val="12"/>
                <w:color w:val="auto"/>
              </w:rPr>
              <w:t>Emerging growth company</w:t>
            </w:r>
          </w:p>
        </w:tc>
        <w:tc>
          <w:tcPr>
            <w:tcW w:w="200" w:type="dxa"/>
            <w:vAlign w:val="bottom"/>
          </w:tcPr>
          <w:p>
            <w:pPr>
              <w:ind w:left="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8" w:lineRule="exact"/>
        <w:rPr>
          <w:sz w:val="24"/>
          <w:szCs w:val="24"/>
          <w:color w:val="auto"/>
        </w:rPr>
      </w:pPr>
    </w:p>
    <w:p>
      <w:pPr>
        <w:ind w:left="20" w:right="120"/>
        <w:spacing w:after="0" w:line="27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 w:lineRule="exact"/>
        <w:rPr>
          <w:sz w:val="24"/>
          <w:szCs w:val="24"/>
          <w:color w:val="auto"/>
        </w:rPr>
      </w:pPr>
    </w:p>
    <w:p>
      <w:pPr>
        <w:ind w:left="20"/>
        <w:spacing w:after="0" w:line="18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86"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348" w:lineRule="exact"/>
        <w:rPr>
          <w:sz w:val="24"/>
          <w:szCs w:val="24"/>
          <w:color w:val="auto"/>
        </w:rPr>
      </w:pPr>
    </w:p>
    <w:p>
      <w:pPr>
        <w:sectPr>
          <w:pgSz w:w="11900" w:h="16838" w:orient="portrait"/>
          <w:cols w:equalWidth="0" w:num="2">
            <w:col w:w="10580" w:space="280"/>
            <w:col w:w="360"/>
          </w:cols>
          <w:pgMar w:left="300" w:top="214" w:right="379" w:bottom="1440" w:gutter="0" w:footer="0" w:header="0"/>
          <w:type w:val="continuous"/>
        </w:sectPr>
      </w:pPr>
    </w:p>
    <w:p>
      <w:pPr>
        <w:ind w:left="320"/>
        <w:spacing w:after="0"/>
        <w:rPr>
          <w:sz w:val="20"/>
          <w:szCs w:val="20"/>
          <w:color w:val="auto"/>
        </w:rPr>
      </w:pPr>
      <w:r>
        <w:rPr>
          <w:rFonts w:ascii="Arial" w:cs="Arial" w:eastAsia="Arial" w:hAnsi="Arial"/>
          <w:sz w:val="12"/>
          <w:szCs w:val="12"/>
          <w:color w:val="auto"/>
        </w:rPr>
        <w:t>As of July 24, 2020, 35,695,665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4819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214" w:right="379" w:bottom="1440" w:gutter="0" w:footer="0" w:header="0"/>
          <w:type w:val="continuous"/>
        </w:sectPr>
      </w:pPr>
    </w:p>
    <w:bookmarkStart w:id="1" w:name="page2"/>
    <w:bookmarkEnd w:id="1"/>
    <w:p>
      <w:pPr>
        <w:ind w:left="30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9360" w:type="dxa"/>
            <w:vAlign w:val="bottom"/>
          </w:tcPr>
          <w:p>
            <w:pPr>
              <w:jc w:val="center"/>
              <w:spacing w:after="0"/>
              <w:rPr>
                <w:sz w:val="20"/>
                <w:szCs w:val="20"/>
                <w:color w:val="auto"/>
              </w:rPr>
            </w:pPr>
            <w:r>
              <w:rPr>
                <w:rFonts w:ascii="Arial" w:cs="Arial" w:eastAsia="Arial" w:hAnsi="Arial"/>
                <w:sz w:val="14"/>
                <w:szCs w:val="14"/>
                <w:b w:val="1"/>
                <w:bCs w:val="1"/>
                <w:color w:val="auto"/>
                <w:w w:val="91"/>
              </w:rPr>
              <w:t>Shutterstock, Inc.</w:t>
            </w:r>
          </w:p>
        </w:tc>
        <w:tc>
          <w:tcPr>
            <w:tcW w:w="9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9360" w:type="dxa"/>
            <w:vAlign w:val="bottom"/>
          </w:tcPr>
          <w:p>
            <w:pPr>
              <w:jc w:val="center"/>
              <w:spacing w:after="0"/>
              <w:rPr>
                <w:sz w:val="20"/>
                <w:szCs w:val="20"/>
                <w:color w:val="auto"/>
              </w:rPr>
            </w:pPr>
            <w:r>
              <w:rPr>
                <w:rFonts w:ascii="Arial" w:cs="Arial" w:eastAsia="Arial" w:hAnsi="Arial"/>
                <w:sz w:val="14"/>
                <w:szCs w:val="14"/>
                <w:b w:val="1"/>
                <w:bCs w:val="1"/>
                <w:color w:val="auto"/>
                <w:w w:val="99"/>
              </w:rPr>
              <w:t>FORM 10-Q</w:t>
            </w:r>
          </w:p>
        </w:tc>
        <w:tc>
          <w:tcPr>
            <w:tcW w:w="9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9360" w:type="dxa"/>
            <w:vAlign w:val="bottom"/>
          </w:tcPr>
          <w:p>
            <w:pPr>
              <w:ind w:left="4120"/>
              <w:spacing w:after="0"/>
              <w:rPr>
                <w:sz w:val="20"/>
                <w:szCs w:val="20"/>
                <w:color w:val="auto"/>
              </w:rPr>
            </w:pPr>
            <w:r>
              <w:rPr>
                <w:rFonts w:ascii="Arial" w:cs="Arial" w:eastAsia="Arial" w:hAnsi="Arial"/>
                <w:sz w:val="14"/>
                <w:szCs w:val="14"/>
                <w:b w:val="1"/>
                <w:bCs w:val="1"/>
                <w:color w:val="auto"/>
              </w:rPr>
              <w:t>Table of Contents</w:t>
            </w:r>
          </w:p>
        </w:tc>
        <w:tc>
          <w:tcPr>
            <w:tcW w:w="920" w:type="dxa"/>
            <w:vAlign w:val="bottom"/>
          </w:tcPr>
          <w:p>
            <w:pPr>
              <w:spacing w:after="0"/>
              <w:rPr>
                <w:sz w:val="14"/>
                <w:szCs w:val="14"/>
                <w:color w:val="auto"/>
              </w:rPr>
            </w:pPr>
          </w:p>
        </w:tc>
      </w:tr>
      <w:tr>
        <w:trPr>
          <w:trHeight w:val="184"/>
        </w:trPr>
        <w:tc>
          <w:tcPr>
            <w:tcW w:w="960" w:type="dxa"/>
            <w:vAlign w:val="bottom"/>
          </w:tcPr>
          <w:p>
            <w:pPr>
              <w:spacing w:after="0"/>
              <w:rPr>
                <w:sz w:val="16"/>
                <w:szCs w:val="16"/>
                <w:color w:val="auto"/>
              </w:rPr>
            </w:pPr>
          </w:p>
        </w:tc>
        <w:tc>
          <w:tcPr>
            <w:tcW w:w="936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Quarterly Period Ended June 30, 2020</w:t>
            </w:r>
          </w:p>
        </w:tc>
        <w:tc>
          <w:tcPr>
            <w:tcW w:w="920" w:type="dxa"/>
            <w:vAlign w:val="bottom"/>
          </w:tcPr>
          <w:p>
            <w:pPr>
              <w:spacing w:after="0"/>
              <w:rPr>
                <w:sz w:val="16"/>
                <w:szCs w:val="16"/>
                <w:color w:val="auto"/>
              </w:rPr>
            </w:pPr>
          </w:p>
        </w:tc>
      </w:tr>
      <w:tr>
        <w:trPr>
          <w:trHeight w:val="172"/>
        </w:trPr>
        <w:tc>
          <w:tcPr>
            <w:tcW w:w="9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rPr>
              <w:t>Page No.</w:t>
            </w:r>
          </w:p>
        </w:tc>
      </w:tr>
      <w:tr>
        <w:trPr>
          <w:trHeight w:val="196"/>
        </w:trPr>
        <w:tc>
          <w:tcPr>
            <w:tcW w:w="10320" w:type="dxa"/>
            <w:vAlign w:val="bottom"/>
            <w:gridSpan w:val="2"/>
          </w:tcPr>
          <w:p>
            <w:pPr>
              <w:spacing w:after="0"/>
              <w:rPr>
                <w:rFonts w:ascii="Arial" w:cs="Arial" w:eastAsia="Arial" w:hAnsi="Arial"/>
                <w:sz w:val="13"/>
                <w:szCs w:val="13"/>
                <w:b w:val="1"/>
                <w:bCs w:val="1"/>
                <w:u w:val="single" w:color="auto"/>
                <w:color w:val="0000FF"/>
              </w:rPr>
            </w:pPr>
            <w:hyperlink w:anchor="page3">
              <w:r>
                <w:rPr>
                  <w:rFonts w:ascii="Arial" w:cs="Arial" w:eastAsia="Arial" w:hAnsi="Arial"/>
                  <w:sz w:val="13"/>
                  <w:szCs w:val="13"/>
                  <w:b w:val="1"/>
                  <w:bCs w:val="1"/>
                  <w:u w:val="single" w:color="auto"/>
                  <w:color w:val="0000FF"/>
                </w:rPr>
                <w:t>PART I. FINANCIAL INFORMATION</w:t>
              </w:r>
            </w:hyperlink>
          </w:p>
        </w:tc>
        <w:tc>
          <w:tcPr>
            <w:tcW w:w="920" w:type="dxa"/>
            <w:vAlign w:val="bottom"/>
          </w:tcPr>
          <w:p>
            <w:pPr>
              <w:spacing w:after="0"/>
              <w:rPr>
                <w:sz w:val="17"/>
                <w:szCs w:val="17"/>
                <w:color w:val="auto"/>
              </w:rPr>
            </w:pPr>
          </w:p>
        </w:tc>
      </w:tr>
      <w:tr>
        <w:trPr>
          <w:trHeight w:val="212"/>
        </w:trPr>
        <w:tc>
          <w:tcPr>
            <w:tcW w:w="960" w:type="dxa"/>
            <w:vAlign w:val="bottom"/>
          </w:tcPr>
          <w:p>
            <w:pPr>
              <w:spacing w:after="0"/>
              <w:rPr>
                <w:rFonts w:ascii="Arial" w:cs="Arial" w:eastAsia="Arial" w:hAnsi="Arial"/>
                <w:sz w:val="13"/>
                <w:szCs w:val="13"/>
                <w:color w:val="0000FF"/>
              </w:rPr>
            </w:pPr>
            <w:hyperlink w:anchor="page4">
              <w:r>
                <w:rPr>
                  <w:rFonts w:ascii="Arial" w:cs="Arial" w:eastAsia="Arial" w:hAnsi="Arial"/>
                  <w:sz w:val="13"/>
                  <w:szCs w:val="13"/>
                  <w:u w:val="single" w:color="auto"/>
                  <w:color w:val="0000FF"/>
                </w:rPr>
                <w:t>Item 1</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4">
              <w:r>
                <w:rPr>
                  <w:rFonts w:ascii="Arial" w:cs="Arial" w:eastAsia="Arial" w:hAnsi="Arial"/>
                  <w:sz w:val="13"/>
                  <w:szCs w:val="13"/>
                  <w:u w:val="single" w:color="auto"/>
                  <w:color w:val="0000FF"/>
                </w:rPr>
                <w:t>Financial Statements (Unaudited)</w:t>
              </w:r>
            </w:hyperlink>
          </w:p>
        </w:tc>
        <w:tc>
          <w:tcPr>
            <w:tcW w:w="920" w:type="dxa"/>
            <w:vAlign w:val="bottom"/>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4</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4">
              <w:r>
                <w:rPr>
                  <w:rFonts w:ascii="Arial" w:cs="Arial" w:eastAsia="Arial" w:hAnsi="Arial"/>
                  <w:sz w:val="13"/>
                  <w:szCs w:val="13"/>
                  <w:u w:val="single" w:color="auto"/>
                  <w:color w:val="0000FF"/>
                </w:rPr>
                <w:t>Consolidated Balance Sheets</w:t>
              </w:r>
            </w:hyperlink>
          </w:p>
        </w:tc>
        <w:tc>
          <w:tcPr>
            <w:tcW w:w="920" w:type="dxa"/>
            <w:vAlign w:val="bottom"/>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4</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4">
              <w:r>
                <w:rPr>
                  <w:rFonts w:ascii="Arial" w:cs="Arial" w:eastAsia="Arial" w:hAnsi="Arial"/>
                  <w:sz w:val="13"/>
                  <w:szCs w:val="13"/>
                  <w:u w:val="single" w:color="auto"/>
                  <w:color w:val="0000FF"/>
                </w:rPr>
                <w:t>Consolidated Statements of Operations</w:t>
              </w:r>
            </w:hyperlink>
          </w:p>
        </w:tc>
        <w:tc>
          <w:tcPr>
            <w:tcW w:w="920" w:type="dxa"/>
            <w:vAlign w:val="bottom"/>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5</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Consolidated Statements of Comprehensive Income</w:t>
              </w:r>
            </w:hyperlink>
          </w:p>
        </w:tc>
        <w:tc>
          <w:tcPr>
            <w:tcW w:w="920" w:type="dxa"/>
            <w:vAlign w:val="bottom"/>
          </w:tcPr>
          <w:p>
            <w:pPr>
              <w:jc w:val="right"/>
              <w:spacing w:after="0"/>
              <w:rPr>
                <w:rFonts w:ascii="Arial" w:cs="Arial" w:eastAsia="Arial" w:hAnsi="Arial"/>
                <w:sz w:val="13"/>
                <w:szCs w:val="13"/>
                <w:color w:val="0000FF"/>
              </w:rPr>
            </w:pPr>
            <w:hyperlink w:anchor="page5">
              <w:r>
                <w:rPr>
                  <w:rFonts w:ascii="Arial" w:cs="Arial" w:eastAsia="Arial" w:hAnsi="Arial"/>
                  <w:sz w:val="13"/>
                  <w:szCs w:val="13"/>
                  <w:color w:val="0000FF"/>
                </w:rPr>
                <w:t>6</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6">
              <w:r>
                <w:rPr>
                  <w:rFonts w:ascii="Arial" w:cs="Arial" w:eastAsia="Arial" w:hAnsi="Arial"/>
                  <w:sz w:val="13"/>
                  <w:szCs w:val="13"/>
                  <w:u w:val="single" w:color="auto"/>
                  <w:color w:val="0000FF"/>
                </w:rPr>
                <w:t>Consolidated Statements of Stockholders’ Equity</w:t>
              </w:r>
            </w:hyperlink>
          </w:p>
        </w:tc>
        <w:tc>
          <w:tcPr>
            <w:tcW w:w="920" w:type="dxa"/>
            <w:vAlign w:val="bottom"/>
          </w:tcPr>
          <w:p>
            <w:pPr>
              <w:jc w:val="right"/>
              <w:spacing w:after="0"/>
              <w:rPr>
                <w:rFonts w:ascii="Arial" w:cs="Arial" w:eastAsia="Arial" w:hAnsi="Arial"/>
                <w:sz w:val="13"/>
                <w:szCs w:val="13"/>
                <w:color w:val="0000FF"/>
              </w:rPr>
            </w:pPr>
            <w:hyperlink w:anchor="page6">
              <w:r>
                <w:rPr>
                  <w:rFonts w:ascii="Arial" w:cs="Arial" w:eastAsia="Arial" w:hAnsi="Arial"/>
                  <w:sz w:val="13"/>
                  <w:szCs w:val="13"/>
                  <w:color w:val="0000FF"/>
                </w:rPr>
                <w:t>7</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Consolidated Statements of Cash Flows</w:t>
              </w:r>
            </w:hyperlink>
          </w:p>
        </w:tc>
        <w:tc>
          <w:tcPr>
            <w:tcW w:w="920" w:type="dxa"/>
            <w:vAlign w:val="bottom"/>
          </w:tcPr>
          <w:p>
            <w:pPr>
              <w:jc w:val="right"/>
              <w:spacing w:after="0"/>
              <w:rPr>
                <w:rFonts w:ascii="Arial" w:cs="Arial" w:eastAsia="Arial" w:hAnsi="Arial"/>
                <w:sz w:val="13"/>
                <w:szCs w:val="13"/>
                <w:color w:val="0000FF"/>
              </w:rPr>
            </w:pPr>
            <w:hyperlink w:anchor="page7">
              <w:r>
                <w:rPr>
                  <w:rFonts w:ascii="Arial" w:cs="Arial" w:eastAsia="Arial" w:hAnsi="Arial"/>
                  <w:sz w:val="13"/>
                  <w:szCs w:val="13"/>
                  <w:color w:val="0000FF"/>
                </w:rPr>
                <w:t>8</w:t>
              </w:r>
            </w:hyperlink>
          </w:p>
        </w:tc>
      </w:tr>
      <w:tr>
        <w:trPr>
          <w:trHeight w:val="170"/>
        </w:trPr>
        <w:tc>
          <w:tcPr>
            <w:tcW w:w="960" w:type="dxa"/>
            <w:vAlign w:val="bottom"/>
          </w:tcPr>
          <w:p>
            <w:pPr>
              <w:spacing w:after="0"/>
              <w:rPr>
                <w:sz w:val="14"/>
                <w:szCs w:val="14"/>
                <w:color w:val="auto"/>
              </w:rPr>
            </w:pPr>
          </w:p>
        </w:tc>
        <w:tc>
          <w:tcPr>
            <w:tcW w:w="9360" w:type="dxa"/>
            <w:vAlign w:val="bottom"/>
          </w:tcPr>
          <w:p>
            <w:pPr>
              <w:ind w:left="240"/>
              <w:spacing w:after="0"/>
              <w:rPr>
                <w:rFonts w:ascii="Arial" w:cs="Arial" w:eastAsia="Arial" w:hAnsi="Arial"/>
                <w:sz w:val="13"/>
                <w:szCs w:val="13"/>
                <w:u w:val="single" w:color="auto"/>
                <w:color w:val="0000FF"/>
              </w:rPr>
            </w:pPr>
            <w:hyperlink w:anchor="page8">
              <w:r>
                <w:rPr>
                  <w:rFonts w:ascii="Arial" w:cs="Arial" w:eastAsia="Arial" w:hAnsi="Arial"/>
                  <w:sz w:val="13"/>
                  <w:szCs w:val="13"/>
                  <w:u w:val="single" w:color="auto"/>
                  <w:color w:val="0000FF"/>
                </w:rPr>
                <w:t>Notes to Consolidated Financial Statements</w:t>
              </w:r>
            </w:hyperlink>
          </w:p>
        </w:tc>
        <w:tc>
          <w:tcPr>
            <w:tcW w:w="920" w:type="dxa"/>
            <w:vAlign w:val="bottom"/>
          </w:tcPr>
          <w:p>
            <w:pPr>
              <w:jc w:val="right"/>
              <w:spacing w:after="0"/>
              <w:rPr>
                <w:rFonts w:ascii="Arial" w:cs="Arial" w:eastAsia="Arial" w:hAnsi="Arial"/>
                <w:sz w:val="13"/>
                <w:szCs w:val="13"/>
                <w:color w:val="0000FF"/>
              </w:rPr>
            </w:pPr>
            <w:hyperlink w:anchor="page8">
              <w:r>
                <w:rPr>
                  <w:rFonts w:ascii="Arial" w:cs="Arial" w:eastAsia="Arial" w:hAnsi="Arial"/>
                  <w:sz w:val="13"/>
                  <w:szCs w:val="13"/>
                  <w:color w:val="0000FF"/>
                </w:rPr>
                <w:t>9</w:t>
              </w:r>
            </w:hyperlink>
          </w:p>
        </w:tc>
      </w:tr>
      <w:tr>
        <w:trPr>
          <w:trHeight w:val="170"/>
        </w:trPr>
        <w:tc>
          <w:tcPr>
            <w:tcW w:w="960" w:type="dxa"/>
            <w:vAlign w:val="bottom"/>
          </w:tcPr>
          <w:p>
            <w:pPr>
              <w:spacing w:after="0"/>
              <w:rPr>
                <w:rFonts w:ascii="Arial" w:cs="Arial" w:eastAsia="Arial" w:hAnsi="Arial"/>
                <w:sz w:val="13"/>
                <w:szCs w:val="13"/>
                <w:color w:val="0000FF"/>
              </w:rPr>
            </w:pPr>
            <w:hyperlink w:anchor="page18">
              <w:r>
                <w:rPr>
                  <w:rFonts w:ascii="Arial" w:cs="Arial" w:eastAsia="Arial" w:hAnsi="Arial"/>
                  <w:sz w:val="13"/>
                  <w:szCs w:val="13"/>
                  <w:u w:val="single" w:color="auto"/>
                  <w:color w:val="0000FF"/>
                </w:rPr>
                <w:t>Item 2</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18">
              <w:r>
                <w:rPr>
                  <w:rFonts w:ascii="Arial" w:cs="Arial" w:eastAsia="Arial" w:hAnsi="Arial"/>
                  <w:sz w:val="13"/>
                  <w:szCs w:val="13"/>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3"/>
                <w:szCs w:val="13"/>
                <w:color w:val="0000FF"/>
              </w:rPr>
            </w:pPr>
            <w:hyperlink w:anchor="page18">
              <w:r>
                <w:rPr>
                  <w:rFonts w:ascii="Arial" w:cs="Arial" w:eastAsia="Arial" w:hAnsi="Arial"/>
                  <w:sz w:val="13"/>
                  <w:szCs w:val="13"/>
                  <w:color w:val="0000FF"/>
                </w:rPr>
                <w:t>19</w:t>
              </w:r>
            </w:hyperlink>
          </w:p>
        </w:tc>
      </w:tr>
      <w:tr>
        <w:trPr>
          <w:trHeight w:val="170"/>
        </w:trPr>
        <w:tc>
          <w:tcPr>
            <w:tcW w:w="960" w:type="dxa"/>
            <w:vAlign w:val="bottom"/>
          </w:tcPr>
          <w:p>
            <w:pPr>
              <w:spacing w:after="0"/>
              <w:rPr>
                <w:rFonts w:ascii="Arial" w:cs="Arial" w:eastAsia="Arial" w:hAnsi="Arial"/>
                <w:sz w:val="13"/>
                <w:szCs w:val="13"/>
                <w:color w:val="0000FF"/>
              </w:rPr>
            </w:pPr>
            <w:hyperlink w:anchor="page34">
              <w:r>
                <w:rPr>
                  <w:rFonts w:ascii="Arial" w:cs="Arial" w:eastAsia="Arial" w:hAnsi="Arial"/>
                  <w:sz w:val="13"/>
                  <w:szCs w:val="13"/>
                  <w:u w:val="single" w:color="auto"/>
                  <w:color w:val="0000FF"/>
                </w:rPr>
                <w:t>Item 3</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34">
              <w:r>
                <w:rPr>
                  <w:rFonts w:ascii="Arial" w:cs="Arial" w:eastAsia="Arial" w:hAnsi="Arial"/>
                  <w:sz w:val="13"/>
                  <w:szCs w:val="13"/>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34</w:t>
              </w:r>
            </w:hyperlink>
          </w:p>
        </w:tc>
      </w:tr>
      <w:tr>
        <w:trPr>
          <w:trHeight w:val="170"/>
        </w:trPr>
        <w:tc>
          <w:tcPr>
            <w:tcW w:w="960" w:type="dxa"/>
            <w:vAlign w:val="bottom"/>
          </w:tcPr>
          <w:p>
            <w:pPr>
              <w:spacing w:after="0"/>
              <w:rPr>
                <w:rFonts w:ascii="Arial" w:cs="Arial" w:eastAsia="Arial" w:hAnsi="Arial"/>
                <w:sz w:val="13"/>
                <w:szCs w:val="13"/>
                <w:color w:val="0000FF"/>
              </w:rPr>
            </w:pPr>
            <w:hyperlink w:anchor="page35">
              <w:r>
                <w:rPr>
                  <w:rFonts w:ascii="Arial" w:cs="Arial" w:eastAsia="Arial" w:hAnsi="Arial"/>
                  <w:sz w:val="13"/>
                  <w:szCs w:val="13"/>
                  <w:u w:val="single" w:color="auto"/>
                  <w:color w:val="0000FF"/>
                </w:rPr>
                <w:t>Item 4</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35">
              <w:r>
                <w:rPr>
                  <w:rFonts w:ascii="Arial" w:cs="Arial" w:eastAsia="Arial" w:hAnsi="Arial"/>
                  <w:sz w:val="13"/>
                  <w:szCs w:val="13"/>
                  <w:u w:val="single" w:color="auto"/>
                  <w:color w:val="0000FF"/>
                </w:rPr>
                <w:t>Controls and Procedures</w:t>
              </w:r>
            </w:hyperlink>
          </w:p>
        </w:tc>
        <w:tc>
          <w:tcPr>
            <w:tcW w:w="920" w:type="dxa"/>
            <w:vAlign w:val="bottom"/>
          </w:tcPr>
          <w:p>
            <w:pPr>
              <w:jc w:val="right"/>
              <w:spacing w:after="0"/>
              <w:rPr>
                <w:rFonts w:ascii="Arial" w:cs="Arial" w:eastAsia="Arial" w:hAnsi="Arial"/>
                <w:sz w:val="13"/>
                <w:szCs w:val="13"/>
                <w:color w:val="0000FF"/>
              </w:rPr>
            </w:pPr>
            <w:hyperlink w:anchor="page35">
              <w:r>
                <w:rPr>
                  <w:rFonts w:ascii="Arial" w:cs="Arial" w:eastAsia="Arial" w:hAnsi="Arial"/>
                  <w:sz w:val="13"/>
                  <w:szCs w:val="13"/>
                  <w:color w:val="0000FF"/>
                </w:rPr>
                <w:t>36</w:t>
              </w:r>
            </w:hyperlink>
          </w:p>
        </w:tc>
      </w:tr>
      <w:tr>
        <w:trPr>
          <w:trHeight w:val="212"/>
        </w:trPr>
        <w:tc>
          <w:tcPr>
            <w:tcW w:w="10320" w:type="dxa"/>
            <w:vAlign w:val="bottom"/>
            <w:gridSpan w:val="2"/>
          </w:tcPr>
          <w:p>
            <w:pPr>
              <w:spacing w:after="0"/>
              <w:rPr>
                <w:rFonts w:ascii="Arial" w:cs="Arial" w:eastAsia="Arial" w:hAnsi="Arial"/>
                <w:sz w:val="13"/>
                <w:szCs w:val="13"/>
                <w:b w:val="1"/>
                <w:bCs w:val="1"/>
                <w:u w:val="single" w:color="auto"/>
                <w:color w:val="0000FF"/>
              </w:rPr>
            </w:pPr>
            <w:hyperlink w:anchor="page36">
              <w:r>
                <w:rPr>
                  <w:rFonts w:ascii="Arial" w:cs="Arial" w:eastAsia="Arial" w:hAnsi="Arial"/>
                  <w:sz w:val="13"/>
                  <w:szCs w:val="13"/>
                  <w:b w:val="1"/>
                  <w:bCs w:val="1"/>
                  <w:u w:val="single" w:color="auto"/>
                  <w:color w:val="0000FF"/>
                </w:rPr>
                <w:t>PART II. OTHER INFORMATION</w:t>
              </w:r>
            </w:hyperlink>
          </w:p>
        </w:tc>
        <w:tc>
          <w:tcPr>
            <w:tcW w:w="920" w:type="dxa"/>
            <w:vAlign w:val="bottom"/>
          </w:tcPr>
          <w:p>
            <w:pPr>
              <w:spacing w:after="0"/>
              <w:rPr>
                <w:sz w:val="18"/>
                <w:szCs w:val="18"/>
                <w:color w:val="auto"/>
              </w:rPr>
            </w:pPr>
          </w:p>
        </w:tc>
      </w:tr>
      <w:tr>
        <w:trPr>
          <w:trHeight w:val="212"/>
        </w:trPr>
        <w:tc>
          <w:tcPr>
            <w:tcW w:w="960" w:type="dxa"/>
            <w:vAlign w:val="bottom"/>
          </w:tcPr>
          <w:p>
            <w:pPr>
              <w:spacing w:after="0"/>
              <w:rPr>
                <w:rFonts w:ascii="Arial" w:cs="Arial" w:eastAsia="Arial" w:hAnsi="Arial"/>
                <w:sz w:val="13"/>
                <w:szCs w:val="13"/>
                <w:color w:val="0000FF"/>
              </w:rPr>
            </w:pPr>
            <w:hyperlink w:anchor="page37">
              <w:r>
                <w:rPr>
                  <w:rFonts w:ascii="Arial" w:cs="Arial" w:eastAsia="Arial" w:hAnsi="Arial"/>
                  <w:sz w:val="13"/>
                  <w:szCs w:val="13"/>
                  <w:u w:val="single" w:color="auto"/>
                  <w:color w:val="0000FF"/>
                </w:rPr>
                <w:t>Item 1</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Legal Proceedings</w:t>
              </w:r>
            </w:hyperlink>
          </w:p>
        </w:tc>
        <w:tc>
          <w:tcPr>
            <w:tcW w:w="920" w:type="dxa"/>
            <w:vAlign w:val="bottom"/>
          </w:tcPr>
          <w:p>
            <w:pPr>
              <w:jc w:val="right"/>
              <w:spacing w:after="0"/>
              <w:rPr>
                <w:rFonts w:ascii="Arial" w:cs="Arial" w:eastAsia="Arial" w:hAnsi="Arial"/>
                <w:sz w:val="13"/>
                <w:szCs w:val="13"/>
                <w:color w:val="0000FF"/>
              </w:rPr>
            </w:pPr>
            <w:hyperlink w:anchor="page37">
              <w:r>
                <w:rPr>
                  <w:rFonts w:ascii="Arial" w:cs="Arial" w:eastAsia="Arial" w:hAnsi="Arial"/>
                  <w:sz w:val="13"/>
                  <w:szCs w:val="13"/>
                  <w:color w:val="0000FF"/>
                </w:rPr>
                <w:t>37</w:t>
              </w:r>
            </w:hyperlink>
          </w:p>
        </w:tc>
      </w:tr>
      <w:tr>
        <w:trPr>
          <w:trHeight w:val="170"/>
        </w:trPr>
        <w:tc>
          <w:tcPr>
            <w:tcW w:w="960" w:type="dxa"/>
            <w:vAlign w:val="bottom"/>
          </w:tcPr>
          <w:p>
            <w:pPr>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Item 1A.</w:t>
              </w:r>
            </w:hyperlink>
          </w:p>
        </w:tc>
        <w:tc>
          <w:tcPr>
            <w:tcW w:w="9360" w:type="dxa"/>
            <w:vAlign w:val="bottom"/>
          </w:tcPr>
          <w:p>
            <w:pPr>
              <w:ind w:left="160"/>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Risk Factors</w:t>
              </w:r>
            </w:hyperlink>
          </w:p>
        </w:tc>
        <w:tc>
          <w:tcPr>
            <w:tcW w:w="920" w:type="dxa"/>
            <w:vAlign w:val="bottom"/>
          </w:tcPr>
          <w:p>
            <w:pPr>
              <w:jc w:val="right"/>
              <w:spacing w:after="0"/>
              <w:rPr>
                <w:rFonts w:ascii="Arial" w:cs="Arial" w:eastAsia="Arial" w:hAnsi="Arial"/>
                <w:sz w:val="13"/>
                <w:szCs w:val="13"/>
                <w:color w:val="0000FF"/>
              </w:rPr>
            </w:pPr>
            <w:hyperlink w:anchor="page37">
              <w:r>
                <w:rPr>
                  <w:rFonts w:ascii="Arial" w:cs="Arial" w:eastAsia="Arial" w:hAnsi="Arial"/>
                  <w:sz w:val="13"/>
                  <w:szCs w:val="13"/>
                  <w:color w:val="0000FF"/>
                </w:rPr>
                <w:t>37</w:t>
              </w:r>
            </w:hyperlink>
          </w:p>
        </w:tc>
      </w:tr>
      <w:tr>
        <w:trPr>
          <w:trHeight w:val="170"/>
        </w:trPr>
        <w:tc>
          <w:tcPr>
            <w:tcW w:w="960" w:type="dxa"/>
            <w:vAlign w:val="bottom"/>
          </w:tcPr>
          <w:p>
            <w:pPr>
              <w:spacing w:after="0"/>
              <w:rPr>
                <w:rFonts w:ascii="Arial" w:cs="Arial" w:eastAsia="Arial" w:hAnsi="Arial"/>
                <w:sz w:val="13"/>
                <w:szCs w:val="13"/>
                <w:color w:val="0000FF"/>
              </w:rPr>
            </w:pPr>
            <w:hyperlink w:anchor="page37">
              <w:r>
                <w:rPr>
                  <w:rFonts w:ascii="Arial" w:cs="Arial" w:eastAsia="Arial" w:hAnsi="Arial"/>
                  <w:sz w:val="13"/>
                  <w:szCs w:val="13"/>
                  <w:u w:val="single" w:color="auto"/>
                  <w:color w:val="0000FF"/>
                </w:rPr>
                <w:t>Item 6</w:t>
              </w:r>
              <w:r>
                <w:rPr>
                  <w:rFonts w:ascii="Arial" w:cs="Arial" w:eastAsia="Arial" w:hAnsi="Arial"/>
                  <w:sz w:val="13"/>
                  <w:szCs w:val="13"/>
                  <w:color w:val="0000FF"/>
                </w:rPr>
                <w:t>.</w:t>
              </w:r>
            </w:hyperlink>
          </w:p>
        </w:tc>
        <w:tc>
          <w:tcPr>
            <w:tcW w:w="9360" w:type="dxa"/>
            <w:vAlign w:val="bottom"/>
          </w:tcPr>
          <w:p>
            <w:pPr>
              <w:ind w:left="160"/>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Exhibits</w:t>
              </w:r>
            </w:hyperlink>
          </w:p>
        </w:tc>
        <w:tc>
          <w:tcPr>
            <w:tcW w:w="920" w:type="dxa"/>
            <w:vAlign w:val="bottom"/>
          </w:tcPr>
          <w:p>
            <w:pPr>
              <w:jc w:val="right"/>
              <w:spacing w:after="0"/>
              <w:rPr>
                <w:rFonts w:ascii="Arial" w:cs="Arial" w:eastAsia="Arial" w:hAnsi="Arial"/>
                <w:sz w:val="13"/>
                <w:szCs w:val="13"/>
                <w:color w:val="0000FF"/>
              </w:rPr>
            </w:pPr>
            <w:hyperlink w:anchor="page37">
              <w:r>
                <w:rPr>
                  <w:rFonts w:ascii="Arial" w:cs="Arial" w:eastAsia="Arial" w:hAnsi="Arial"/>
                  <w:sz w:val="13"/>
                  <w:szCs w:val="13"/>
                  <w:color w:val="0000FF"/>
                </w:rPr>
                <w:t>37</w:t>
              </w:r>
            </w:hyperlink>
          </w:p>
        </w:tc>
      </w:tr>
      <w:tr>
        <w:trPr>
          <w:trHeight w:val="244"/>
        </w:trPr>
        <w:tc>
          <w:tcPr>
            <w:tcW w:w="960" w:type="dxa"/>
            <w:vAlign w:val="bottom"/>
          </w:tcPr>
          <w:p>
            <w:pPr>
              <w:ind w:left="260"/>
              <w:spacing w:after="0"/>
              <w:rPr>
                <w:rFonts w:ascii="Arial" w:cs="Arial" w:eastAsia="Arial" w:hAnsi="Arial"/>
                <w:sz w:val="13"/>
                <w:szCs w:val="13"/>
                <w:u w:val="single" w:color="auto"/>
                <w:color w:val="0000FF"/>
              </w:rPr>
            </w:pPr>
            <w:hyperlink w:anchor="page38">
              <w:r>
                <w:rPr>
                  <w:rFonts w:ascii="Arial" w:cs="Arial" w:eastAsia="Arial" w:hAnsi="Arial"/>
                  <w:sz w:val="13"/>
                  <w:szCs w:val="13"/>
                  <w:u w:val="single" w:color="auto"/>
                  <w:color w:val="0000FF"/>
                </w:rPr>
                <w:t>Signatures</w:t>
              </w:r>
            </w:hyperlink>
          </w:p>
        </w:tc>
        <w:tc>
          <w:tcPr>
            <w:tcW w:w="9360" w:type="dxa"/>
            <w:vAlign w:val="bottom"/>
          </w:tcPr>
          <w:p>
            <w:pPr>
              <w:spacing w:after="0"/>
              <w:rPr>
                <w:sz w:val="21"/>
                <w:szCs w:val="21"/>
                <w:color w:val="auto"/>
              </w:rPr>
            </w:pPr>
          </w:p>
        </w:tc>
        <w:tc>
          <w:tcPr>
            <w:tcW w:w="920" w:type="dxa"/>
            <w:vAlign w:val="bottom"/>
          </w:tcPr>
          <w:p>
            <w:pPr>
              <w:jc w:val="right"/>
              <w:spacing w:after="0"/>
              <w:rPr>
                <w:rFonts w:ascii="Arial" w:cs="Arial" w:eastAsia="Arial" w:hAnsi="Arial"/>
                <w:sz w:val="13"/>
                <w:szCs w:val="13"/>
                <w:color w:val="0000FF"/>
              </w:rPr>
            </w:pPr>
            <w:hyperlink w:anchor="page38">
              <w:r>
                <w:rPr>
                  <w:rFonts w:ascii="Arial" w:cs="Arial" w:eastAsia="Arial" w:hAnsi="Arial"/>
                  <w:sz w:val="13"/>
                  <w:szCs w:val="13"/>
                  <w:color w:val="0000FF"/>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120015</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267"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risks and uncertainties that could cause our actual results to differ materially from those expressed or implied in the forward-looking statements. Such risks and uncertainties include, among others, those discussed under the caption “Risk Factors” in our most recently filed Annual Report on Form 10-K, which was filed with the Securities and Exchange Commission, or the SEC, on February 13, 2020, under the caption “Risk Factors” in our Quarterly Report on Form 10-Q for the quarter ended March 31, 2020, which was filed with the SEC on April 28, 2020, and in our consolidated financial statements, related notes, and the other information appearing elsewhere in such Annual Report, this Quarterly Report on Form 10-Q and our other filings with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59"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3"/>
          <w:szCs w:val="13"/>
          <w:i w:val="1"/>
          <w:iCs w:val="1"/>
          <w:color w:val="auto"/>
        </w:rPr>
        <w:t>Unless the context otherwise indicates, references in this Quarterly Report on Form 10-Q to the terms “Shutterstock,” “the Company,” “we,” “our” and “us” refer to Shutterstock, Inc. and its subsidiaries. “Shutterstock,” “Offset,” “Bigstock,” “Rex Features,” “PremiumBeat”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22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 amount)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417"/>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324"/>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Current assets:</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Cash and cash equivalents</w:t>
            </w:r>
          </w:p>
        </w:tc>
        <w:tc>
          <w:tcPr>
            <w:tcW w:w="1020" w:type="dxa"/>
            <w:vAlign w:val="bottom"/>
          </w:tcPr>
          <w:p>
            <w:pPr>
              <w:jc w:val="right"/>
              <w:ind w:right="879"/>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6"/>
              <w:spacing w:after="0"/>
              <w:rPr>
                <w:sz w:val="20"/>
                <w:szCs w:val="20"/>
                <w:color w:val="auto"/>
              </w:rPr>
            </w:pPr>
            <w:r>
              <w:rPr>
                <w:rFonts w:ascii="Arial" w:cs="Arial" w:eastAsia="Arial" w:hAnsi="Arial"/>
                <w:sz w:val="13"/>
                <w:szCs w:val="13"/>
                <w:color w:val="auto"/>
                <w:w w:val="97"/>
              </w:rPr>
              <w:t>311,157</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303,261</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receivable, net of allowance of $3,608 and $3,579</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48,744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47,016</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26,590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26,703</w:t>
            </w:r>
          </w:p>
        </w:tc>
        <w:tc>
          <w:tcPr>
            <w:tcW w:w="0" w:type="dxa"/>
            <w:vAlign w:val="bottom"/>
          </w:tcPr>
          <w:p>
            <w:pPr>
              <w:spacing w:after="0"/>
              <w:rPr>
                <w:sz w:val="1"/>
                <w:szCs w:val="1"/>
                <w:color w:val="auto"/>
              </w:rPr>
            </w:pPr>
          </w:p>
        </w:tc>
      </w:tr>
      <w:tr>
        <w:trPr>
          <w:trHeight w:val="26"/>
        </w:trPr>
        <w:tc>
          <w:tcPr>
            <w:tcW w:w="7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current assets</w:t>
            </w:r>
          </w:p>
        </w:tc>
        <w:tc>
          <w:tcPr>
            <w:tcW w:w="10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97"/>
              </w:rPr>
              <w:t>386,491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376,980</w:t>
            </w:r>
          </w:p>
        </w:tc>
        <w:tc>
          <w:tcPr>
            <w:tcW w:w="0" w:type="dxa"/>
            <w:vAlign w:val="bottom"/>
          </w:tcPr>
          <w:p>
            <w:pPr>
              <w:spacing w:after="0"/>
              <w:rPr>
                <w:sz w:val="1"/>
                <w:szCs w:val="1"/>
                <w:color w:val="auto"/>
              </w:rPr>
            </w:pPr>
          </w:p>
        </w:tc>
      </w:tr>
      <w:tr>
        <w:trPr>
          <w:trHeight w:val="176"/>
        </w:trPr>
        <w:tc>
          <w:tcPr>
            <w:tcW w:w="7920" w:type="dxa"/>
            <w:vAlign w:val="bottom"/>
          </w:tcPr>
          <w:p>
            <w:pPr>
              <w:ind w:left="160"/>
              <w:spacing w:after="0"/>
              <w:rPr>
                <w:sz w:val="20"/>
                <w:szCs w:val="20"/>
                <w:color w:val="auto"/>
              </w:rPr>
            </w:pPr>
            <w:r>
              <w:rPr>
                <w:rFonts w:ascii="Arial" w:cs="Arial" w:eastAsia="Arial" w:hAnsi="Arial"/>
                <w:sz w:val="13"/>
                <w:szCs w:val="13"/>
                <w:color w:val="auto"/>
              </w:rPr>
              <w:t>Property and equipment, net</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54,240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58,834</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Right-of-use assets</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42,097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45,453</w:t>
            </w:r>
          </w:p>
        </w:tc>
        <w:tc>
          <w:tcPr>
            <w:tcW w:w="0" w:type="dxa"/>
            <w:vAlign w:val="bottom"/>
          </w:tcPr>
          <w:p>
            <w:pPr>
              <w:spacing w:after="0"/>
              <w:rPr>
                <w:sz w:val="1"/>
                <w:szCs w:val="1"/>
                <w:color w:val="auto"/>
              </w:rPr>
            </w:pPr>
          </w:p>
        </w:tc>
      </w:tr>
      <w:tr>
        <w:trPr>
          <w:trHeight w:val="176"/>
        </w:trPr>
        <w:tc>
          <w:tcPr>
            <w:tcW w:w="7920" w:type="dxa"/>
            <w:vAlign w:val="bottom"/>
          </w:tcPr>
          <w:p>
            <w:pPr>
              <w:ind w:left="160"/>
              <w:spacing w:after="0"/>
              <w:rPr>
                <w:sz w:val="20"/>
                <w:szCs w:val="20"/>
                <w:color w:val="auto"/>
              </w:rPr>
            </w:pPr>
            <w:r>
              <w:rPr>
                <w:rFonts w:ascii="Arial" w:cs="Arial" w:eastAsia="Arial" w:hAnsi="Arial"/>
                <w:sz w:val="13"/>
                <w:szCs w:val="13"/>
                <w:color w:val="auto"/>
              </w:rPr>
              <w:t>Intangible assets, net</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25,182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26,669</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Goodwill</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88,167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88,974</w:t>
            </w:r>
          </w:p>
        </w:tc>
        <w:tc>
          <w:tcPr>
            <w:tcW w:w="0" w:type="dxa"/>
            <w:vAlign w:val="bottom"/>
          </w:tcPr>
          <w:p>
            <w:pPr>
              <w:spacing w:after="0"/>
              <w:rPr>
                <w:sz w:val="1"/>
                <w:szCs w:val="1"/>
                <w:color w:val="auto"/>
              </w:rPr>
            </w:pPr>
          </w:p>
        </w:tc>
      </w:tr>
      <w:tr>
        <w:trPr>
          <w:trHeight w:val="176"/>
        </w:trPr>
        <w:tc>
          <w:tcPr>
            <w:tcW w:w="7920" w:type="dxa"/>
            <w:vAlign w:val="bottom"/>
          </w:tcPr>
          <w:p>
            <w:pPr>
              <w:ind w:left="160"/>
              <w:spacing w:after="0"/>
              <w:rPr>
                <w:sz w:val="20"/>
                <w:szCs w:val="20"/>
                <w:color w:val="auto"/>
              </w:rPr>
            </w:pPr>
            <w:r>
              <w:rPr>
                <w:rFonts w:ascii="Arial" w:cs="Arial" w:eastAsia="Arial" w:hAnsi="Arial"/>
                <w:sz w:val="13"/>
                <w:szCs w:val="13"/>
                <w:color w:val="auto"/>
              </w:rPr>
              <w:t>Deferred tax assets, net</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13,727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14,387</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Other assets</w:t>
            </w:r>
          </w:p>
        </w:tc>
        <w:tc>
          <w:tcPr>
            <w:tcW w:w="10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16,427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19,215</w:t>
            </w:r>
          </w:p>
        </w:tc>
        <w:tc>
          <w:tcPr>
            <w:tcW w:w="0" w:type="dxa"/>
            <w:vAlign w:val="bottom"/>
          </w:tcPr>
          <w:p>
            <w:pPr>
              <w:spacing w:after="0"/>
              <w:rPr>
                <w:sz w:val="1"/>
                <w:szCs w:val="1"/>
                <w:color w:val="auto"/>
              </w:rPr>
            </w:pPr>
          </w:p>
        </w:tc>
      </w:tr>
      <w:tr>
        <w:trPr>
          <w:trHeight w:val="167"/>
        </w:trPr>
        <w:tc>
          <w:tcPr>
            <w:tcW w:w="792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020" w:type="dxa"/>
            <w:vAlign w:val="bottom"/>
            <w:tcBorders>
              <w:top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97"/>
              </w:rPr>
              <w:t>626,331</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630,512</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LIABILITIES AND STOCKHOLDERS</w:t>
            </w:r>
            <w:r>
              <w:rPr>
                <w:rFonts w:ascii="Arial" w:cs="Arial" w:eastAsia="Arial" w:hAnsi="Arial"/>
                <w:sz w:val="13"/>
                <w:szCs w:val="13"/>
                <w:color w:val="auto"/>
              </w:rPr>
              <w:t>’</w:t>
            </w:r>
            <w:r>
              <w:rPr>
                <w:rFonts w:ascii="Arial" w:cs="Arial" w:eastAsia="Arial" w:hAnsi="Arial"/>
                <w:sz w:val="13"/>
                <w:szCs w:val="13"/>
                <w:b w:val="1"/>
                <w:bCs w:val="1"/>
                <w:color w:val="auto"/>
              </w:rPr>
              <w:t xml:space="preserve"> EQUITY</w:t>
            </w:r>
          </w:p>
        </w:tc>
        <w:tc>
          <w:tcPr>
            <w:tcW w:w="10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60"/>
              <w:spacing w:after="0"/>
              <w:rPr>
                <w:sz w:val="20"/>
                <w:szCs w:val="20"/>
                <w:color w:val="auto"/>
              </w:rPr>
            </w:pPr>
            <w:r>
              <w:rPr>
                <w:rFonts w:ascii="Arial" w:cs="Arial" w:eastAsia="Arial" w:hAnsi="Arial"/>
                <w:sz w:val="13"/>
                <w:szCs w:val="13"/>
                <w:color w:val="auto"/>
              </w:rPr>
              <w:t>Current liabilities: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10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4,504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6,104</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Accrued expenses</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51,554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53,864</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Contributor royalties payable</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24,248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25,193</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Deferred revenue</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w w:val="97"/>
              </w:rPr>
              <w:t>138,229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141,922</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Other current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10,347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18,811</w:t>
            </w:r>
          </w:p>
        </w:tc>
        <w:tc>
          <w:tcPr>
            <w:tcW w:w="0" w:type="dxa"/>
            <w:vAlign w:val="bottom"/>
          </w:tcPr>
          <w:p>
            <w:pPr>
              <w:spacing w:after="0"/>
              <w:rPr>
                <w:sz w:val="1"/>
                <w:szCs w:val="1"/>
                <w:color w:val="auto"/>
              </w:rPr>
            </w:pPr>
          </w:p>
        </w:tc>
      </w:tr>
      <w:tr>
        <w:trPr>
          <w:trHeight w:val="167"/>
        </w:trPr>
        <w:tc>
          <w:tcPr>
            <w:tcW w:w="7920" w:type="dxa"/>
            <w:vAlign w:val="bottom"/>
          </w:tcPr>
          <w:p>
            <w:pPr>
              <w:ind w:left="520"/>
              <w:spacing w:after="0"/>
              <w:rPr>
                <w:sz w:val="20"/>
                <w:szCs w:val="20"/>
                <w:color w:val="auto"/>
              </w:rPr>
            </w:pPr>
            <w:r>
              <w:rPr>
                <w:rFonts w:ascii="Arial" w:cs="Arial" w:eastAsia="Arial" w:hAnsi="Arial"/>
                <w:sz w:val="13"/>
                <w:szCs w:val="13"/>
                <w:color w:val="auto"/>
              </w:rPr>
              <w:t>Total current liabilities</w:t>
            </w:r>
          </w:p>
        </w:tc>
        <w:tc>
          <w:tcPr>
            <w:tcW w:w="10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97"/>
              </w:rPr>
              <w:t>228,882</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245,894</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Lease liabilities</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44,280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47,313</w:t>
            </w:r>
          </w:p>
        </w:tc>
        <w:tc>
          <w:tcPr>
            <w:tcW w:w="0" w:type="dxa"/>
            <w:vAlign w:val="bottom"/>
          </w:tcPr>
          <w:p>
            <w:pPr>
              <w:spacing w:after="0"/>
              <w:rPr>
                <w:sz w:val="1"/>
                <w:szCs w:val="1"/>
                <w:color w:val="auto"/>
              </w:rPr>
            </w:pPr>
          </w:p>
        </w:tc>
      </w:tr>
      <w:tr>
        <w:trPr>
          <w:trHeight w:val="176"/>
        </w:trPr>
        <w:tc>
          <w:tcPr>
            <w:tcW w:w="7920" w:type="dxa"/>
            <w:vAlign w:val="bottom"/>
          </w:tcPr>
          <w:p>
            <w:pPr>
              <w:ind w:left="160"/>
              <w:spacing w:after="0"/>
              <w:rPr>
                <w:sz w:val="20"/>
                <w:szCs w:val="20"/>
                <w:color w:val="auto"/>
              </w:rPr>
            </w:pPr>
            <w:r>
              <w:rPr>
                <w:rFonts w:ascii="Arial" w:cs="Arial" w:eastAsia="Arial" w:hAnsi="Arial"/>
                <w:sz w:val="13"/>
                <w:szCs w:val="13"/>
                <w:color w:val="auto"/>
              </w:rPr>
              <w:t>Other non-current liabilities</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9,669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9,160</w:t>
            </w:r>
          </w:p>
        </w:tc>
        <w:tc>
          <w:tcPr>
            <w:tcW w:w="0" w:type="dxa"/>
            <w:vAlign w:val="bottom"/>
          </w:tcPr>
          <w:p>
            <w:pPr>
              <w:spacing w:after="0"/>
              <w:rPr>
                <w:sz w:val="1"/>
                <w:szCs w:val="1"/>
                <w:color w:val="auto"/>
              </w:rPr>
            </w:pPr>
          </w:p>
        </w:tc>
      </w:tr>
      <w:tr>
        <w:trPr>
          <w:trHeight w:val="26"/>
        </w:trPr>
        <w:tc>
          <w:tcPr>
            <w:tcW w:w="7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liabilities</w:t>
            </w:r>
          </w:p>
        </w:tc>
        <w:tc>
          <w:tcPr>
            <w:tcW w:w="10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97"/>
              </w:rPr>
              <w:t>282,831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302,367</w:t>
            </w:r>
          </w:p>
        </w:tc>
        <w:tc>
          <w:tcPr>
            <w:tcW w:w="0" w:type="dxa"/>
            <w:vAlign w:val="bottom"/>
          </w:tcPr>
          <w:p>
            <w:pPr>
              <w:spacing w:after="0"/>
              <w:rPr>
                <w:sz w:val="1"/>
                <w:szCs w:val="1"/>
                <w:color w:val="auto"/>
              </w:rPr>
            </w:pPr>
          </w:p>
        </w:tc>
      </w:tr>
      <w:tr>
        <w:trPr>
          <w:trHeight w:val="156"/>
        </w:trPr>
        <w:tc>
          <w:tcPr>
            <w:tcW w:w="7920" w:type="dxa"/>
            <w:vAlign w:val="bottom"/>
          </w:tcPr>
          <w:p>
            <w:pPr>
              <w:ind w:left="160"/>
              <w:spacing w:after="0"/>
              <w:rPr>
                <w:sz w:val="20"/>
                <w:szCs w:val="20"/>
                <w:color w:val="auto"/>
              </w:rPr>
            </w:pPr>
            <w:r>
              <w:rPr>
                <w:rFonts w:ascii="Arial" w:cs="Arial" w:eastAsia="Arial" w:hAnsi="Arial"/>
                <w:sz w:val="13"/>
                <w:szCs w:val="13"/>
                <w:color w:val="auto"/>
              </w:rPr>
              <w:t>Commitments and contingencies (Note 12)</w:t>
            </w:r>
          </w:p>
        </w:tc>
        <w:tc>
          <w:tcPr>
            <w:tcW w:w="10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Stockholders’ equity:</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920" w:type="dxa"/>
            <w:vAlign w:val="bottom"/>
          </w:tcPr>
          <w:p>
            <w:pPr>
              <w:ind w:left="360"/>
              <w:spacing w:after="0" w:line="131" w:lineRule="exact"/>
              <w:rPr>
                <w:sz w:val="20"/>
                <w:szCs w:val="20"/>
                <w:color w:val="auto"/>
              </w:rPr>
            </w:pPr>
            <w:r>
              <w:rPr>
                <w:rFonts w:ascii="Arial" w:cs="Arial" w:eastAsia="Arial" w:hAnsi="Arial"/>
                <w:sz w:val="13"/>
                <w:szCs w:val="13"/>
                <w:color w:val="auto"/>
                <w:w w:val="91"/>
              </w:rPr>
              <w:t>Common stock, $0.01 par value; 200,000 shares authorized; 38,245 and 38,055 shares issued and 35,687 and 35,497 shares outstanding as of</w:t>
            </w:r>
          </w:p>
        </w:tc>
        <w:tc>
          <w:tcPr>
            <w:tcW w:w="102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restart"/>
          </w:tcPr>
          <w:p>
            <w:pPr>
              <w:jc w:val="right"/>
              <w:ind w:right="77"/>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4"/>
        </w:trPr>
        <w:tc>
          <w:tcPr>
            <w:tcW w:w="7920" w:type="dxa"/>
            <w:vAlign w:val="bottom"/>
          </w:tcPr>
          <w:p>
            <w:pPr>
              <w:ind w:left="360"/>
              <w:spacing w:after="0"/>
              <w:rPr>
                <w:sz w:val="20"/>
                <w:szCs w:val="20"/>
                <w:color w:val="auto"/>
              </w:rPr>
            </w:pPr>
            <w:r>
              <w:rPr>
                <w:rFonts w:ascii="Arial" w:cs="Arial" w:eastAsia="Arial" w:hAnsi="Arial"/>
                <w:sz w:val="13"/>
                <w:szCs w:val="13"/>
                <w:color w:val="auto"/>
              </w:rPr>
              <w:t>June 30, 2020 and December 31, 2019, respectively</w:t>
            </w:r>
          </w:p>
        </w:tc>
        <w:tc>
          <w:tcPr>
            <w:tcW w:w="10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Treasury stock, at cost; 2,558 shares as of June 30, 2020 and December 31, 2019</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6"/>
              </w:rPr>
              <w:t>(100,027)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(100,027)</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Additional paid-in capital</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w w:val="97"/>
              </w:rPr>
              <w:t>319,412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312,824</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Accumulated comprehensive loss</w:t>
            </w: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(8,414)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(6,220)</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Arial" w:cs="Arial" w:eastAsia="Arial" w:hAnsi="Arial"/>
                <w:sz w:val="13"/>
                <w:szCs w:val="13"/>
                <w:color w:val="auto"/>
              </w:rPr>
              <w:t>Retained earnings</w:t>
            </w:r>
          </w:p>
        </w:tc>
        <w:tc>
          <w:tcPr>
            <w:tcW w:w="102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w w:val="97"/>
              </w:rPr>
              <w:t>132,147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77"/>
              <w:spacing w:after="0"/>
              <w:rPr>
                <w:sz w:val="20"/>
                <w:szCs w:val="20"/>
                <w:color w:val="auto"/>
              </w:rPr>
            </w:pPr>
            <w:r>
              <w:rPr>
                <w:rFonts w:ascii="Arial" w:cs="Arial" w:eastAsia="Arial" w:hAnsi="Arial"/>
                <w:sz w:val="13"/>
                <w:szCs w:val="13"/>
                <w:color w:val="auto"/>
              </w:rPr>
              <w:t>121,187</w:t>
            </w:r>
          </w:p>
        </w:tc>
        <w:tc>
          <w:tcPr>
            <w:tcW w:w="0" w:type="dxa"/>
            <w:vAlign w:val="bottom"/>
          </w:tcPr>
          <w:p>
            <w:pPr>
              <w:spacing w:after="0"/>
              <w:rPr>
                <w:sz w:val="1"/>
                <w:szCs w:val="1"/>
                <w:color w:val="auto"/>
              </w:rPr>
            </w:pPr>
          </w:p>
        </w:tc>
      </w:tr>
      <w:tr>
        <w:trPr>
          <w:trHeight w:val="26"/>
        </w:trPr>
        <w:tc>
          <w:tcPr>
            <w:tcW w:w="7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stockholders’ equity</w:t>
            </w:r>
          </w:p>
        </w:tc>
        <w:tc>
          <w:tcPr>
            <w:tcW w:w="10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97"/>
              </w:rPr>
              <w:t>343,500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328,145</w:t>
            </w:r>
          </w:p>
        </w:tc>
        <w:tc>
          <w:tcPr>
            <w:tcW w:w="0" w:type="dxa"/>
            <w:vAlign w:val="bottom"/>
          </w:tcPr>
          <w:p>
            <w:pPr>
              <w:spacing w:after="0"/>
              <w:rPr>
                <w:sz w:val="1"/>
                <w:szCs w:val="1"/>
                <w:color w:val="auto"/>
              </w:rPr>
            </w:pPr>
          </w:p>
        </w:tc>
      </w:tr>
      <w:tr>
        <w:trPr>
          <w:trHeight w:val="167"/>
        </w:trPr>
        <w:tc>
          <w:tcPr>
            <w:tcW w:w="7920" w:type="dxa"/>
            <w:vAlign w:val="bottom"/>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020" w:type="dxa"/>
            <w:vAlign w:val="bottom"/>
            <w:tcBorders>
              <w:top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97"/>
              </w:rPr>
              <w:t>626,331</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630,512</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Unaudited Consolidated Financial Statements.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(In thousands,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00" w:type="dxa"/>
            <w:vAlign w:val="bottom"/>
          </w:tcPr>
          <w:p>
            <w:pPr>
              <w:spacing w:after="0"/>
              <w:rPr>
                <w:sz w:val="10"/>
                <w:szCs w:val="10"/>
                <w:color w:val="auto"/>
              </w:rPr>
            </w:pPr>
          </w:p>
        </w:tc>
      </w:tr>
      <w:tr>
        <w:trPr>
          <w:trHeight w:val="151"/>
        </w:trPr>
        <w:tc>
          <w:tcPr>
            <w:tcW w:w="60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r>
      <w:tr>
        <w:trPr>
          <w:trHeight w:val="150"/>
        </w:trPr>
        <w:tc>
          <w:tcPr>
            <w:tcW w:w="60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2019</w:t>
            </w:r>
          </w:p>
        </w:tc>
      </w:tr>
      <w:tr>
        <w:trPr>
          <w:trHeight w:val="112"/>
        </w:trPr>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159,230</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161,741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320,515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325,073</w:t>
            </w:r>
          </w:p>
        </w:tc>
      </w:tr>
      <w:tr>
        <w:trPr>
          <w:trHeight w:val="159"/>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76"/>
        </w:trPr>
        <w:tc>
          <w:tcPr>
            <w:tcW w:w="6040" w:type="dxa"/>
            <w:vAlign w:val="bottom"/>
          </w:tcPr>
          <w:p>
            <w:pPr>
              <w:ind w:left="100"/>
              <w:spacing w:after="0"/>
              <w:rPr>
                <w:sz w:val="20"/>
                <w:szCs w:val="20"/>
                <w:color w:val="auto"/>
              </w:rPr>
            </w:pPr>
            <w:r>
              <w:rPr>
                <w:rFonts w:ascii="Arial" w:cs="Arial" w:eastAsia="Arial" w:hAnsi="Arial"/>
                <w:sz w:val="13"/>
                <w:szCs w:val="13"/>
                <w:color w:val="auto"/>
              </w:rPr>
              <w:t>Cost of revenue</w:t>
            </w:r>
          </w:p>
        </w:tc>
        <w:tc>
          <w:tcPr>
            <w:tcW w:w="28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63,811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68,526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132,934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137,744</w:t>
            </w:r>
          </w:p>
        </w:tc>
      </w:tr>
      <w:tr>
        <w:trPr>
          <w:trHeight w:val="26"/>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2"/>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Sales and marketing</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35,557</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44,488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78,217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88,934</w:t>
            </w:r>
          </w:p>
        </w:tc>
      </w:tr>
      <w:tr>
        <w:trPr>
          <w:trHeight w:val="176"/>
        </w:trPr>
        <w:tc>
          <w:tcPr>
            <w:tcW w:w="6040" w:type="dxa"/>
            <w:vAlign w:val="bottom"/>
          </w:tcPr>
          <w:p>
            <w:pPr>
              <w:ind w:left="100"/>
              <w:spacing w:after="0"/>
              <w:rPr>
                <w:sz w:val="20"/>
                <w:szCs w:val="20"/>
                <w:color w:val="auto"/>
              </w:rPr>
            </w:pPr>
            <w:r>
              <w:rPr>
                <w:rFonts w:ascii="Arial" w:cs="Arial" w:eastAsia="Arial" w:hAnsi="Arial"/>
                <w:sz w:val="13"/>
                <w:szCs w:val="13"/>
                <w:color w:val="auto"/>
              </w:rPr>
              <w:t>Product development</w:t>
            </w:r>
          </w:p>
        </w:tc>
        <w:tc>
          <w:tcPr>
            <w:tcW w:w="28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12,485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13,594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25,554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28,580</w:t>
            </w:r>
          </w:p>
        </w:tc>
      </w:tr>
      <w:tr>
        <w:trPr>
          <w:trHeight w:val="26"/>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2"/>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General and administrative</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24,832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32,063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55,484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58,646</w:t>
            </w:r>
          </w:p>
        </w:tc>
      </w:tr>
      <w:tr>
        <w:trPr>
          <w:trHeight w:val="167"/>
        </w:trPr>
        <w:tc>
          <w:tcPr>
            <w:tcW w:w="6040" w:type="dxa"/>
            <w:vAlign w:val="bottom"/>
          </w:tcPr>
          <w:p>
            <w:pPr>
              <w:ind w:left="160"/>
              <w:spacing w:after="0"/>
              <w:rPr>
                <w:sz w:val="20"/>
                <w:szCs w:val="20"/>
                <w:color w:val="auto"/>
              </w:rPr>
            </w:pPr>
            <w:r>
              <w:rPr>
                <w:rFonts w:ascii="Arial" w:cs="Arial" w:eastAsia="Arial" w:hAnsi="Arial"/>
                <w:sz w:val="13"/>
                <w:szCs w:val="13"/>
                <w:color w:val="auto"/>
              </w:rPr>
              <w:t>Total operating expenses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136,685</w:t>
            </w: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158,671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292,189</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313,904</w:t>
            </w:r>
          </w:p>
        </w:tc>
      </w:tr>
      <w:tr>
        <w:trPr>
          <w:trHeight w:val="26"/>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2"/>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from operations</w:t>
            </w: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22,545</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3,070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28,326</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11,169</w:t>
            </w:r>
          </w:p>
        </w:tc>
      </w:tr>
      <w:tr>
        <w:trPr>
          <w:trHeight w:val="176"/>
        </w:trPr>
        <w:tc>
          <w:tcPr>
            <w:tcW w:w="6040" w:type="dxa"/>
            <w:vAlign w:val="bottom"/>
          </w:tcPr>
          <w:p>
            <w:pPr>
              <w:ind w:left="20"/>
              <w:spacing w:after="0"/>
              <w:rPr>
                <w:sz w:val="20"/>
                <w:szCs w:val="20"/>
                <w:color w:val="auto"/>
              </w:rPr>
            </w:pPr>
            <w:r>
              <w:rPr>
                <w:rFonts w:ascii="Arial" w:cs="Arial" w:eastAsia="Arial" w:hAnsi="Arial"/>
                <w:sz w:val="13"/>
                <w:szCs w:val="13"/>
                <w:color w:val="auto"/>
              </w:rPr>
              <w:t>Other income, net</w:t>
            </w:r>
          </w:p>
        </w:tc>
        <w:tc>
          <w:tcPr>
            <w:tcW w:w="28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1,480</w:t>
            </w:r>
          </w:p>
        </w:tc>
      </w:tr>
      <w:tr>
        <w:trPr>
          <w:trHeight w:val="26"/>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2"/>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22,694</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3,654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28,988</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12,649</w:t>
            </w:r>
          </w:p>
        </w:tc>
      </w:tr>
      <w:tr>
        <w:trPr>
          <w:trHeight w:val="176"/>
        </w:trPr>
        <w:tc>
          <w:tcPr>
            <w:tcW w:w="6040" w:type="dxa"/>
            <w:vAlign w:val="bottom"/>
          </w:tcPr>
          <w:p>
            <w:pPr>
              <w:ind w:left="20"/>
              <w:spacing w:after="0"/>
              <w:rPr>
                <w:sz w:val="20"/>
                <w:szCs w:val="20"/>
                <w:color w:val="auto"/>
              </w:rPr>
            </w:pPr>
            <w:r>
              <w:rPr>
                <w:rFonts w:ascii="Arial" w:cs="Arial" w:eastAsia="Arial" w:hAnsi="Arial"/>
                <w:sz w:val="13"/>
                <w:szCs w:val="13"/>
                <w:color w:val="auto"/>
              </w:rPr>
              <w:t>Provision for income taxes</w:t>
            </w:r>
          </w:p>
        </w:tc>
        <w:tc>
          <w:tcPr>
            <w:tcW w:w="28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3,707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5,683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1,828</w:t>
            </w:r>
          </w:p>
        </w:tc>
      </w:tr>
      <w:tr>
        <w:trPr>
          <w:trHeight w:val="26"/>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4"/>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18,987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3,299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23,305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10,821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per share:</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76"/>
        </w:trPr>
        <w:tc>
          <w:tcPr>
            <w:tcW w:w="6040" w:type="dxa"/>
            <w:vAlign w:val="bottom"/>
          </w:tcPr>
          <w:p>
            <w:pPr>
              <w:ind w:left="100"/>
              <w:spacing w:after="0"/>
              <w:rPr>
                <w:sz w:val="20"/>
                <w:szCs w:val="20"/>
                <w:color w:val="auto"/>
              </w:rPr>
            </w:pPr>
            <w:r>
              <w:rPr>
                <w:rFonts w:ascii="Arial" w:cs="Arial" w:eastAsia="Arial" w:hAnsi="Arial"/>
                <w:sz w:val="13"/>
                <w:szCs w:val="13"/>
                <w:color w:val="auto"/>
              </w:rPr>
              <w:t>Basic</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0.53</w:t>
            </w:r>
          </w:p>
        </w:tc>
        <w:tc>
          <w:tcPr>
            <w:tcW w:w="10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0.65</w:t>
            </w:r>
          </w:p>
        </w:tc>
        <w:tc>
          <w:tcPr>
            <w:tcW w:w="100" w:type="dxa"/>
            <w:vAlign w:val="bottom"/>
          </w:tcPr>
          <w:p>
            <w:pPr>
              <w:spacing w:after="0"/>
              <w:rPr>
                <w:sz w:val="15"/>
                <w:szCs w:val="15"/>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0.31</w:t>
            </w:r>
          </w:p>
        </w:tc>
      </w:tr>
      <w:tr>
        <w:trPr>
          <w:trHeight w:val="26"/>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9"/>
        </w:trPr>
        <w:tc>
          <w:tcPr>
            <w:tcW w:w="6040" w:type="dxa"/>
            <w:vAlign w:val="bottom"/>
            <w:tcBorders>
              <w:bottom w:val="single" w:sz="8" w:color="CCEEFF"/>
            </w:tcBorders>
            <w:shd w:val="clear" w:color="auto" w:fill="CCEEFF"/>
          </w:tcPr>
          <w:p>
            <w:pPr>
              <w:ind w:left="100"/>
              <w:spacing w:after="0" w:line="142" w:lineRule="exact"/>
              <w:rPr>
                <w:sz w:val="20"/>
                <w:szCs w:val="20"/>
                <w:color w:val="auto"/>
              </w:rPr>
            </w:pPr>
            <w:r>
              <w:rPr>
                <w:rFonts w:ascii="Arial" w:cs="Arial" w:eastAsia="Arial" w:hAnsi="Arial"/>
                <w:sz w:val="13"/>
                <w:szCs w:val="13"/>
                <w:color w:val="auto"/>
              </w:rPr>
              <w:t>Diluted</w:t>
            </w: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0.53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0.65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0.30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76"/>
        </w:trPr>
        <w:tc>
          <w:tcPr>
            <w:tcW w:w="6040" w:type="dxa"/>
            <w:vAlign w:val="bottom"/>
          </w:tcPr>
          <w:p>
            <w:pPr>
              <w:ind w:left="100"/>
              <w:spacing w:after="0"/>
              <w:rPr>
                <w:sz w:val="20"/>
                <w:szCs w:val="20"/>
                <w:color w:val="auto"/>
              </w:rPr>
            </w:pPr>
            <w:r>
              <w:rPr>
                <w:rFonts w:ascii="Arial" w:cs="Arial" w:eastAsia="Arial" w:hAnsi="Arial"/>
                <w:sz w:val="13"/>
                <w:szCs w:val="13"/>
                <w:color w:val="auto"/>
              </w:rPr>
              <w:t>Basic</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35,652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35,232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35,587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35,174</w:t>
            </w:r>
          </w:p>
        </w:tc>
      </w:tr>
      <w:tr>
        <w:trPr>
          <w:trHeight w:val="26"/>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9"/>
        </w:trPr>
        <w:tc>
          <w:tcPr>
            <w:tcW w:w="6040" w:type="dxa"/>
            <w:vAlign w:val="bottom"/>
            <w:tcBorders>
              <w:bottom w:val="single" w:sz="8" w:color="CCEEFF"/>
            </w:tcBorders>
            <w:shd w:val="clear" w:color="auto" w:fill="CCEEFF"/>
          </w:tcPr>
          <w:p>
            <w:pPr>
              <w:ind w:left="100"/>
              <w:spacing w:after="0" w:line="142" w:lineRule="exact"/>
              <w:rPr>
                <w:sz w:val="20"/>
                <w:szCs w:val="20"/>
                <w:color w:val="auto"/>
              </w:rPr>
            </w:pPr>
            <w:r>
              <w:rPr>
                <w:rFonts w:ascii="Arial" w:cs="Arial" w:eastAsia="Arial" w:hAnsi="Arial"/>
                <w:sz w:val="13"/>
                <w:szCs w:val="13"/>
                <w:color w:val="auto"/>
              </w:rPr>
              <w:t>Diluted</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35,906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35,504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35,894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35,499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Unaudited Consolidated Financial Statements.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6"/>
          </w:tcPr>
          <w:p>
            <w:pPr>
              <w:ind w:left="38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0"/>
                <w:szCs w:val="10"/>
                <w:color w:val="auto"/>
              </w:rPr>
            </w:pPr>
          </w:p>
        </w:tc>
        <w:tc>
          <w:tcPr>
            <w:tcW w:w="1840" w:type="dxa"/>
            <w:vAlign w:val="bottom"/>
            <w:gridSpan w:val="4"/>
          </w:tcPr>
          <w:p>
            <w:pPr>
              <w:jc w:val="center"/>
              <w:ind w:right="158"/>
              <w:spacing w:after="0"/>
              <w:rPr>
                <w:sz w:val="20"/>
                <w:szCs w:val="20"/>
                <w:color w:val="auto"/>
              </w:rPr>
            </w:pPr>
            <w:r>
              <w:rPr>
                <w:rFonts w:ascii="Arial" w:cs="Arial" w:eastAsia="Arial" w:hAnsi="Arial"/>
                <w:sz w:val="11"/>
                <w:szCs w:val="11"/>
                <w:b w:val="1"/>
                <w:bCs w:val="1"/>
                <w:color w:val="auto"/>
                <w:w w:val="94"/>
              </w:rPr>
              <w:t>Six Months Ended</w:t>
            </w:r>
          </w:p>
        </w:tc>
      </w:tr>
      <w:tr>
        <w:trPr>
          <w:trHeight w:val="151"/>
        </w:trPr>
        <w:tc>
          <w:tcPr>
            <w:tcW w:w="6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w w:val="86"/>
              </w:rPr>
              <w:t>June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1"/>
                <w:szCs w:val="11"/>
                <w:b w:val="1"/>
                <w:bCs w:val="1"/>
                <w:color w:val="auto"/>
                <w:w w:val="90"/>
              </w:rPr>
              <w:t>June 30,</w:t>
            </w:r>
          </w:p>
        </w:tc>
        <w:tc>
          <w:tcPr>
            <w:tcW w:w="720" w:type="dxa"/>
            <w:vAlign w:val="bottom"/>
            <w:tcBorders>
              <w:bottom w:val="single" w:sz="8" w:color="auto"/>
            </w:tcBorders>
          </w:tcPr>
          <w:p>
            <w:pPr>
              <w:spacing w:after="0"/>
              <w:rPr>
                <w:sz w:val="13"/>
                <w:szCs w:val="13"/>
                <w:color w:val="auto"/>
              </w:rPr>
            </w:pPr>
          </w:p>
        </w:tc>
      </w:tr>
      <w:tr>
        <w:trPr>
          <w:trHeight w:val="150"/>
        </w:trPr>
        <w:tc>
          <w:tcPr>
            <w:tcW w:w="6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2019</w:t>
            </w:r>
          </w:p>
        </w:tc>
      </w:tr>
      <w:tr>
        <w:trPr>
          <w:trHeight w:val="154"/>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18,987</w:t>
            </w:r>
          </w:p>
        </w:tc>
        <w:tc>
          <w:tcPr>
            <w:tcW w:w="54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center"/>
              <w:ind w:left="178"/>
              <w:spacing w:after="0"/>
              <w:rPr>
                <w:sz w:val="20"/>
                <w:szCs w:val="20"/>
                <w:color w:val="auto"/>
              </w:rPr>
            </w:pPr>
            <w:r>
              <w:rPr>
                <w:rFonts w:ascii="Arial" w:cs="Arial" w:eastAsia="Arial" w:hAnsi="Arial"/>
                <w:sz w:val="13"/>
                <w:szCs w:val="13"/>
                <w:color w:val="auto"/>
                <w:w w:val="85"/>
              </w:rPr>
              <w:t>3,299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23,305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10,821</w:t>
            </w:r>
          </w:p>
        </w:tc>
      </w:tr>
      <w:tr>
        <w:trPr>
          <w:trHeight w:val="176"/>
        </w:trPr>
        <w:tc>
          <w:tcPr>
            <w:tcW w:w="6820" w:type="dxa"/>
            <w:vAlign w:val="bottom"/>
          </w:tcPr>
          <w:p>
            <w:pPr>
              <w:ind w:left="100"/>
              <w:spacing w:after="0"/>
              <w:rPr>
                <w:sz w:val="20"/>
                <w:szCs w:val="20"/>
                <w:color w:val="auto"/>
              </w:rPr>
            </w:pPr>
            <w:r>
              <w:rPr>
                <w:rFonts w:ascii="Arial" w:cs="Arial" w:eastAsia="Arial" w:hAnsi="Arial"/>
                <w:sz w:val="13"/>
                <w:szCs w:val="13"/>
                <w:color w:val="auto"/>
              </w:rPr>
              <w:t>Foreign currency translation gain / (loss)</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center"/>
              <w:ind w:left="158"/>
              <w:spacing w:after="0"/>
              <w:rPr>
                <w:sz w:val="20"/>
                <w:szCs w:val="20"/>
                <w:color w:val="auto"/>
              </w:rPr>
            </w:pPr>
            <w:r>
              <w:rPr>
                <w:rFonts w:ascii="Arial" w:cs="Arial" w:eastAsia="Arial" w:hAnsi="Arial"/>
                <w:sz w:val="13"/>
                <w:szCs w:val="13"/>
                <w:color w:val="auto"/>
                <w:w w:val="92"/>
              </w:rPr>
              <w:t>(1,027)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rPr>
              <w:t>(2,194)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(982)</w:t>
            </w:r>
          </w:p>
        </w:tc>
      </w:tr>
      <w:tr>
        <w:trPr>
          <w:trHeight w:val="26"/>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gain / (loss)</w:t>
            </w: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ind w:left="158"/>
              <w:spacing w:after="0"/>
              <w:rPr>
                <w:sz w:val="20"/>
                <w:szCs w:val="20"/>
                <w:color w:val="auto"/>
              </w:rPr>
            </w:pPr>
            <w:r>
              <w:rPr>
                <w:rFonts w:ascii="Arial" w:cs="Arial" w:eastAsia="Arial" w:hAnsi="Arial"/>
                <w:sz w:val="13"/>
                <w:szCs w:val="13"/>
                <w:color w:val="auto"/>
                <w:w w:val="92"/>
              </w:rPr>
              <w:t>(1,027)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(2,194)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(982)</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19,241</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center"/>
              <w:ind w:left="178"/>
              <w:spacing w:after="0"/>
              <w:rPr>
                <w:sz w:val="20"/>
                <w:szCs w:val="20"/>
                <w:color w:val="auto"/>
              </w:rPr>
            </w:pPr>
            <w:r>
              <w:rPr>
                <w:rFonts w:ascii="Arial" w:cs="Arial" w:eastAsia="Arial" w:hAnsi="Arial"/>
                <w:sz w:val="13"/>
                <w:szCs w:val="13"/>
                <w:color w:val="auto"/>
                <w:w w:val="85"/>
              </w:rPr>
              <w:t>2,272</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rPr>
              <w:t>21,111</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9,839</w:t>
            </w:r>
          </w:p>
        </w:tc>
      </w:tr>
      <w:tr>
        <w:trPr>
          <w:trHeight w:val="26"/>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Unaudited Consolidated Financial Statements.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4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5"/>
              </w:rPr>
              <w:t>Accumulated</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600" w:type="dxa"/>
            <w:vAlign w:val="bottom"/>
            <w:gridSpan w:val="5"/>
          </w:tcPr>
          <w:p>
            <w:pPr>
              <w:ind w:left="480"/>
              <w:spacing w:after="0"/>
              <w:rPr>
                <w:sz w:val="20"/>
                <w:szCs w:val="20"/>
                <w:color w:val="auto"/>
              </w:rPr>
            </w:pPr>
            <w:r>
              <w:rPr>
                <w:rFonts w:ascii="Arial" w:cs="Arial" w:eastAsia="Arial" w:hAnsi="Arial"/>
                <w:sz w:val="8"/>
                <w:szCs w:val="8"/>
                <w:b w:val="1"/>
                <w:bCs w:val="1"/>
                <w:color w:val="auto"/>
              </w:rPr>
              <w:t>Common Stock</w:t>
            </w:r>
          </w:p>
        </w:tc>
        <w:tc>
          <w:tcPr>
            <w:tcW w:w="1740" w:type="dxa"/>
            <w:vAlign w:val="bottom"/>
            <w:gridSpan w:val="5"/>
          </w:tcPr>
          <w:p>
            <w:pPr>
              <w:jc w:val="center"/>
              <w:ind w:right="100"/>
              <w:spacing w:after="0"/>
              <w:rPr>
                <w:sz w:val="20"/>
                <w:szCs w:val="20"/>
                <w:color w:val="auto"/>
              </w:rPr>
            </w:pPr>
            <w:r>
              <w:rPr>
                <w:rFonts w:ascii="Arial" w:cs="Arial" w:eastAsia="Arial" w:hAnsi="Arial"/>
                <w:sz w:val="8"/>
                <w:szCs w:val="8"/>
                <w:b w:val="1"/>
                <w:bCs w:val="1"/>
                <w:color w:val="auto"/>
                <w:w w:val="96"/>
              </w:rPr>
              <w:t>Treasury Stock</w:t>
            </w:r>
          </w:p>
        </w:tc>
        <w:tc>
          <w:tcPr>
            <w:tcW w:w="14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7"/>
              </w:rPr>
              <w:t>Additional</w:t>
            </w:r>
          </w:p>
        </w:tc>
        <w:tc>
          <w:tcPr>
            <w:tcW w:w="14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Other</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4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Three Months Ended June 30, 2020</w:t>
            </w: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8"/>
                <w:szCs w:val="8"/>
                <w:b w:val="1"/>
                <w:bCs w:val="1"/>
                <w:color w:val="auto"/>
                <w:w w:val="97"/>
              </w:rPr>
              <w:t>Paid-in</w:t>
            </w:r>
          </w:p>
        </w:tc>
        <w:tc>
          <w:tcPr>
            <w:tcW w:w="140" w:type="dxa"/>
            <w:vAlign w:val="bottom"/>
          </w:tcPr>
          <w:p>
            <w:pPr>
              <w:spacing w:after="0"/>
              <w:rPr>
                <w:sz w:val="2"/>
                <w:szCs w:val="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8"/>
                <w:szCs w:val="8"/>
                <w:b w:val="1"/>
                <w:bCs w:val="1"/>
                <w:color w:val="auto"/>
                <w:w w:val="93"/>
              </w:rPr>
              <w:t>Comprehensive</w:t>
            </w:r>
          </w:p>
        </w:tc>
        <w:tc>
          <w:tcPr>
            <w:tcW w:w="160" w:type="dxa"/>
            <w:vAlign w:val="bottom"/>
          </w:tcPr>
          <w:p>
            <w:pPr>
              <w:spacing w:after="0"/>
              <w:rPr>
                <w:sz w:val="2"/>
                <w:szCs w:val="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0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10"/>
                <w:szCs w:val="10"/>
                <w:color w:val="auto"/>
              </w:rPr>
            </w:pPr>
          </w:p>
        </w:tc>
        <w:tc>
          <w:tcPr>
            <w:tcW w:w="68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780" w:type="dxa"/>
            <w:vAlign w:val="bottom"/>
            <w:gridSpan w:val="2"/>
          </w:tcPr>
          <w:p>
            <w:pPr>
              <w:ind w:left="220"/>
              <w:spacing w:after="0"/>
              <w:rPr>
                <w:sz w:val="20"/>
                <w:szCs w:val="20"/>
                <w:color w:val="auto"/>
              </w:rPr>
            </w:pPr>
            <w:r>
              <w:rPr>
                <w:rFonts w:ascii="Arial" w:cs="Arial" w:eastAsia="Arial" w:hAnsi="Arial"/>
                <w:sz w:val="8"/>
                <w:szCs w:val="8"/>
                <w:b w:val="1"/>
                <w:bCs w:val="1"/>
                <w:color w:val="auto"/>
              </w:rPr>
              <w:t>Shares</w:t>
            </w:r>
          </w:p>
        </w:tc>
        <w:tc>
          <w:tcPr>
            <w:tcW w:w="18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7"/>
              </w:rPr>
              <w:t>Capital</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5"/>
              </w:rPr>
              <w:t>Loss</w:t>
            </w:r>
          </w:p>
        </w:tc>
        <w:tc>
          <w:tcPr>
            <w:tcW w:w="16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8"/>
                <w:szCs w:val="8"/>
                <w:b w:val="1"/>
                <w:bCs w:val="1"/>
                <w:color w:val="auto"/>
              </w:rPr>
              <w:t>Earnings</w:t>
            </w:r>
          </w:p>
        </w:tc>
        <w:tc>
          <w:tcPr>
            <w:tcW w:w="220" w:type="dxa"/>
            <w:vAlign w:val="bottom"/>
          </w:tcPr>
          <w:p>
            <w:pPr>
              <w:spacing w:after="0"/>
              <w:rPr>
                <w:sz w:val="10"/>
                <w:szCs w:val="10"/>
                <w:color w:val="auto"/>
              </w:rPr>
            </w:pPr>
          </w:p>
        </w:tc>
        <w:tc>
          <w:tcPr>
            <w:tcW w:w="660" w:type="dxa"/>
            <w:vAlign w:val="bottom"/>
          </w:tcPr>
          <w:p>
            <w:pPr>
              <w:jc w:val="right"/>
              <w:ind w:right="284"/>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5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7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38,119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381</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316,823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(8,668)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119,218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327,727</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3,636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3,636</w:t>
            </w:r>
          </w:p>
        </w:tc>
        <w:tc>
          <w:tcPr>
            <w:tcW w:w="0" w:type="dxa"/>
            <w:vAlign w:val="bottom"/>
          </w:tcPr>
          <w:p>
            <w:pPr>
              <w:spacing w:after="0"/>
              <w:rPr>
                <w:sz w:val="1"/>
                <w:szCs w:val="1"/>
                <w:color w:val="auto"/>
              </w:rPr>
            </w:pPr>
          </w:p>
        </w:tc>
      </w:tr>
      <w:tr>
        <w:trPr>
          <w:trHeight w:val="127"/>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5"/>
              </w:rPr>
              <w:t>Issuance of common stock in connection with employee stock option exercises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RSU vesting</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627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23"/>
        </w:trPr>
        <w:tc>
          <w:tcPr>
            <w:tcW w:w="4000" w:type="dxa"/>
            <w:vAlign w:val="bottom"/>
          </w:tcPr>
          <w:p>
            <w:pPr>
              <w:ind w:left="100"/>
              <w:spacing w:after="0" w:line="123" w:lineRule="exact"/>
              <w:rPr>
                <w:sz w:val="20"/>
                <w:szCs w:val="20"/>
                <w:color w:val="auto"/>
              </w:rPr>
            </w:pPr>
            <w:r>
              <w:rPr>
                <w:rFonts w:ascii="Arial" w:cs="Arial" w:eastAsia="Arial" w:hAnsi="Arial"/>
                <w:sz w:val="11"/>
                <w:szCs w:val="11"/>
                <w:color w:val="auto"/>
                <w:w w:val="98"/>
              </w:rPr>
              <w:t>Common shares withheld for settlement of taxes in connection with equity-based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1"/>
                <w:szCs w:val="11"/>
                <w:color w:val="auto"/>
              </w:rPr>
              <w:t>compensation</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5"/>
              <w:spacing w:after="0"/>
              <w:rPr>
                <w:sz w:val="20"/>
                <w:szCs w:val="20"/>
                <w:color w:val="auto"/>
              </w:rPr>
            </w:pPr>
            <w:r>
              <w:rPr>
                <w:rFonts w:ascii="Arial" w:cs="Arial" w:eastAsia="Arial" w:hAnsi="Arial"/>
                <w:sz w:val="11"/>
                <w:szCs w:val="11"/>
                <w:color w:val="auto"/>
              </w:rPr>
              <w:t>(1,674)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(1,675)</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dividends paid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(6,058)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(6,058)</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85"/>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18,987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18,987</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Arial" w:cs="Arial" w:eastAsia="Arial" w:hAnsi="Arial"/>
                <w:sz w:val="11"/>
                <w:szCs w:val="11"/>
                <w:color w:val="auto"/>
              </w:rPr>
              <w:t>Balance at June 30, 2020</w:t>
            </w:r>
          </w:p>
        </w:tc>
        <w:tc>
          <w:tcPr>
            <w:tcW w:w="7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38,245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382</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319,412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(8,414)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132,147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343,500</w:t>
            </w:r>
          </w:p>
        </w:tc>
        <w:tc>
          <w:tcPr>
            <w:tcW w:w="0" w:type="dxa"/>
            <w:vAlign w:val="bottom"/>
          </w:tcPr>
          <w:p>
            <w:pPr>
              <w:spacing w:after="0"/>
              <w:rPr>
                <w:sz w:val="1"/>
                <w:szCs w:val="1"/>
                <w:color w:val="auto"/>
              </w:rPr>
            </w:pPr>
          </w:p>
        </w:tc>
      </w:tr>
      <w:tr>
        <w:trPr>
          <w:trHeight w:val="71"/>
        </w:trPr>
        <w:tc>
          <w:tcPr>
            <w:tcW w:w="40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00" w:type="dxa"/>
            <w:vAlign w:val="bottom"/>
            <w:tcBorders>
              <w:top w:val="single" w:sz="8" w:color="CCEEFF"/>
            </w:tcBorders>
          </w:tcPr>
          <w:p>
            <w:pPr>
              <w:ind w:left="20"/>
              <w:spacing w:after="0"/>
              <w:rPr>
                <w:sz w:val="20"/>
                <w:szCs w:val="20"/>
                <w:color w:val="auto"/>
              </w:rPr>
            </w:pPr>
            <w:r>
              <w:rPr>
                <w:rFonts w:ascii="Arial" w:cs="Arial" w:eastAsia="Arial" w:hAnsi="Arial"/>
                <w:sz w:val="11"/>
                <w:szCs w:val="11"/>
                <w:b w:val="1"/>
                <w:bCs w:val="1"/>
                <w:color w:val="auto"/>
              </w:rPr>
              <w:t>Three Months Ended June 30, 2019</w:t>
            </w:r>
          </w:p>
        </w:tc>
        <w:tc>
          <w:tcPr>
            <w:tcW w:w="7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37,759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292,458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(6,426)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108,601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294,984</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7,751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7,751</w:t>
            </w:r>
          </w:p>
        </w:tc>
        <w:tc>
          <w:tcPr>
            <w:tcW w:w="0" w:type="dxa"/>
            <w:vAlign w:val="bottom"/>
          </w:tcPr>
          <w:p>
            <w:pPr>
              <w:spacing w:after="0"/>
              <w:rPr>
                <w:sz w:val="1"/>
                <w:szCs w:val="1"/>
                <w:color w:val="auto"/>
              </w:rPr>
            </w:pPr>
          </w:p>
        </w:tc>
      </w:tr>
      <w:tr>
        <w:trPr>
          <w:trHeight w:val="127"/>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5"/>
              </w:rPr>
              <w:t>Issuance of common stock in connection with employee stock option exercises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RSU vesting</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3"/>
        </w:trPr>
        <w:tc>
          <w:tcPr>
            <w:tcW w:w="4000" w:type="dxa"/>
            <w:vAlign w:val="bottom"/>
          </w:tcPr>
          <w:p>
            <w:pPr>
              <w:ind w:left="100"/>
              <w:spacing w:after="0" w:line="123" w:lineRule="exact"/>
              <w:rPr>
                <w:sz w:val="20"/>
                <w:szCs w:val="20"/>
                <w:color w:val="auto"/>
              </w:rPr>
            </w:pPr>
            <w:r>
              <w:rPr>
                <w:rFonts w:ascii="Arial" w:cs="Arial" w:eastAsia="Arial" w:hAnsi="Arial"/>
                <w:sz w:val="11"/>
                <w:szCs w:val="11"/>
                <w:color w:val="auto"/>
                <w:w w:val="98"/>
              </w:rPr>
              <w:t>Common shares withheld for settlement of taxes in connection with equity-based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1"/>
                <w:szCs w:val="11"/>
                <w:color w:val="auto"/>
              </w:rPr>
              <w:t>compensation</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5"/>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(1,091)</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(1,027)</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3,299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3,299</w:t>
            </w:r>
          </w:p>
        </w:tc>
        <w:tc>
          <w:tcPr>
            <w:tcW w:w="0" w:type="dxa"/>
            <w:vAlign w:val="bottom"/>
          </w:tcPr>
          <w:p>
            <w:pPr>
              <w:spacing w:after="0"/>
              <w:rPr>
                <w:sz w:val="1"/>
                <w:szCs w:val="1"/>
                <w:color w:val="auto"/>
              </w:rPr>
            </w:pPr>
          </w:p>
        </w:tc>
      </w:tr>
      <w:tr>
        <w:trPr>
          <w:trHeight w:val="179"/>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2019</w:t>
            </w:r>
          </w:p>
        </w:tc>
        <w:tc>
          <w:tcPr>
            <w:tcW w:w="7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37,816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299,122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(7,453)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111,900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303,921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Six Months Ended June 30, 2020</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rPr>
                <w:sz w:val="20"/>
                <w:szCs w:val="20"/>
                <w:color w:val="auto"/>
              </w:rPr>
            </w:pPr>
            <w:r>
              <w:rPr>
                <w:rFonts w:ascii="Arial" w:cs="Arial" w:eastAsia="Arial" w:hAnsi="Arial"/>
                <w:sz w:val="11"/>
                <w:szCs w:val="11"/>
                <w:color w:val="auto"/>
              </w:rPr>
              <w:t>Balance at December 31, 2019</w:t>
            </w: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38,055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4"/>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Pr>
          <w:p>
            <w:pPr>
              <w:spacing w:after="0"/>
              <w:rPr>
                <w:sz w:val="13"/>
                <w:szCs w:val="13"/>
                <w:color w:val="auto"/>
              </w:rPr>
            </w:pPr>
          </w:p>
        </w:tc>
        <w:tc>
          <w:tcPr>
            <w:tcW w:w="180" w:type="dxa"/>
            <w:vAlign w:val="bottom"/>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312,824</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5"/>
              <w:spacing w:after="0"/>
              <w:rPr>
                <w:sz w:val="20"/>
                <w:szCs w:val="20"/>
                <w:color w:val="auto"/>
              </w:rPr>
            </w:pPr>
            <w:r>
              <w:rPr>
                <w:rFonts w:ascii="Arial" w:cs="Arial" w:eastAsia="Arial" w:hAnsi="Arial"/>
                <w:sz w:val="11"/>
                <w:szCs w:val="11"/>
                <w:color w:val="auto"/>
              </w:rPr>
              <w:t>(6,220)</w:t>
            </w: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121,187</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328,145</w:t>
            </w: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Cumulative effect of accounting change (Note 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50"/>
        </w:trPr>
        <w:tc>
          <w:tcPr>
            <w:tcW w:w="4000" w:type="dxa"/>
            <w:vAlign w:val="bottom"/>
          </w:tcPr>
          <w:p>
            <w:pPr>
              <w:ind w:left="20"/>
              <w:spacing w:after="0"/>
              <w:rPr>
                <w:sz w:val="20"/>
                <w:szCs w:val="20"/>
                <w:color w:val="auto"/>
              </w:rPr>
            </w:pPr>
            <w:r>
              <w:rPr>
                <w:rFonts w:ascii="Arial" w:cs="Arial" w:eastAsia="Arial" w:hAnsi="Arial"/>
                <w:sz w:val="11"/>
                <w:szCs w:val="11"/>
                <w:color w:val="auto"/>
              </w:rPr>
              <w:t>Balance at January 1, 2020</w:t>
            </w:r>
          </w:p>
        </w:tc>
        <w:tc>
          <w:tcPr>
            <w:tcW w:w="70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38,055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312,824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(6,220)</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120,940</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color w:val="auto"/>
              </w:rPr>
              <w:t>327,898</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9,396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9,396</w:t>
            </w:r>
          </w:p>
        </w:tc>
        <w:tc>
          <w:tcPr>
            <w:tcW w:w="0" w:type="dxa"/>
            <w:vAlign w:val="bottom"/>
          </w:tcPr>
          <w:p>
            <w:pPr>
              <w:spacing w:after="0"/>
              <w:rPr>
                <w:sz w:val="1"/>
                <w:szCs w:val="1"/>
                <w:color w:val="auto"/>
              </w:rPr>
            </w:pPr>
          </w:p>
        </w:tc>
      </w:tr>
      <w:tr>
        <w:trPr>
          <w:trHeight w:val="123"/>
        </w:trPr>
        <w:tc>
          <w:tcPr>
            <w:tcW w:w="4000" w:type="dxa"/>
            <w:vAlign w:val="bottom"/>
          </w:tcPr>
          <w:p>
            <w:pPr>
              <w:ind w:left="100"/>
              <w:spacing w:after="0" w:line="123" w:lineRule="exact"/>
              <w:rPr>
                <w:sz w:val="20"/>
                <w:szCs w:val="20"/>
                <w:color w:val="auto"/>
              </w:rPr>
            </w:pPr>
            <w:r>
              <w:rPr>
                <w:rFonts w:ascii="Arial" w:cs="Arial" w:eastAsia="Arial" w:hAnsi="Arial"/>
                <w:sz w:val="11"/>
                <w:szCs w:val="11"/>
                <w:color w:val="auto"/>
                <w:w w:val="95"/>
              </w:rPr>
              <w:t>Issuance of common stock in connection with employee stock option exercises and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1"/>
                <w:szCs w:val="11"/>
                <w:color w:val="auto"/>
              </w:rPr>
              <w:t>RSU vesting</w:t>
            </w: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289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626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27"/>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8"/>
              </w:rPr>
              <w:t>Common shares withheld for settlement of taxes in connection with equity-based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(3,434)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(3,436)</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Cash dividends paid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ind w:right="44"/>
              <w:spacing w:after="0"/>
              <w:rPr>
                <w:sz w:val="20"/>
                <w:szCs w:val="20"/>
                <w:color w:val="auto"/>
              </w:rPr>
            </w:pPr>
            <w:r>
              <w:rPr>
                <w:rFonts w:ascii="Arial" w:cs="Arial" w:eastAsia="Arial" w:hAnsi="Arial"/>
                <w:sz w:val="11"/>
                <w:szCs w:val="11"/>
                <w:color w:val="auto"/>
              </w:rPr>
              <w:t>(12,098)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(12,098)</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(2,194)</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23,305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23,305</w:t>
            </w:r>
          </w:p>
        </w:tc>
        <w:tc>
          <w:tcPr>
            <w:tcW w:w="0" w:type="dxa"/>
            <w:vAlign w:val="bottom"/>
          </w:tcPr>
          <w:p>
            <w:pPr>
              <w:spacing w:after="0"/>
              <w:rPr>
                <w:sz w:val="1"/>
                <w:szCs w:val="1"/>
                <w:color w:val="auto"/>
              </w:rPr>
            </w:pPr>
          </w:p>
        </w:tc>
      </w:tr>
      <w:tr>
        <w:trPr>
          <w:trHeight w:val="179"/>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2020</w:t>
            </w:r>
          </w:p>
        </w:tc>
        <w:tc>
          <w:tcPr>
            <w:tcW w:w="7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38,245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319,412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(8,414)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132,147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343,500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Six Months Ended June 30, 2019</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rPr>
                <w:sz w:val="20"/>
                <w:szCs w:val="20"/>
                <w:color w:val="auto"/>
              </w:rPr>
            </w:pPr>
            <w:r>
              <w:rPr>
                <w:rFonts w:ascii="Arial" w:cs="Arial" w:eastAsia="Arial" w:hAnsi="Arial"/>
                <w:sz w:val="11"/>
                <w:szCs w:val="11"/>
                <w:color w:val="auto"/>
              </w:rPr>
              <w:t>Balance at December 31, 2018</w:t>
            </w: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37,618</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4"/>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Pr>
          <w:p>
            <w:pPr>
              <w:spacing w:after="0"/>
              <w:rPr>
                <w:sz w:val="13"/>
                <w:szCs w:val="13"/>
                <w:color w:val="auto"/>
              </w:rPr>
            </w:pPr>
          </w:p>
        </w:tc>
        <w:tc>
          <w:tcPr>
            <w:tcW w:w="180" w:type="dxa"/>
            <w:vAlign w:val="bottom"/>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291,710</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5"/>
              <w:spacing w:after="0"/>
              <w:rPr>
                <w:sz w:val="20"/>
                <w:szCs w:val="20"/>
                <w:color w:val="auto"/>
              </w:rPr>
            </w:pPr>
            <w:r>
              <w:rPr>
                <w:rFonts w:ascii="Arial" w:cs="Arial" w:eastAsia="Arial" w:hAnsi="Arial"/>
                <w:sz w:val="11"/>
                <w:szCs w:val="11"/>
                <w:color w:val="auto"/>
              </w:rPr>
              <w:t>(6,471)</w:t>
            </w: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101,079</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286,667</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Equity-based 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12,375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12,375</w:t>
            </w:r>
          </w:p>
        </w:tc>
        <w:tc>
          <w:tcPr>
            <w:tcW w:w="0" w:type="dxa"/>
            <w:vAlign w:val="bottom"/>
          </w:tcPr>
          <w:p>
            <w:pPr>
              <w:spacing w:after="0"/>
              <w:rPr>
                <w:sz w:val="1"/>
                <w:szCs w:val="1"/>
                <w:color w:val="auto"/>
              </w:rPr>
            </w:pPr>
          </w:p>
        </w:tc>
      </w:tr>
      <w:tr>
        <w:trPr>
          <w:trHeight w:val="123"/>
        </w:trPr>
        <w:tc>
          <w:tcPr>
            <w:tcW w:w="4000" w:type="dxa"/>
            <w:vAlign w:val="bottom"/>
          </w:tcPr>
          <w:p>
            <w:pPr>
              <w:ind w:left="100"/>
              <w:spacing w:after="0" w:line="123" w:lineRule="exact"/>
              <w:rPr>
                <w:sz w:val="20"/>
                <w:szCs w:val="20"/>
                <w:color w:val="auto"/>
              </w:rPr>
            </w:pPr>
            <w:r>
              <w:rPr>
                <w:rFonts w:ascii="Arial" w:cs="Arial" w:eastAsia="Arial" w:hAnsi="Arial"/>
                <w:sz w:val="11"/>
                <w:szCs w:val="11"/>
                <w:color w:val="auto"/>
                <w:w w:val="95"/>
              </w:rPr>
              <w:t>Issuance of common stock in connection with employee stock option exercises and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1"/>
                <w:szCs w:val="11"/>
                <w:color w:val="auto"/>
              </w:rPr>
              <w:t>RSU vesting</w:t>
            </w: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312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85"/>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27"/>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8"/>
              </w:rPr>
              <w:t>Common shares withheld for settlement of taxes in connection with equity-based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(5,181)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(5,182)</w:t>
            </w:r>
          </w:p>
        </w:tc>
        <w:tc>
          <w:tcPr>
            <w:tcW w:w="0" w:type="dxa"/>
            <w:vAlign w:val="bottom"/>
          </w:tcPr>
          <w:p>
            <w:pPr>
              <w:spacing w:after="0"/>
              <w:rPr>
                <w:sz w:val="1"/>
                <w:szCs w:val="1"/>
                <w:color w:val="auto"/>
              </w:rPr>
            </w:pPr>
          </w:p>
        </w:tc>
      </w:tr>
      <w:tr>
        <w:trPr>
          <w:trHeight w:val="155"/>
        </w:trPr>
        <w:tc>
          <w:tcPr>
            <w:tcW w:w="4000" w:type="dxa"/>
            <w:vAlign w:val="bottom"/>
          </w:tcPr>
          <w:p>
            <w:pPr>
              <w:ind w:left="100"/>
              <w:spacing w:after="0"/>
              <w:rPr>
                <w:sz w:val="20"/>
                <w:szCs w:val="20"/>
                <w:color w:val="auto"/>
              </w:rPr>
            </w:pPr>
            <w:r>
              <w:rPr>
                <w:rFonts w:ascii="Arial" w:cs="Arial" w:eastAsia="Arial" w:hAnsi="Arial"/>
                <w:sz w:val="11"/>
                <w:szCs w:val="11"/>
                <w:color w:val="auto"/>
              </w:rPr>
              <w:t>Other comprehensive income</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1"/>
                <w:szCs w:val="11"/>
                <w:color w:val="auto"/>
              </w:rPr>
              <w:t>(982)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10,821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10,821</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Arial" w:cs="Arial" w:eastAsia="Arial" w:hAnsi="Arial"/>
                <w:sz w:val="11"/>
                <w:szCs w:val="11"/>
                <w:color w:val="auto"/>
              </w:rPr>
              <w:t>Balance at June 30, 2019</w:t>
            </w:r>
          </w:p>
        </w:tc>
        <w:tc>
          <w:tcPr>
            <w:tcW w:w="7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37,816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color w:val="auto"/>
              </w:rPr>
              <w:t>(100,027)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299,122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(7,453)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111,900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303,921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Unaudited Consolidated Financial Statements.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4" w:lineRule="exact"/>
        <w:rPr>
          <w:sz w:val="20"/>
          <w:szCs w:val="20"/>
          <w:color w:val="auto"/>
        </w:rPr>
      </w:pPr>
    </w:p>
    <w:p>
      <w:pPr>
        <w:jc w:val="center"/>
        <w:ind w:left="8340"/>
        <w:spacing w:after="0"/>
        <w:rPr>
          <w:sz w:val="20"/>
          <w:szCs w:val="20"/>
          <w:color w:val="auto"/>
        </w:rPr>
      </w:pPr>
      <w:r>
        <w:rPr>
          <w:rFonts w:ascii="Arial" w:cs="Arial" w:eastAsia="Arial" w:hAnsi="Arial"/>
          <w:sz w:val="11"/>
          <w:szCs w:val="11"/>
          <w:b w:val="1"/>
          <w:bCs w:val="1"/>
          <w:color w:val="auto"/>
        </w:rPr>
        <w:t>Six Months Ended</w:t>
      </w:r>
    </w:p>
    <w:p>
      <w:pPr>
        <w:spacing w:after="0" w:line="2" w:lineRule="exact"/>
        <w:rPr>
          <w:sz w:val="20"/>
          <w:szCs w:val="20"/>
          <w:color w:val="auto"/>
        </w:rPr>
      </w:pPr>
    </w:p>
    <w:p>
      <w:pPr>
        <w:jc w:val="center"/>
        <w:ind w:left="834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2019</w:t>
            </w:r>
          </w:p>
        </w:tc>
      </w:tr>
      <w:tr>
        <w:trPr>
          <w:trHeight w:val="154"/>
        </w:trPr>
        <w:tc>
          <w:tcPr>
            <w:tcW w:w="8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23,305</w:t>
            </w:r>
          </w:p>
        </w:tc>
        <w:tc>
          <w:tcPr>
            <w:tcW w:w="100" w:type="dxa"/>
            <w:vAlign w:val="bottom"/>
          </w:tcPr>
          <w:p>
            <w:pPr>
              <w:spacing w:after="0"/>
              <w:rPr>
                <w:sz w:val="15"/>
                <w:szCs w:val="15"/>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10,821</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82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21,370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25,319</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Deferred taxes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(1,312)</w:t>
            </w: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Non-cash equity-based compensation</w:t>
            </w:r>
          </w:p>
        </w:tc>
        <w:tc>
          <w:tcPr>
            <w:tcW w:w="82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9,396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12,375</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Bad debt expense</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1,086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(635)</w:t>
            </w: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Changes in operating assets and liabilities: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receivable</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(3,279)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(2,746)</w:t>
            </w:r>
          </w:p>
        </w:tc>
      </w:tr>
      <w:tr>
        <w:trPr>
          <w:trHeight w:val="176"/>
        </w:trPr>
        <w:tc>
          <w:tcPr>
            <w:tcW w:w="8400" w:type="dxa"/>
            <w:vAlign w:val="bottom"/>
          </w:tcPr>
          <w:p>
            <w:pPr>
              <w:ind w:left="360"/>
              <w:spacing w:after="0"/>
              <w:rPr>
                <w:sz w:val="20"/>
                <w:szCs w:val="20"/>
                <w:color w:val="auto"/>
              </w:rPr>
            </w:pPr>
            <w:r>
              <w:rPr>
                <w:rFonts w:ascii="Arial" w:cs="Arial" w:eastAsia="Arial" w:hAnsi="Arial"/>
                <w:sz w:val="13"/>
                <w:szCs w:val="13"/>
                <w:color w:val="auto"/>
              </w:rPr>
              <w:t>Prepaid expenses and other current and non-current assets</w:t>
            </w:r>
          </w:p>
        </w:tc>
        <w:tc>
          <w:tcPr>
            <w:tcW w:w="82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1,944</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payable and other current and non-current liabilities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(4,045)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1,899</w:t>
            </w:r>
          </w:p>
        </w:tc>
      </w:tr>
      <w:tr>
        <w:trPr>
          <w:trHeight w:val="176"/>
        </w:trPr>
        <w:tc>
          <w:tcPr>
            <w:tcW w:w="8400" w:type="dxa"/>
            <w:vAlign w:val="bottom"/>
          </w:tcPr>
          <w:p>
            <w:pPr>
              <w:ind w:left="360"/>
              <w:spacing w:after="0"/>
              <w:rPr>
                <w:sz w:val="20"/>
                <w:szCs w:val="20"/>
                <w:color w:val="auto"/>
              </w:rPr>
            </w:pPr>
            <w:r>
              <w:rPr>
                <w:rFonts w:ascii="Arial" w:cs="Arial" w:eastAsia="Arial" w:hAnsi="Arial"/>
                <w:sz w:val="13"/>
                <w:szCs w:val="13"/>
                <w:color w:val="auto"/>
              </w:rPr>
              <w:t>Long-term incentives related to acquisitions</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(7,759)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Contributor royalties payable</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1,059</w:t>
            </w:r>
          </w:p>
        </w:tc>
      </w:tr>
      <w:tr>
        <w:trPr>
          <w:trHeight w:val="176"/>
        </w:trPr>
        <w:tc>
          <w:tcPr>
            <w:tcW w:w="8400" w:type="dxa"/>
            <w:vAlign w:val="bottom"/>
          </w:tcPr>
          <w:p>
            <w:pPr>
              <w:ind w:left="360"/>
              <w:spacing w:after="0"/>
              <w:rPr>
                <w:sz w:val="20"/>
                <w:szCs w:val="20"/>
                <w:color w:val="auto"/>
              </w:rPr>
            </w:pPr>
            <w:r>
              <w:rPr>
                <w:rFonts w:ascii="Arial" w:cs="Arial" w:eastAsia="Arial" w:hAnsi="Arial"/>
                <w:sz w:val="13"/>
                <w:szCs w:val="13"/>
                <w:color w:val="auto"/>
              </w:rPr>
              <w:t>Deferred revenue</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(3,633)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(1,981)</w:t>
            </w:r>
          </w:p>
        </w:tc>
      </w:tr>
      <w:tr>
        <w:trPr>
          <w:trHeight w:val="26"/>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2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36,343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46,743</w:t>
            </w:r>
          </w:p>
        </w:tc>
      </w:tr>
      <w:tr>
        <w:trPr>
          <w:trHeight w:val="150"/>
        </w:trPr>
        <w:tc>
          <w:tcPr>
            <w:tcW w:w="84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18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Capital expenditures</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w w:val="90"/>
              </w:rPr>
              <w:t>(13,966)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(13,726)</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Proceeds from sale of Webdam, net</w:t>
            </w:r>
          </w:p>
        </w:tc>
        <w:tc>
          <w:tcPr>
            <w:tcW w:w="8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2,500</w:t>
            </w: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Acquisition of content</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(1,577)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(1,277)</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Security deposit release</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25</w:t>
            </w:r>
          </w:p>
        </w:tc>
      </w:tr>
      <w:tr>
        <w:trPr>
          <w:trHeight w:val="167"/>
        </w:trPr>
        <w:tc>
          <w:tcPr>
            <w:tcW w:w="840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0"/>
              </w:rPr>
              <w:t>(15,438)</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(12,478)</w:t>
            </w:r>
          </w:p>
        </w:tc>
      </w:tr>
      <w:tr>
        <w:trPr>
          <w:trHeight w:val="26"/>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0"/>
        </w:trPr>
        <w:tc>
          <w:tcPr>
            <w:tcW w:w="8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Proceeds from exercise of stock options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218</w:t>
            </w:r>
          </w:p>
        </w:tc>
      </w:tr>
      <w:tr>
        <w:trPr>
          <w:trHeight w:val="176"/>
        </w:trPr>
        <w:tc>
          <w:tcPr>
            <w:tcW w:w="8400" w:type="dxa"/>
            <w:vAlign w:val="bottom"/>
          </w:tcPr>
          <w:p>
            <w:pPr>
              <w:ind w:left="160"/>
              <w:spacing w:after="0"/>
              <w:rPr>
                <w:sz w:val="20"/>
                <w:szCs w:val="20"/>
                <w:color w:val="auto"/>
              </w:rPr>
            </w:pPr>
            <w:r>
              <w:rPr>
                <w:rFonts w:ascii="Arial" w:cs="Arial" w:eastAsia="Arial" w:hAnsi="Arial"/>
                <w:sz w:val="13"/>
                <w:szCs w:val="13"/>
                <w:color w:val="auto"/>
              </w:rPr>
              <w:t>Cash paid related to settlement of employee taxes related to RSU vesting</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(3,436)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(5,181)</w:t>
            </w: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Payment of cash dividend</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90"/>
              </w:rPr>
              <w:t>(12,098)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67"/>
        </w:trPr>
        <w:tc>
          <w:tcPr>
            <w:tcW w:w="840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0"/>
              </w:rPr>
              <w:t>(14,905)</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(4,963)</w:t>
            </w:r>
          </w:p>
        </w:tc>
      </w:tr>
      <w:tr>
        <w:trPr>
          <w:trHeight w:val="26"/>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0"/>
        </w:trPr>
        <w:tc>
          <w:tcPr>
            <w:tcW w:w="8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color w:val="auto"/>
              </w:rPr>
              <w:t>Effect of foreign exchange rate changes on cash</w:t>
            </w:r>
          </w:p>
        </w:tc>
        <w:tc>
          <w:tcPr>
            <w:tcW w:w="8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(717)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(1,085)</w:t>
            </w:r>
          </w:p>
        </w:tc>
      </w:tr>
      <w:tr>
        <w:trPr>
          <w:trHeight w:val="26"/>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8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5,283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28,217</w:t>
            </w:r>
          </w:p>
        </w:tc>
      </w:tr>
      <w:tr>
        <w:trPr>
          <w:trHeight w:val="170"/>
        </w:trPr>
        <w:tc>
          <w:tcPr>
            <w:tcW w:w="8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5"/>
              </w:rPr>
              <w:t>305,874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233,465</w:t>
            </w:r>
          </w:p>
        </w:tc>
      </w:tr>
      <w:tr>
        <w:trPr>
          <w:trHeight w:val="167"/>
        </w:trPr>
        <w:tc>
          <w:tcPr>
            <w:tcW w:w="84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5"/>
              </w:rPr>
              <w:t>311,157</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261,682</w:t>
            </w:r>
          </w:p>
        </w:tc>
      </w:tr>
      <w:tr>
        <w:trPr>
          <w:trHeight w:val="26"/>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1"/>
        </w:trPr>
        <w:tc>
          <w:tcPr>
            <w:tcW w:w="8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Information:</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8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Cash paid for income taxes</w:t>
            </w:r>
          </w:p>
        </w:tc>
        <w:tc>
          <w:tcPr>
            <w:tcW w:w="82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1,480</w:t>
            </w:r>
          </w:p>
        </w:tc>
      </w:tr>
      <w:tr>
        <w:trPr>
          <w:trHeight w:val="26"/>
        </w:trPr>
        <w:tc>
          <w:tcPr>
            <w:tcW w:w="8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See Notes to Unaudited Consolidated Financial Statements.</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 w:name="page9"/>
    <w:bookmarkEnd w:id="8"/>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Summary of Operations and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Operations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Shutterstock (the “Company” or “Shutterstock”) is a global technology company offering a creative platform, which provides high-quality content, tools and services to creative professionals.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content licensed by the Company’s customers includes:</w:t>
      </w:r>
    </w:p>
    <w:p>
      <w:pPr>
        <w:spacing w:after="0" w:line="105" w:lineRule="exact"/>
        <w:rPr>
          <w:sz w:val="20"/>
          <w:szCs w:val="20"/>
          <w:color w:val="auto"/>
        </w:rPr>
      </w:pPr>
    </w:p>
    <w:p>
      <w:pPr>
        <w:ind w:left="760" w:right="34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47" w:lineRule="exact"/>
        <w:rPr>
          <w:rFonts w:ascii="Arial" w:cs="Arial" w:eastAsia="Arial" w:hAnsi="Arial"/>
          <w:sz w:val="14"/>
          <w:szCs w:val="14"/>
          <w:color w:val="auto"/>
        </w:rPr>
      </w:pPr>
    </w:p>
    <w:p>
      <w:pPr>
        <w:ind w:left="760" w:right="46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Music - consisting of high-quality music tracks and sound effects, which are often used to complement images and footage.</w:t>
      </w:r>
    </w:p>
    <w:p>
      <w:pPr>
        <w:spacing w:after="0" w:line="125" w:lineRule="exact"/>
        <w:rPr>
          <w:sz w:val="20"/>
          <w:szCs w:val="20"/>
          <w:color w:val="auto"/>
        </w:rPr>
      </w:pPr>
    </w:p>
    <w:p>
      <w:pPr>
        <w:ind w:right="320" w:firstLine="318"/>
        <w:spacing w:after="0" w:line="411" w:lineRule="auto"/>
        <w:rPr>
          <w:sz w:val="20"/>
          <w:szCs w:val="20"/>
          <w:color w:val="auto"/>
        </w:rPr>
      </w:pPr>
      <w:r>
        <w:rPr>
          <w:rFonts w:ascii="Arial" w:cs="Arial" w:eastAsia="Arial" w:hAnsi="Arial"/>
          <w:sz w:val="14"/>
          <w:szCs w:val="14"/>
          <w:color w:val="auto"/>
        </w:rPr>
        <w:t xml:space="preserve">The Company licenses content to its customers. Contributors upload their content to the Company’s web properties in exchange for royalty payments based on customer download activity. </w:t>
      </w:r>
      <w:r>
        <w:rPr>
          <w:rFonts w:ascii="Arial" w:cs="Arial" w:eastAsia="Arial" w:hAnsi="Arial"/>
          <w:sz w:val="14"/>
          <w:szCs w:val="14"/>
          <w:b w:val="1"/>
          <w:bCs w:val="1"/>
          <w:i w:val="1"/>
          <w:iCs w:val="1"/>
          <w:color w:val="auto"/>
        </w:rPr>
        <w:t>Basis of Presentation</w:t>
      </w:r>
    </w:p>
    <w:p>
      <w:pPr>
        <w:ind w:right="80" w:firstLine="318"/>
        <w:spacing w:after="0" w:line="267" w:lineRule="auto"/>
        <w:rPr>
          <w:sz w:val="20"/>
          <w:szCs w:val="20"/>
          <w:color w:val="auto"/>
        </w:rPr>
      </w:pPr>
      <w:r>
        <w:rPr>
          <w:rFonts w:ascii="Arial" w:cs="Arial" w:eastAsia="Arial" w:hAnsi="Arial"/>
          <w:sz w:val="14"/>
          <w:szCs w:val="14"/>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57"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The interim Consolidated Balance Sheet as of June 30, 2020, and the Consolidated Statements of Operations, Comprehensive Income and Stockholders’ Equity for the three and six months ended June 30, 2020 and 2019, and the Consolidated Statements of Cash Flows for the six months ended June 30, 2020 and 2019, are unaudited. The Consolidated Balance Sheet as of December 31, 2019,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2020, and its consolidated results of operations, comprehensive income, stockholders’ equity for the three and six months ended June 30, 2020 and 2019, and its cash flows for the six months ended June 30, 2020 and 2019. The financial data and the other financial information disclosed in the notes to the financial statements related to these periods are also unaudited. The results of operations for the six months ended June 30, 2020 are not necessarily indicative of the results to be expected for the fiscal year ending December 31, 2020 or for any other future annual or interim period.</w:t>
      </w:r>
    </w:p>
    <w:p>
      <w:pPr>
        <w:spacing w:after="0" w:line="53"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These financial statements should be read in conjunction with the Company’s audited consolidated financial statements and notes thereto as of and for the year ended December 31, 2019 included in the Company’s Annual Report on Form 10-K, which was filed with the SEC on February 13, 2020.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grant-date fair value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 w:name="page10"/>
    <w:bookmarkEnd w:id="9"/>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represents the Company’s cash and cash equivalents and restricted cash balances as of June 30, 2020 and December 31, 2019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As of June 30, 2020</w:t>
            </w:r>
          </w:p>
        </w:tc>
        <w:tc>
          <w:tcPr>
            <w:tcW w:w="140" w:type="dxa"/>
            <w:vAlign w:val="bottom"/>
          </w:tcPr>
          <w:p>
            <w:pPr>
              <w:spacing w:after="0"/>
              <w:rPr>
                <w:sz w:val="13"/>
                <w:szCs w:val="13"/>
                <w:color w:val="auto"/>
              </w:rPr>
            </w:pPr>
          </w:p>
        </w:tc>
        <w:tc>
          <w:tcPr>
            <w:tcW w:w="1460" w:type="dxa"/>
            <w:vAlign w:val="bottom"/>
          </w:tcPr>
          <w:p>
            <w:pPr>
              <w:jc w:val="right"/>
              <w:ind w:right="138"/>
              <w:spacing w:after="0"/>
              <w:rPr>
                <w:sz w:val="20"/>
                <w:szCs w:val="20"/>
                <w:color w:val="auto"/>
              </w:rPr>
            </w:pPr>
            <w:r>
              <w:rPr>
                <w:rFonts w:ascii="Arial" w:cs="Arial" w:eastAsia="Arial" w:hAnsi="Arial"/>
                <w:sz w:val="11"/>
                <w:szCs w:val="11"/>
                <w:b w:val="1"/>
                <w:bCs w:val="1"/>
                <w:color w:val="auto"/>
                <w:w w:val="95"/>
              </w:rPr>
              <w:t>As of December 31, 2019</w:t>
            </w:r>
          </w:p>
        </w:tc>
      </w:tr>
      <w:tr>
        <w:trPr>
          <w:trHeight w:val="176"/>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311,157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303,261</w:t>
            </w: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60" w:type="dxa"/>
            <w:vAlign w:val="bottom"/>
          </w:tcPr>
          <w:p>
            <w:pPr>
              <w:jc w:val="right"/>
              <w:ind w:right="78"/>
              <w:spacing w:after="0"/>
              <w:rPr>
                <w:sz w:val="20"/>
                <w:szCs w:val="20"/>
                <w:color w:val="auto"/>
              </w:rPr>
            </w:pPr>
            <w:r>
              <w:rPr>
                <w:rFonts w:ascii="Arial" w:cs="Arial" w:eastAsia="Arial" w:hAnsi="Arial"/>
                <w:sz w:val="13"/>
                <w:szCs w:val="13"/>
                <w:color w:val="auto"/>
              </w:rPr>
              <w:t>2,613</w:t>
            </w:r>
          </w:p>
        </w:tc>
      </w:tr>
      <w:tr>
        <w:trPr>
          <w:trHeight w:val="26"/>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5"/>
        </w:trPr>
        <w:tc>
          <w:tcPr>
            <w:tcW w:w="8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cash, cash equivalents and restricted cash</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311,157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305,874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cash and cash equivalents consist of cash on hand and bank deposits. These assets are stated at cost, which approximates fair value.</w:t>
      </w:r>
    </w:p>
    <w:p>
      <w:pPr>
        <w:spacing w:after="0" w:line="179"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As of March 31, 2020, the Company was no longer required to provide cash collateral for its letter of credit for its New York City headquarters, and, accordingly, these funds are no longer restricted.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Doubtful Accounts</w:t>
      </w:r>
    </w:p>
    <w:p>
      <w:pPr>
        <w:spacing w:after="0" w:line="94"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3"/>
          <w:szCs w:val="13"/>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Historically, the Company used an incurred loss model to calculate its allowance for doubtful accounts. Upon the adoption of ASU 2016-13, </w:t>
      </w:r>
      <w:r>
        <w:rPr>
          <w:rFonts w:ascii="Arial" w:cs="Arial" w:eastAsia="Arial" w:hAnsi="Arial"/>
          <w:sz w:val="13"/>
          <w:szCs w:val="13"/>
          <w:i w:val="1"/>
          <w:iCs w:val="1"/>
          <w:color w:val="auto"/>
        </w:rPr>
        <w:t>Financial Instruments - Credit Losses (Topic 326):</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Measurement of Credit Losses of Financial Instruments </w:t>
      </w:r>
      <w:r>
        <w:rPr>
          <w:rFonts w:ascii="Arial" w:cs="Arial" w:eastAsia="Arial" w:hAnsi="Arial"/>
          <w:sz w:val="14"/>
          <w:szCs w:val="14"/>
          <w:color w:val="auto"/>
        </w:rPr>
        <w:t>(“ASU 2016-13”) on January 1, 2020, the Company shifted to a current expected credit loss model.</w:t>
      </w:r>
    </w:p>
    <w:p>
      <w:pPr>
        <w:spacing w:after="0" w:line="83"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During the six months ended June 30, 2020, the Company recorded bad debt expense of $1.1 million. As of June 30, 2020 and December 31, 2019, the Company’s allowance for doubtful accounts was approximately $3.6 million. The allowance for doubtful accounts is included as a reduction of accounts receivable on the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Chargeback and Sales Refund Allowance</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Company establishes a chargeback allowance and sales refund reserve allowance based on factors surrounding historical credit card chargeback trends, historical sales refund trends and other information. As of June 30, 2020 and December 31, 2019, the Company’s combined allowance for chargebacks and sales refunds was $0.4 million, which was included as a component of other current liabilities on the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ind w:right="640" w:firstLine="318"/>
        <w:spacing w:after="0" w:line="267" w:lineRule="auto"/>
        <w:rPr>
          <w:sz w:val="20"/>
          <w:szCs w:val="20"/>
          <w:color w:val="auto"/>
        </w:rPr>
      </w:pPr>
      <w:r>
        <w:rPr>
          <w:rFonts w:ascii="Arial" w:cs="Arial" w:eastAsia="Arial" w:hAnsi="Arial"/>
          <w:sz w:val="14"/>
          <w:szCs w:val="14"/>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w:t>
      </w:r>
    </w:p>
    <w:p>
      <w:pPr>
        <w:spacing w:after="0" w:line="57" w:lineRule="exact"/>
        <w:rPr>
          <w:sz w:val="20"/>
          <w:szCs w:val="20"/>
          <w:color w:val="auto"/>
        </w:rPr>
      </w:pPr>
    </w:p>
    <w:p>
      <w:pPr>
        <w:ind w:right="220" w:firstLine="318"/>
        <w:spacing w:after="0" w:line="313" w:lineRule="auto"/>
        <w:rPr>
          <w:sz w:val="20"/>
          <w:szCs w:val="20"/>
          <w:color w:val="auto"/>
        </w:rPr>
      </w:pPr>
      <w:r>
        <w:rPr>
          <w:rFonts w:ascii="Arial" w:cs="Arial" w:eastAsia="Arial" w:hAnsi="Arial"/>
          <w:sz w:val="12"/>
          <w:szCs w:val="12"/>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66"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Collectability is reasonably assured at the time the electronic order or contract is entered. The majority of the Company’s customers purchase products by making an electronic payment with a credit card at the time of a transaction. Customer payments received in advance of revenue recognition are contract liabilities and are recorded as deferred revenue. Customers that do not pay in advance are invoiced and are required to make payments under standard credit terms. Collectability for</w:t>
      </w: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customers who pay on credit terms allowing for payment beyond the date at which service commences is based on a credit evaluation for certain new customers and transaction history with existing customers.</w:t>
      </w:r>
    </w:p>
    <w:p>
      <w:pPr>
        <w:spacing w:after="0" w:line="7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 Updates</w:t>
      </w:r>
    </w:p>
    <w:p>
      <w:pPr>
        <w:spacing w:after="0" w:line="115"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was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93"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Disclosure Framework - Changes to the Disclosure Requirements for Fair Value Measurements</w:t>
      </w:r>
      <w:r>
        <w:rPr>
          <w:rFonts w:ascii="Arial" w:cs="Arial" w:eastAsia="Arial" w:hAnsi="Arial"/>
          <w:sz w:val="14"/>
          <w:szCs w:val="14"/>
          <w:color w:val="auto"/>
        </w:rPr>
        <w:t xml:space="preserve"> (“ASU 2018-13”), which eliminates, adds and modifies certain disclosure requirements for fair value measurements as part of the FASB’s disclosure framework project. Adoption of this guidance was required for fiscal years and interim periods within those fiscal years, beginning after December 15, 2019. The Company adopted ASU 2018-13, effective January 1, 2020. The impact of adoption of this standard on the consolidated financial statements, including accounting policies, processes and systems, was not material.</w:t>
      </w:r>
    </w:p>
    <w:p>
      <w:pPr>
        <w:spacing w:after="0" w:line="93"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 xml:space="preserve">In August 2018, the FASB issued ASU 2018-15, </w:t>
      </w:r>
      <w:r>
        <w:rPr>
          <w:rFonts w:ascii="Arial" w:cs="Arial" w:eastAsia="Arial" w:hAnsi="Arial"/>
          <w:sz w:val="13"/>
          <w:szCs w:val="13"/>
          <w:i w:val="1"/>
          <w:iCs w:val="1"/>
          <w:color w:val="auto"/>
        </w:rPr>
        <w:t>Customer’s Accounting For Implementation Costs Incurred in a Cloud Computing Arrangement That Is a Service Contract</w:t>
      </w:r>
      <w:r>
        <w:rPr>
          <w:rFonts w:ascii="Arial" w:cs="Arial" w:eastAsia="Arial" w:hAnsi="Arial"/>
          <w:sz w:val="13"/>
          <w:szCs w:val="13"/>
          <w:color w:val="auto"/>
        </w:rPr>
        <w:t xml:space="preserve"> (“ASU 2018-15”), which aligns the requirements for capitalizing implementation costs in a cloud computing arrangement with the requirements for capitalizing implementation costs incurred for an internal-use software license. Adoption of this guidance was required for fiscal years beginning after December 15, 2019 and interim periods within those fiscal years and early adoption is permitted. Entities are permitted to choose to adopt the new guidance (1) prospectively for eligible costs incurred on or after the date this guidance is first applied or (2) retrospectively. The Company adopted ASU 2018-15 on a prospective basis, effective January 1, 2020. The adoption of this standard is not expected to have a significant impact on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 Updates</w:t>
      </w:r>
    </w:p>
    <w:p>
      <w:pPr>
        <w:spacing w:after="0" w:line="115"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We are currently in the process of evaluating the effect that ASU 2019-12 will have on the Company's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Fair Value Measurements and Other Long-term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had no assets or liabilities requiring fair value hierarchy disclosures as of June 30, 2020 or December 31, 2019.</w:t>
      </w: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Fair Value Measurements</w:t>
      </w:r>
    </w:p>
    <w:p>
      <w:pPr>
        <w:spacing w:after="0" w:line="51"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carrying amounts of cash, accounts receivable, restricted cash,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Long-term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 ZCool Technologies Limited (“ZCool”)</w:t>
      </w:r>
    </w:p>
    <w:p>
      <w:pPr>
        <w:spacing w:after="0" w:line="51"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On January 4,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and its affiliates have been the exclusive distributor of Shutterstock creative content in China since 2014.</w:t>
      </w:r>
    </w:p>
    <w:p>
      <w:pPr>
        <w:spacing w:after="0" w:line="5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 The Preferred Shares are reported at cost, adjusted for impairments or any observable price changes in orderly transactions for identical or similar investments issued by ZCool.</w:t>
      </w:r>
    </w:p>
    <w:p>
      <w:pPr>
        <w:spacing w:after="0" w:line="57" w:lineRule="exact"/>
        <w:rPr>
          <w:sz w:val="20"/>
          <w:szCs w:val="20"/>
          <w:color w:val="auto"/>
        </w:rPr>
      </w:pPr>
    </w:p>
    <w:p>
      <w:pPr>
        <w:ind w:right="500" w:firstLine="318"/>
        <w:spacing w:after="0" w:line="297" w:lineRule="auto"/>
        <w:rPr>
          <w:sz w:val="20"/>
          <w:szCs w:val="20"/>
          <w:color w:val="auto"/>
        </w:rPr>
      </w:pPr>
      <w:r>
        <w:rPr>
          <w:rFonts w:ascii="Arial" w:cs="Arial" w:eastAsia="Arial" w:hAnsi="Arial"/>
          <w:sz w:val="13"/>
          <w:szCs w:val="13"/>
          <w:color w:val="auto"/>
        </w:rPr>
        <w:t>On a quarterly basis, the Company evaluates the carrying value of the Preferred Shares for impairment, which includes an assessment of ZCool’s revenue growth, earnings performance, working capital and the general regional market conditions. As of June 30, 2020, no adjustments to the carrying value were identified as a result of this assessment. Changes in performance negatively impacting ZCool’s operating results and cash flows could result in the Company recording an impairment charge on the Preferred Shares in future periods.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of June 30, 2020 and December 31, 2019, the Company’s total investment in ZCool is $15.0 million, which is reported within other assets on the Consolidated Balance Sheets.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Property and Equipment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Property and equipment is summarized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As of June 30, 2020</w:t>
            </w:r>
          </w:p>
        </w:tc>
        <w:tc>
          <w:tcPr>
            <w:tcW w:w="140" w:type="dxa"/>
            <w:vAlign w:val="bottom"/>
          </w:tcPr>
          <w:p>
            <w:pPr>
              <w:spacing w:after="0"/>
              <w:rPr>
                <w:sz w:val="13"/>
                <w:szCs w:val="13"/>
                <w:color w:val="auto"/>
              </w:rPr>
            </w:pPr>
          </w:p>
        </w:tc>
        <w:tc>
          <w:tcPr>
            <w:tcW w:w="1460" w:type="dxa"/>
            <w:vAlign w:val="bottom"/>
          </w:tcPr>
          <w:p>
            <w:pPr>
              <w:jc w:val="right"/>
              <w:ind w:right="137"/>
              <w:spacing w:after="0"/>
              <w:rPr>
                <w:sz w:val="20"/>
                <w:szCs w:val="20"/>
                <w:color w:val="auto"/>
              </w:rPr>
            </w:pPr>
            <w:r>
              <w:rPr>
                <w:rFonts w:ascii="Arial" w:cs="Arial" w:eastAsia="Arial" w:hAnsi="Arial"/>
                <w:sz w:val="11"/>
                <w:szCs w:val="11"/>
                <w:b w:val="1"/>
                <w:bCs w:val="1"/>
                <w:color w:val="auto"/>
                <w:w w:val="95"/>
              </w:rPr>
              <w:t>As of December 31, 2019</w:t>
            </w:r>
          </w:p>
        </w:tc>
      </w:tr>
      <w:tr>
        <w:trPr>
          <w:trHeight w:val="176"/>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Computer equipment and software</w:t>
            </w:r>
          </w:p>
        </w:tc>
        <w:tc>
          <w:tcPr>
            <w:tcW w:w="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179,580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165,950</w:t>
            </w: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200" w:type="dxa"/>
            <w:vAlign w:val="bottom"/>
          </w:tcPr>
          <w:p>
            <w:pPr>
              <w:spacing w:after="0"/>
              <w:rPr>
                <w:sz w:val="15"/>
                <w:szCs w:val="15"/>
                <w:color w:val="auto"/>
              </w:rPr>
            </w:pPr>
          </w:p>
        </w:tc>
        <w:tc>
          <w:tcPr>
            <w:tcW w:w="1380" w:type="dxa"/>
            <w:vAlign w:val="bottom"/>
          </w:tcPr>
          <w:p>
            <w:pPr>
              <w:jc w:val="right"/>
              <w:ind w:right="77"/>
              <w:spacing w:after="0"/>
              <w:rPr>
                <w:sz w:val="20"/>
                <w:szCs w:val="20"/>
                <w:color w:val="auto"/>
              </w:rPr>
            </w:pPr>
            <w:r>
              <w:rPr>
                <w:rFonts w:ascii="Arial" w:cs="Arial" w:eastAsia="Arial" w:hAnsi="Arial"/>
                <w:sz w:val="13"/>
                <w:szCs w:val="13"/>
                <w:color w:val="auto"/>
              </w:rPr>
              <w:t>10,211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77"/>
              <w:spacing w:after="0"/>
              <w:rPr>
                <w:sz w:val="20"/>
                <w:szCs w:val="20"/>
                <w:color w:val="auto"/>
              </w:rPr>
            </w:pPr>
            <w:r>
              <w:rPr>
                <w:rFonts w:ascii="Arial" w:cs="Arial" w:eastAsia="Arial" w:hAnsi="Arial"/>
                <w:sz w:val="13"/>
                <w:szCs w:val="13"/>
                <w:color w:val="auto"/>
              </w:rPr>
              <w:t>10,199</w:t>
            </w:r>
          </w:p>
        </w:tc>
      </w:tr>
      <w:tr>
        <w:trPr>
          <w:trHeight w:val="26"/>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19,260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19,203</w:t>
            </w:r>
          </w:p>
        </w:tc>
      </w:tr>
      <w:tr>
        <w:trPr>
          <w:trHeight w:val="167"/>
        </w:trPr>
        <w:tc>
          <w:tcPr>
            <w:tcW w:w="8000" w:type="dxa"/>
            <w:vAlign w:val="bottom"/>
          </w:tcPr>
          <w:p>
            <w:pPr>
              <w:ind w:left="100"/>
              <w:spacing w:after="0"/>
              <w:rPr>
                <w:sz w:val="20"/>
                <w:szCs w:val="20"/>
                <w:color w:val="auto"/>
              </w:rPr>
            </w:pPr>
            <w:r>
              <w:rPr>
                <w:rFonts w:ascii="Arial" w:cs="Arial" w:eastAsia="Arial" w:hAnsi="Arial"/>
                <w:sz w:val="13"/>
                <w:szCs w:val="13"/>
                <w:color w:val="auto"/>
              </w:rPr>
              <w:t>Property and equipment</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209,051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195,352</w:t>
            </w:r>
          </w:p>
        </w:tc>
      </w:tr>
      <w:tr>
        <w:trPr>
          <w:trHeight w:val="26"/>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(154,811)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(136,518)</w:t>
            </w:r>
          </w:p>
        </w:tc>
      </w:tr>
      <w:tr>
        <w:trPr>
          <w:trHeight w:val="167"/>
        </w:trPr>
        <w:tc>
          <w:tcPr>
            <w:tcW w:w="8000" w:type="dxa"/>
            <w:vAlign w:val="bottom"/>
          </w:tcPr>
          <w:p>
            <w:pPr>
              <w:ind w:left="100"/>
              <w:spacing w:after="0"/>
              <w:rPr>
                <w:sz w:val="20"/>
                <w:szCs w:val="20"/>
                <w:color w:val="auto"/>
              </w:rPr>
            </w:pPr>
            <w:r>
              <w:rPr>
                <w:rFonts w:ascii="Arial" w:cs="Arial" w:eastAsia="Arial" w:hAnsi="Arial"/>
                <w:sz w:val="13"/>
                <w:szCs w:val="13"/>
                <w:color w:val="auto"/>
              </w:rPr>
              <w:t>Property and equipment, net</w:t>
            </w:r>
          </w:p>
        </w:tc>
        <w:tc>
          <w:tcPr>
            <w:tcW w:w="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54,240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58,834</w:t>
            </w:r>
          </w:p>
        </w:tc>
      </w:tr>
      <w:tr>
        <w:trPr>
          <w:trHeight w:val="26"/>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Depreciation expense related to property and equipment was $9.6 million and $10.5 million for the three months ended June 30, 2020 and 2019, respectively, and $18.9 million and</w:t>
      </w:r>
    </w:p>
    <w:p>
      <w:pPr>
        <w:spacing w:after="0" w:line="31" w:lineRule="exact"/>
        <w:rPr>
          <w:sz w:val="20"/>
          <w:szCs w:val="20"/>
          <w:color w:val="auto"/>
        </w:rPr>
      </w:pPr>
    </w:p>
    <w:p>
      <w:pPr>
        <w:ind w:right="40"/>
        <w:spacing w:after="0" w:line="322" w:lineRule="auto"/>
        <w:rPr>
          <w:sz w:val="20"/>
          <w:szCs w:val="20"/>
          <w:color w:val="auto"/>
        </w:rPr>
      </w:pPr>
      <w:r>
        <w:rPr>
          <w:rFonts w:ascii="Arial" w:cs="Arial" w:eastAsia="Arial" w:hAnsi="Arial"/>
          <w:sz w:val="12"/>
          <w:szCs w:val="12"/>
          <w:color w:val="auto"/>
        </w:rPr>
        <w:t>$21.1 million for the six months ended June 30, 2020 and 2019, respectively. Cost of revenues includes depreciation expense of $8.6 million and $9.3 million for the three months ended June 30, 2020 and 2019, respectively, and $16.8 million and $18.6 million for the six months ended June 30, 2020 and 2019, respectively. General and administrative expense includes depreciation expense of $1.0 million and $1.2 million for the three months ended June 30, 2020 and 2019, respectively, and $2.1 million and $2.5 million for the six months ended June 30, 2020 and 2019,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Capitalized Internal-Use Software</w:t>
      </w:r>
    </w:p>
    <w:p>
      <w:pPr>
        <w:spacing w:after="0" w:line="51" w:lineRule="exact"/>
        <w:rPr>
          <w:sz w:val="20"/>
          <w:szCs w:val="20"/>
          <w:color w:val="auto"/>
        </w:rPr>
      </w:pPr>
    </w:p>
    <w:p>
      <w:pPr>
        <w:ind w:right="460" w:firstLine="318"/>
        <w:spacing w:after="0" w:line="267" w:lineRule="auto"/>
        <w:rPr>
          <w:sz w:val="20"/>
          <w:szCs w:val="20"/>
          <w:color w:val="auto"/>
        </w:rPr>
      </w:pPr>
      <w:r>
        <w:rPr>
          <w:rFonts w:ascii="Arial" w:cs="Arial" w:eastAsia="Arial" w:hAnsi="Arial"/>
          <w:sz w:val="14"/>
          <w:szCs w:val="14"/>
          <w:color w:val="auto"/>
        </w:rPr>
        <w:t>The Company capitalized costs related to the development of internal-use software of $6.5 million and $5.8 million for the three months ended June 30, 2020 and 2019, respectively, and $13.1 million and $12.3 million for the six months ended June 30, 2020 and 2019, respectively. Capitalized amounts are included as a component of property and equipment under computer equipment and software on the Consolidated Balance Sheets.</w:t>
      </w: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The portion of total depreciation expense related to capitalized internal-use software was $7.8 million and $7.5 million for the three months ended June 30, 2020 and 2019, respectively, and $14.9 million and $14.8 million for the six months ended June 30, 2020 and 2019, respectively. Depreciation expense related to capitalized internal-use software is included in cost of revenue in the Consolidated Statements of Operations.</w:t>
      </w:r>
    </w:p>
    <w:p>
      <w:pPr>
        <w:spacing w:after="0" w:line="57"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As of June 30, 2020 and December 31, 2019, the Company had capitalized internal-use software of $39.9 million and $41.8 million, respectively, net of accumulated depreciation, which was included in property and equipment, net.</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Goodwill and Intangible Assets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Company’s goodwill balance is attributable to its Content reporting unit and is tested for impairment annually on October 1 or upon a triggering event. No triggering events were identified during the six months ended June 30, 2020.</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changes in the Company’s goodwill balance during the six months ended June 30,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5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Goodwill</w:t>
            </w:r>
          </w:p>
        </w:tc>
      </w:tr>
      <w:tr>
        <w:trPr>
          <w:trHeight w:val="176"/>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88,974</w:t>
            </w:r>
          </w:p>
        </w:tc>
      </w:tr>
      <w:tr>
        <w:trPr>
          <w:trHeight w:val="176"/>
        </w:trPr>
        <w:tc>
          <w:tcPr>
            <w:tcW w:w="9540" w:type="dxa"/>
            <w:vAlign w:val="bottom"/>
          </w:tcPr>
          <w:p>
            <w:pPr>
              <w:ind w:left="100"/>
              <w:spacing w:after="0"/>
              <w:rPr>
                <w:sz w:val="20"/>
                <w:szCs w:val="20"/>
                <w:color w:val="auto"/>
              </w:rPr>
            </w:pPr>
            <w:r>
              <w:rPr>
                <w:rFonts w:ascii="Arial" w:cs="Arial" w:eastAsia="Arial" w:hAnsi="Arial"/>
                <w:sz w:val="13"/>
                <w:szCs w:val="13"/>
                <w:color w:val="auto"/>
              </w:rPr>
              <w:t>Foreign currency translation adjustment</w:t>
            </w:r>
          </w:p>
        </w:tc>
        <w:tc>
          <w:tcPr>
            <w:tcW w:w="360" w:type="dxa"/>
            <w:vAlign w:val="bottom"/>
          </w:tcPr>
          <w:p>
            <w:pPr>
              <w:spacing w:after="0"/>
              <w:rPr>
                <w:sz w:val="15"/>
                <w:szCs w:val="15"/>
                <w:color w:val="auto"/>
              </w:rPr>
            </w:pPr>
          </w:p>
        </w:tc>
        <w:tc>
          <w:tcPr>
            <w:tcW w:w="1380" w:type="dxa"/>
            <w:vAlign w:val="bottom"/>
          </w:tcPr>
          <w:p>
            <w:pPr>
              <w:jc w:val="right"/>
              <w:ind w:right="38"/>
              <w:spacing w:after="0"/>
              <w:rPr>
                <w:sz w:val="20"/>
                <w:szCs w:val="20"/>
                <w:color w:val="auto"/>
              </w:rPr>
            </w:pPr>
            <w:r>
              <w:rPr>
                <w:rFonts w:ascii="Arial" w:cs="Arial" w:eastAsia="Arial" w:hAnsi="Arial"/>
                <w:sz w:val="13"/>
                <w:szCs w:val="13"/>
                <w:color w:val="auto"/>
              </w:rPr>
              <w:t>(807)</w:t>
            </w:r>
          </w:p>
        </w:tc>
      </w:tr>
      <w:tr>
        <w:trPr>
          <w:trHeight w:val="26"/>
        </w:trPr>
        <w:tc>
          <w:tcPr>
            <w:tcW w:w="9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5"/>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June 30, 2020</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88,167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Intangible assets consisted of the following as of June 30, 2020 and December 31, 2019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tcPr>
          <w:p>
            <w:pPr>
              <w:jc w:val="right"/>
              <w:ind w:right="818"/>
              <w:spacing w:after="0"/>
              <w:rPr>
                <w:sz w:val="20"/>
                <w:szCs w:val="20"/>
                <w:color w:val="auto"/>
              </w:rPr>
            </w:pPr>
            <w:r>
              <w:rPr>
                <w:rFonts w:ascii="Arial" w:cs="Arial" w:eastAsia="Arial" w:hAnsi="Arial"/>
                <w:sz w:val="11"/>
                <w:szCs w:val="11"/>
                <w:b w:val="1"/>
                <w:bCs w:val="1"/>
                <w:color w:val="auto"/>
              </w:rPr>
              <w:t>As of June 30, 2020</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1"/>
                <w:szCs w:val="11"/>
                <w:b w:val="1"/>
                <w:bCs w:val="1"/>
                <w:color w:val="auto"/>
              </w:rPr>
              <w:t>As of December 31, 2019</w:t>
            </w:r>
          </w:p>
        </w:tc>
        <w:tc>
          <w:tcPr>
            <w:tcW w:w="0" w:type="dxa"/>
            <w:vAlign w:val="bottom"/>
          </w:tcPr>
          <w:p>
            <w:pPr>
              <w:spacing w:after="0"/>
              <w:rPr>
                <w:sz w:val="1"/>
                <w:szCs w:val="1"/>
                <w:color w:val="auto"/>
              </w:rPr>
            </w:pPr>
          </w:p>
        </w:tc>
      </w:tr>
      <w:tr>
        <w:trPr>
          <w:trHeight w:val="120"/>
        </w:trPr>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340"/>
              <w:spacing w:after="0" w:line="120" w:lineRule="exact"/>
              <w:rPr>
                <w:sz w:val="20"/>
                <w:szCs w:val="20"/>
                <w:color w:val="auto"/>
              </w:rPr>
            </w:pPr>
            <w:r>
              <w:rPr>
                <w:rFonts w:ascii="Arial" w:cs="Arial" w:eastAsia="Arial" w:hAnsi="Arial"/>
                <w:sz w:val="11"/>
                <w:szCs w:val="11"/>
                <w:b w:val="1"/>
                <w:bCs w:val="1"/>
                <w:color w:val="auto"/>
                <w:w w:val="87"/>
              </w:rPr>
              <w:t>Gross</w:t>
            </w:r>
          </w:p>
        </w:tc>
        <w:tc>
          <w:tcPr>
            <w:tcW w:w="200" w:type="dxa"/>
            <w:vAlign w:val="bottom"/>
          </w:tcPr>
          <w:p>
            <w:pPr>
              <w:spacing w:after="0"/>
              <w:rPr>
                <w:sz w:val="10"/>
                <w:szCs w:val="10"/>
                <w:color w:val="auto"/>
              </w:rPr>
            </w:pPr>
          </w:p>
        </w:tc>
        <w:tc>
          <w:tcPr>
            <w:tcW w:w="110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92"/>
              </w:rPr>
              <w:t>Weighted</w:t>
            </w:r>
          </w:p>
        </w:tc>
        <w:tc>
          <w:tcPr>
            <w:tcW w:w="260" w:type="dxa"/>
            <w:vAlign w:val="bottom"/>
          </w:tcPr>
          <w:p>
            <w:pPr>
              <w:spacing w:after="0"/>
              <w:rPr>
                <w:sz w:val="10"/>
                <w:szCs w:val="10"/>
                <w:color w:val="auto"/>
              </w:rPr>
            </w:pPr>
          </w:p>
        </w:tc>
        <w:tc>
          <w:tcPr>
            <w:tcW w:w="1140" w:type="dxa"/>
            <w:vAlign w:val="bottom"/>
            <w:gridSpan w:val="2"/>
          </w:tcPr>
          <w:p>
            <w:pPr>
              <w:jc w:val="center"/>
              <w:ind w:right="340"/>
              <w:spacing w:after="0" w:line="120" w:lineRule="exact"/>
              <w:rPr>
                <w:sz w:val="20"/>
                <w:szCs w:val="20"/>
                <w:color w:val="auto"/>
              </w:rPr>
            </w:pPr>
            <w:r>
              <w:rPr>
                <w:rFonts w:ascii="Arial" w:cs="Arial" w:eastAsia="Arial" w:hAnsi="Arial"/>
                <w:sz w:val="11"/>
                <w:szCs w:val="11"/>
                <w:b w:val="1"/>
                <w:bCs w:val="1"/>
                <w:color w:val="auto"/>
                <w:w w:val="87"/>
              </w:rPr>
              <w:t>Gross</w:t>
            </w:r>
          </w:p>
        </w:tc>
        <w:tc>
          <w:tcPr>
            <w:tcW w:w="220" w:type="dxa"/>
            <w:vAlign w:val="bottom"/>
          </w:tcPr>
          <w:p>
            <w:pPr>
              <w:spacing w:after="0"/>
              <w:rPr>
                <w:sz w:val="10"/>
                <w:szCs w:val="10"/>
                <w:color w:val="auto"/>
              </w:rPr>
            </w:pPr>
          </w:p>
        </w:tc>
        <w:tc>
          <w:tcPr>
            <w:tcW w:w="112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Accumulated</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7"/>
              </w:rPr>
              <w:t>Carrying</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3"/>
              </w:rPr>
              <w:t>Average Life</w:t>
            </w:r>
          </w:p>
        </w:tc>
        <w:tc>
          <w:tcPr>
            <w:tcW w:w="260" w:type="dxa"/>
            <w:vAlign w:val="bottom"/>
          </w:tcPr>
          <w:p>
            <w:pPr>
              <w:spacing w:after="0"/>
              <w:rPr>
                <w:sz w:val="10"/>
                <w:szCs w:val="10"/>
                <w:color w:val="auto"/>
              </w:rPr>
            </w:pPr>
          </w:p>
        </w:tc>
        <w:tc>
          <w:tcPr>
            <w:tcW w:w="114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7"/>
              </w:rPr>
              <w:t>Carrying</w:t>
            </w:r>
          </w:p>
        </w:tc>
        <w:tc>
          <w:tcPr>
            <w:tcW w:w="2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3"/>
                <w:szCs w:val="13"/>
                <w:color w:val="auto"/>
              </w:rPr>
            </w:pPr>
          </w:p>
        </w:tc>
        <w:tc>
          <w:tcPr>
            <w:tcW w:w="1100" w:type="dxa"/>
            <w:vAlign w:val="bottom"/>
          </w:tcPr>
          <w:p>
            <w:pPr>
              <w:jc w:val="right"/>
              <w:ind w:right="258"/>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(Years)</w:t>
            </w:r>
          </w:p>
        </w:tc>
        <w:tc>
          <w:tcPr>
            <w:tcW w:w="2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3"/>
                <w:szCs w:val="13"/>
                <w:color w:val="auto"/>
              </w:rPr>
            </w:pPr>
          </w:p>
        </w:tc>
        <w:tc>
          <w:tcPr>
            <w:tcW w:w="1120" w:type="dxa"/>
            <w:vAlign w:val="bottom"/>
          </w:tcPr>
          <w:p>
            <w:pPr>
              <w:jc w:val="right"/>
              <w:ind w:right="278"/>
              <w:spacing w:after="0"/>
              <w:rPr>
                <w:sz w:val="20"/>
                <w:szCs w:val="20"/>
                <w:color w:val="auto"/>
              </w:rPr>
            </w:pPr>
            <w:r>
              <w:rPr>
                <w:rFonts w:ascii="Arial" w:cs="Arial" w:eastAsia="Arial" w:hAnsi="Arial"/>
                <w:sz w:val="11"/>
                <w:szCs w:val="11"/>
                <w:b w:val="1"/>
                <w:bCs w:val="1"/>
                <w:color w:val="auto"/>
              </w:rPr>
              <w:t>Amortization</w:t>
            </w:r>
          </w:p>
        </w:tc>
        <w:tc>
          <w:tcPr>
            <w:tcW w:w="0" w:type="dxa"/>
            <w:vAlign w:val="bottom"/>
          </w:tcPr>
          <w:p>
            <w:pPr>
              <w:spacing w:after="0"/>
              <w:rPr>
                <w:sz w:val="1"/>
                <w:szCs w:val="1"/>
                <w:color w:val="auto"/>
              </w:rPr>
            </w:pPr>
          </w:p>
        </w:tc>
      </w:tr>
      <w:tr>
        <w:trPr>
          <w:trHeight w:val="16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Amortizing intangible assets:</w:t>
            </w: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100"/>
              <w:spacing w:after="0"/>
              <w:rPr>
                <w:sz w:val="20"/>
                <w:szCs w:val="20"/>
                <w:color w:val="auto"/>
              </w:rPr>
            </w:pPr>
            <w:r>
              <w:rPr>
                <w:rFonts w:ascii="Arial" w:cs="Arial" w:eastAsia="Arial" w:hAnsi="Arial"/>
                <w:sz w:val="13"/>
                <w:szCs w:val="13"/>
                <w:color w:val="auto"/>
              </w:rPr>
              <w:t>Customer relationships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16,982</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(9,648)</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17,729</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8"/>
              <w:spacing w:after="0"/>
              <w:rPr>
                <w:sz w:val="20"/>
                <w:szCs w:val="20"/>
                <w:color w:val="auto"/>
              </w:rPr>
            </w:pPr>
            <w:r>
              <w:rPr>
                <w:rFonts w:ascii="Arial" w:cs="Arial" w:eastAsia="Arial" w:hAnsi="Arial"/>
                <w:sz w:val="13"/>
                <w:szCs w:val="13"/>
                <w:color w:val="auto"/>
              </w:rPr>
              <w:t>(9,294)</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Trade name</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6,237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(5,778)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6,517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(5,941)</w:t>
            </w:r>
          </w:p>
        </w:tc>
        <w:tc>
          <w:tcPr>
            <w:tcW w:w="0" w:type="dxa"/>
            <w:vAlign w:val="bottom"/>
          </w:tcPr>
          <w:p>
            <w:pPr>
              <w:spacing w:after="0"/>
              <w:rPr>
                <w:sz w:val="1"/>
                <w:szCs w:val="1"/>
                <w:color w:val="auto"/>
              </w:rPr>
            </w:pPr>
          </w:p>
        </w:tc>
      </w:tr>
      <w:tr>
        <w:trPr>
          <w:trHeight w:val="176"/>
        </w:trPr>
        <w:tc>
          <w:tcPr>
            <w:tcW w:w="4300" w:type="dxa"/>
            <w:vAlign w:val="bottom"/>
          </w:tcPr>
          <w:p>
            <w:pPr>
              <w:ind w:left="100"/>
              <w:spacing w:after="0"/>
              <w:rPr>
                <w:sz w:val="20"/>
                <w:szCs w:val="20"/>
                <w:color w:val="auto"/>
              </w:rPr>
            </w:pPr>
            <w:r>
              <w:rPr>
                <w:rFonts w:ascii="Arial" w:cs="Arial" w:eastAsia="Arial" w:hAnsi="Arial"/>
                <w:sz w:val="13"/>
                <w:szCs w:val="13"/>
                <w:color w:val="auto"/>
              </w:rPr>
              <w:t>Developed technology</w:t>
            </w:r>
          </w:p>
        </w:tc>
        <w:tc>
          <w:tcPr>
            <w:tcW w:w="260" w:type="dxa"/>
            <w:vAlign w:val="bottom"/>
          </w:tcPr>
          <w:p>
            <w:pPr>
              <w:spacing w:after="0"/>
              <w:rPr>
                <w:sz w:val="15"/>
                <w:szCs w:val="15"/>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4,677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(4,368)</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4,841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3"/>
                <w:szCs w:val="13"/>
                <w:color w:val="auto"/>
              </w:rPr>
              <w:t>(4,226)</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Contributor content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24,812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(7,883)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23,510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(6,626)</w:t>
            </w:r>
          </w:p>
        </w:tc>
        <w:tc>
          <w:tcPr>
            <w:tcW w:w="0" w:type="dxa"/>
            <w:vAlign w:val="bottom"/>
          </w:tcPr>
          <w:p>
            <w:pPr>
              <w:spacing w:after="0"/>
              <w:rPr>
                <w:sz w:val="1"/>
                <w:szCs w:val="1"/>
                <w:color w:val="auto"/>
              </w:rPr>
            </w:pPr>
          </w:p>
        </w:tc>
      </w:tr>
      <w:tr>
        <w:trPr>
          <w:trHeight w:val="176"/>
        </w:trPr>
        <w:tc>
          <w:tcPr>
            <w:tcW w:w="4300" w:type="dxa"/>
            <w:vAlign w:val="bottom"/>
          </w:tcPr>
          <w:p>
            <w:pPr>
              <w:ind w:left="100"/>
              <w:spacing w:after="0"/>
              <w:rPr>
                <w:sz w:val="20"/>
                <w:szCs w:val="20"/>
                <w:color w:val="auto"/>
              </w:rPr>
            </w:pPr>
            <w:r>
              <w:rPr>
                <w:rFonts w:ascii="Arial" w:cs="Arial" w:eastAsia="Arial" w:hAnsi="Arial"/>
                <w:sz w:val="13"/>
                <w:szCs w:val="13"/>
                <w:color w:val="auto"/>
              </w:rPr>
              <w:t>Patents</w:t>
            </w:r>
          </w:p>
        </w:tc>
        <w:tc>
          <w:tcPr>
            <w:tcW w:w="260" w:type="dxa"/>
            <w:vAlign w:val="bottom"/>
          </w:tcPr>
          <w:p>
            <w:pPr>
              <w:spacing w:after="0"/>
              <w:rPr>
                <w:sz w:val="15"/>
                <w:szCs w:val="15"/>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(108)</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6"/>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52,967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(27,785)</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52,856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(26,187)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both"/>
        <w:ind w:right="160" w:firstLine="318"/>
        <w:spacing w:after="0" w:line="288" w:lineRule="auto"/>
        <w:rPr>
          <w:sz w:val="20"/>
          <w:szCs w:val="20"/>
          <w:color w:val="auto"/>
        </w:rPr>
      </w:pPr>
      <w:r>
        <w:rPr>
          <w:rFonts w:ascii="Arial" w:cs="Arial" w:eastAsia="Arial" w:hAnsi="Arial"/>
          <w:sz w:val="13"/>
          <w:szCs w:val="13"/>
          <w:color w:val="auto"/>
        </w:rPr>
        <w:t>Amortization expense was $1.2 million and $2.9 million for the three months ended June 30, 2020 and 2019, respectively, and $2.5 million and $4.2 million for the six months ended June 30, 2020 and 2019, respectively. Cost of revenue includes amortization expense of $0.7 million and $0.5 million for the three months ended June 30, 2020 and 2019, respectively, and $1.3 million and $0.9 million for the six months ended June 30, 2020 and 2019, respectively. General and administrative expense includes amortization expense of $0.5 million and $2.4 million for the three months ended June 30, 2020 and 2019, respectively, and $1.2 million and $3.3 million for the six months ended June 30, 2020 and 2019, respectively.</w:t>
      </w:r>
    </w:p>
    <w:p>
      <w:pPr>
        <w:spacing w:after="0" w:line="46"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The Company determined that there was no indication of impairment of the intangible assets for any period presented. Estimated amortization expense is: $2.9 million for the remaining six months of 2020, $5.1 million in 2021, $4.8 million in 2022, $4.1 million in 2023, $3.2 million in 2024, $1.9 million in 2025 and $3.2 million thereafter.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Accrued Expenses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Accrued expenses consisted of the following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As of June 30, 2020</w:t>
            </w:r>
          </w:p>
        </w:tc>
        <w:tc>
          <w:tcPr>
            <w:tcW w:w="140" w:type="dxa"/>
            <w:vAlign w:val="bottom"/>
          </w:tcPr>
          <w:p>
            <w:pPr>
              <w:spacing w:after="0"/>
              <w:rPr>
                <w:sz w:val="13"/>
                <w:szCs w:val="13"/>
                <w:color w:val="auto"/>
              </w:rPr>
            </w:pPr>
          </w:p>
        </w:tc>
        <w:tc>
          <w:tcPr>
            <w:tcW w:w="1460" w:type="dxa"/>
            <w:vAlign w:val="bottom"/>
          </w:tcPr>
          <w:p>
            <w:pPr>
              <w:jc w:val="right"/>
              <w:ind w:right="138"/>
              <w:spacing w:after="0"/>
              <w:rPr>
                <w:sz w:val="20"/>
                <w:szCs w:val="20"/>
                <w:color w:val="auto"/>
              </w:rPr>
            </w:pPr>
            <w:r>
              <w:rPr>
                <w:rFonts w:ascii="Arial" w:cs="Arial" w:eastAsia="Arial" w:hAnsi="Arial"/>
                <w:sz w:val="11"/>
                <w:szCs w:val="11"/>
                <w:b w:val="1"/>
                <w:bCs w:val="1"/>
                <w:color w:val="auto"/>
                <w:w w:val="95"/>
              </w:rPr>
              <w:t>As of December 31, 2019</w:t>
            </w:r>
          </w:p>
        </w:tc>
      </w:tr>
      <w:tr>
        <w:trPr>
          <w:trHeight w:val="176"/>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18,902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20,776</w:t>
            </w: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Non-income taxes</w:t>
            </w:r>
          </w:p>
        </w:tc>
        <w:tc>
          <w:tcPr>
            <w:tcW w:w="200" w:type="dxa"/>
            <w:vAlign w:val="bottom"/>
          </w:tcPr>
          <w:p>
            <w:pPr>
              <w:spacing w:after="0"/>
              <w:rPr>
                <w:sz w:val="15"/>
                <w:szCs w:val="15"/>
                <w:color w:val="auto"/>
              </w:rPr>
            </w:pPr>
          </w:p>
        </w:tc>
        <w:tc>
          <w:tcPr>
            <w:tcW w:w="1380" w:type="dxa"/>
            <w:vAlign w:val="bottom"/>
          </w:tcPr>
          <w:p>
            <w:pPr>
              <w:jc w:val="right"/>
              <w:ind w:right="78"/>
              <w:spacing w:after="0"/>
              <w:rPr>
                <w:sz w:val="20"/>
                <w:szCs w:val="20"/>
                <w:color w:val="auto"/>
              </w:rPr>
            </w:pPr>
            <w:r>
              <w:rPr>
                <w:rFonts w:ascii="Arial" w:cs="Arial" w:eastAsia="Arial" w:hAnsi="Arial"/>
                <w:sz w:val="13"/>
                <w:szCs w:val="13"/>
                <w:color w:val="auto"/>
              </w:rPr>
              <w:t>16,316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78"/>
              <w:spacing w:after="0"/>
              <w:rPr>
                <w:sz w:val="20"/>
                <w:szCs w:val="20"/>
                <w:color w:val="auto"/>
              </w:rPr>
            </w:pPr>
            <w:r>
              <w:rPr>
                <w:rFonts w:ascii="Arial" w:cs="Arial" w:eastAsia="Arial" w:hAnsi="Arial"/>
                <w:sz w:val="13"/>
                <w:szCs w:val="13"/>
                <w:color w:val="auto"/>
              </w:rPr>
              <w:t>15,332</w:t>
            </w:r>
          </w:p>
        </w:tc>
      </w:tr>
      <w:tr>
        <w:trPr>
          <w:trHeight w:val="26"/>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Website hosting and marketing fees</w:t>
            </w: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8,343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8,657</w:t>
            </w: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Other expenses</w:t>
            </w:r>
          </w:p>
        </w:tc>
        <w:tc>
          <w:tcPr>
            <w:tcW w:w="200" w:type="dxa"/>
            <w:vAlign w:val="bottom"/>
          </w:tcPr>
          <w:p>
            <w:pPr>
              <w:spacing w:after="0"/>
              <w:rPr>
                <w:sz w:val="15"/>
                <w:szCs w:val="15"/>
                <w:color w:val="auto"/>
              </w:rPr>
            </w:pPr>
          </w:p>
        </w:tc>
        <w:tc>
          <w:tcPr>
            <w:tcW w:w="1380" w:type="dxa"/>
            <w:vAlign w:val="bottom"/>
          </w:tcPr>
          <w:p>
            <w:pPr>
              <w:jc w:val="right"/>
              <w:ind w:right="78"/>
              <w:spacing w:after="0"/>
              <w:rPr>
                <w:sz w:val="20"/>
                <w:szCs w:val="20"/>
                <w:color w:val="auto"/>
              </w:rPr>
            </w:pPr>
            <w:r>
              <w:rPr>
                <w:rFonts w:ascii="Arial" w:cs="Arial" w:eastAsia="Arial" w:hAnsi="Arial"/>
                <w:sz w:val="13"/>
                <w:szCs w:val="13"/>
                <w:color w:val="auto"/>
              </w:rPr>
              <w:t>7,993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78"/>
              <w:spacing w:after="0"/>
              <w:rPr>
                <w:sz w:val="20"/>
                <w:szCs w:val="20"/>
                <w:color w:val="auto"/>
              </w:rPr>
            </w:pPr>
            <w:r>
              <w:rPr>
                <w:rFonts w:ascii="Arial" w:cs="Arial" w:eastAsia="Arial" w:hAnsi="Arial"/>
                <w:sz w:val="13"/>
                <w:szCs w:val="13"/>
                <w:color w:val="auto"/>
              </w:rPr>
              <w:t>9,099</w:t>
            </w:r>
          </w:p>
        </w:tc>
      </w:tr>
      <w:tr>
        <w:trPr>
          <w:trHeight w:val="26"/>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8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accrued expenses</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51,554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53,864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Stockholders’ Equity and Equity-Based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w:t>
      </w:r>
    </w:p>
    <w:p>
      <w:pPr>
        <w:spacing w:after="0" w:line="51"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The Company issued approximately 126,000 and 57,000 shares of common stock during the three months ended June 30, 2020 and 2019, respectively, and 190,000 and 198,000 for the six months ended June 30, 2020 and 2019, respectively, primarily related to the exercise of stock options and the vesting of Restricted Stock Units (“RSUs”).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Treasury Stock</w:t>
      </w:r>
    </w:p>
    <w:p>
      <w:pPr>
        <w:spacing w:after="0" w:line="51"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stock. During the six months ended June 30, 2020 and 2019, the Company did not repurchase any shares of its common stock under the share repurchase program. As of June 30, 2020, the Company had $100 million of remaining authorization for purchases under the share repurchase program.</w:t>
      </w:r>
    </w:p>
    <w:p>
      <w:pPr>
        <w:spacing w:after="0" w:line="57"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declared and paid cash dividends of $0.17 and $0.34 per share of common stock, or $6.1 million and $12.1 million, during the three and six months ended June 30, 2020.</w:t>
      </w:r>
    </w:p>
    <w:p>
      <w:pPr>
        <w:spacing w:after="0" w:line="190"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On July 20, 2020, the Company’s Board of Directors declared a quarterly cash dividend of $0.17 per share of outstanding common stock payable on September 17, 2020 to stockholders of record at the close of business on September 3, 2020.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94"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Company recognizes stock-based compensation expense for all equity-based payment awards, including employee stock options and RSUs granted under the Company’s Amended and Restated 2012 Omnibus Equity Incentive Plan (the “2012 Plan”), based on the fair value of each award on the grant date.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summarizes non-cash equity-based compensation expense, net of forfeitures, by financial statement line item included in the accompanying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Operations for the three and six months ended June 30, 2020 and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5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r>
      <w:tr>
        <w:trPr>
          <w:trHeight w:val="17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86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150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190</w:t>
            </w:r>
          </w:p>
        </w:tc>
      </w:tr>
      <w:tr>
        <w:trPr>
          <w:trHeight w:val="176"/>
        </w:trPr>
        <w:tc>
          <w:tcPr>
            <w:tcW w:w="550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1,257</w:t>
            </w:r>
          </w:p>
        </w:tc>
      </w:tr>
      <w:tr>
        <w:trPr>
          <w:trHeight w:val="26"/>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Product development</w:t>
            </w: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1,068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1,252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2,193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2,427</w:t>
            </w:r>
          </w:p>
        </w:tc>
      </w:tr>
      <w:tr>
        <w:trPr>
          <w:trHeight w:val="176"/>
        </w:trPr>
        <w:tc>
          <w:tcPr>
            <w:tcW w:w="550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2,095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5,719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6,219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8,501</w:t>
            </w:r>
          </w:p>
        </w:tc>
      </w:tr>
      <w:tr>
        <w:trPr>
          <w:trHeight w:val="26"/>
        </w:trPr>
        <w:tc>
          <w:tcPr>
            <w:tcW w:w="5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86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3,636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7,751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9,396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12,375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 following table summarizes non-cash equity-based compensation expense, net of forfeitures, by award type included in the accompanying Consolidated Statements of Operations for the three and six months ended June 30, 2020 and 2019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5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r>
      <w:tr>
        <w:trPr>
          <w:trHeight w:val="17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86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2,176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1,730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3,067</w:t>
            </w:r>
          </w:p>
        </w:tc>
      </w:tr>
      <w:tr>
        <w:trPr>
          <w:trHeight w:val="176"/>
        </w:trPr>
        <w:tc>
          <w:tcPr>
            <w:tcW w:w="5500" w:type="dxa"/>
            <w:vAlign w:val="bottom"/>
          </w:tcPr>
          <w:p>
            <w:pPr>
              <w:ind w:left="20"/>
              <w:spacing w:after="0"/>
              <w:rPr>
                <w:sz w:val="20"/>
                <w:szCs w:val="20"/>
                <w:color w:val="auto"/>
              </w:rPr>
            </w:pPr>
            <w:r>
              <w:rPr>
                <w:rFonts w:ascii="Arial" w:cs="Arial" w:eastAsia="Arial" w:hAnsi="Arial"/>
                <w:sz w:val="13"/>
                <w:szCs w:val="13"/>
                <w:color w:val="auto"/>
              </w:rPr>
              <w:t>RSUs</w:t>
            </w: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3,222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5,575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7,666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9,308</w:t>
            </w:r>
          </w:p>
        </w:tc>
      </w:tr>
      <w:tr>
        <w:trPr>
          <w:trHeight w:val="26"/>
        </w:trPr>
        <w:tc>
          <w:tcPr>
            <w:tcW w:w="5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86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3,636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7,751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9,396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12,375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 Awards</w:t>
      </w:r>
    </w:p>
    <w:p>
      <w:pPr>
        <w:spacing w:after="0" w:line="17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During the six months ended June 30, 2020, the Company granted 53,000 options to purchase shares of its common stock with a weighted average exercise price of $42.96. As of June 30, 2020, there were approximately 338,000 options vested and exercisable with a weighted average exercise price of $34.59. As of June 30, 2020, the total unrecognized compensation charge related to non-vested options was approximately $2.0 million, which is expected to be recognized through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 Awards</w:t>
      </w:r>
    </w:p>
    <w:p>
      <w:pPr>
        <w:spacing w:after="0" w:line="51" w:lineRule="exact"/>
        <w:rPr>
          <w:sz w:val="20"/>
          <w:szCs w:val="20"/>
          <w:color w:val="auto"/>
        </w:rPr>
      </w:pPr>
    </w:p>
    <w:p>
      <w:pPr>
        <w:jc w:val="both"/>
        <w:ind w:right="300" w:firstLine="318"/>
        <w:spacing w:after="0" w:line="297" w:lineRule="auto"/>
        <w:rPr>
          <w:sz w:val="20"/>
          <w:szCs w:val="20"/>
          <w:color w:val="auto"/>
        </w:rPr>
      </w:pPr>
      <w:r>
        <w:rPr>
          <w:rFonts w:ascii="Arial" w:cs="Arial" w:eastAsia="Arial" w:hAnsi="Arial"/>
          <w:sz w:val="13"/>
          <w:szCs w:val="13"/>
          <w:color w:val="auto"/>
        </w:rPr>
        <w:t>During the six months ended June 30, 2020, the Company had RSU grants, net of forfeitures, of approximately 292,000. As of June 30, 2020, there are approximately 1,139,000 non-vested RSUs (including performance-based restricted stock units, or PRSUs) outstanding with a weighted average grant-date fair value of $39.83. As of June 30, 2020, the total unrecognized non-cash equity-based compensation charge related to the non-vested RSUs was approximately $26.6 million, which is expected to be recognized through 2023.</w:t>
      </w:r>
    </w:p>
    <w:p>
      <w:pPr>
        <w:spacing w:after="0" w:line="3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During the six months ended June 30, 2020, shares of common stock with an aggregate value of $3.4 million were withheld upon vesting of RSUs and paid in connection with related remittance of employee withholding taxes to taxing authorities.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July 20, 2020, the Company granted approximately 332,000 PRSUs with a grant date fair value of $12.7 million.</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Revenue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distributes its content offerings through two primary channels:</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i w:val="1"/>
          <w:iCs w:val="1"/>
          <w:color w:val="auto"/>
        </w:rPr>
        <w:t xml:space="preserve">E-commerce: </w:t>
      </w:r>
      <w:r>
        <w:rPr>
          <w:rFonts w:ascii="Arial" w:cs="Arial" w:eastAsia="Arial" w:hAnsi="Arial"/>
          <w:sz w:val="14"/>
          <w:szCs w:val="14"/>
          <w:color w:val="auto"/>
        </w:rPr>
        <w:t>The majority of the Company’s customers license content directly through the Company’s self-service web properties. E-commerce customers have the flexibility to purchase a</w:t>
      </w:r>
      <w:r>
        <w:rPr>
          <w:rFonts w:ascii="Arial" w:cs="Arial" w:eastAsia="Arial" w:hAnsi="Arial"/>
          <w:sz w:val="14"/>
          <w:szCs w:val="14"/>
          <w:i w:val="1"/>
          <w:iCs w:val="1"/>
          <w:color w:val="auto"/>
        </w:rPr>
        <w:t xml:space="preserve"> </w:t>
      </w:r>
      <w:r>
        <w:rPr>
          <w:rFonts w:ascii="Arial" w:cs="Arial" w:eastAsia="Arial" w:hAnsi="Arial"/>
          <w:sz w:val="14"/>
          <w:szCs w:val="14"/>
          <w:color w:val="auto"/>
        </w:rPr>
        <w:t>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61" w:lineRule="exact"/>
        <w:rPr>
          <w:sz w:val="20"/>
          <w:szCs w:val="20"/>
          <w:color w:val="auto"/>
        </w:rPr>
      </w:pPr>
    </w:p>
    <w:p>
      <w:pPr>
        <w:jc w:val="both"/>
        <w:ind w:right="260" w:firstLine="318"/>
        <w:spacing w:after="0" w:line="297" w:lineRule="auto"/>
        <w:rPr>
          <w:sz w:val="20"/>
          <w:szCs w:val="20"/>
          <w:color w:val="auto"/>
        </w:rPr>
      </w:pPr>
      <w:r>
        <w:rPr>
          <w:rFonts w:ascii="Arial" w:cs="Arial" w:eastAsia="Arial" w:hAnsi="Arial"/>
          <w:sz w:val="13"/>
          <w:szCs w:val="13"/>
          <w:i w:val="1"/>
          <w:iCs w:val="1"/>
          <w:color w:val="auto"/>
        </w:rPr>
        <w:t xml:space="preserve">Enterprise: </w:t>
      </w:r>
      <w:r>
        <w:rPr>
          <w:rFonts w:ascii="Arial" w:cs="Arial" w:eastAsia="Arial" w:hAnsi="Arial"/>
          <w:sz w:val="13"/>
          <w:szCs w:val="13"/>
          <w:color w:val="auto"/>
        </w:rPr>
        <w:t>The Company also has a base of customers with unique content, licensing and workflow needs. These customers benefit from communication with dedicated sales professionals,</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revenues by distribution channel for the three and six months ended June 30, 2020 and 2019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1"/>
                <w:szCs w:val="11"/>
                <w:b w:val="1"/>
                <w:bCs w:val="1"/>
                <w:color w:val="auto"/>
              </w:rPr>
              <w:t>Six Months Ended June 30,</w:t>
            </w:r>
          </w:p>
        </w:tc>
        <w:tc>
          <w:tcPr>
            <w:tcW w:w="580" w:type="dxa"/>
            <w:vAlign w:val="bottom"/>
            <w:tcBorders>
              <w:bottom w:val="single" w:sz="8" w:color="auto"/>
            </w:tcBorders>
          </w:tcPr>
          <w:p>
            <w:pPr>
              <w:spacing w:after="0"/>
              <w:rPr>
                <w:sz w:val="13"/>
                <w:szCs w:val="13"/>
                <w:color w:val="auto"/>
              </w:rPr>
            </w:pPr>
          </w:p>
        </w:tc>
      </w:tr>
      <w:tr>
        <w:trPr>
          <w:trHeight w:val="150"/>
        </w:trPr>
        <w:tc>
          <w:tcPr>
            <w:tcW w:w="53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r>
      <w:tr>
        <w:trPr>
          <w:trHeight w:val="17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E-commerce</w:t>
            </w:r>
          </w:p>
        </w:tc>
        <w:tc>
          <w:tcPr>
            <w:tcW w:w="84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98,164</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96,993</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197,900</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195,106</w:t>
            </w:r>
          </w:p>
        </w:tc>
      </w:tr>
      <w:tr>
        <w:trPr>
          <w:trHeight w:val="176"/>
        </w:trPr>
        <w:tc>
          <w:tcPr>
            <w:tcW w:w="5300" w:type="dxa"/>
            <w:vAlign w:val="bottom"/>
          </w:tcPr>
          <w:p>
            <w:pPr>
              <w:ind w:left="20"/>
              <w:spacing w:after="0"/>
              <w:rPr>
                <w:sz w:val="20"/>
                <w:szCs w:val="20"/>
                <w:color w:val="auto"/>
              </w:rPr>
            </w:pPr>
            <w:r>
              <w:rPr>
                <w:rFonts w:ascii="Arial" w:cs="Arial" w:eastAsia="Arial" w:hAnsi="Arial"/>
                <w:sz w:val="13"/>
                <w:szCs w:val="13"/>
                <w:color w:val="auto"/>
              </w:rPr>
              <w:t>Enterprise</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61,066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64,748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122,615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129,967</w:t>
            </w:r>
          </w:p>
        </w:tc>
      </w:tr>
      <w:tr>
        <w:trPr>
          <w:trHeight w:val="26"/>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5"/>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Revenues</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159,230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161,741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320,515</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325,073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60" w:firstLine="318"/>
        <w:spacing w:after="0" w:line="321" w:lineRule="auto"/>
        <w:rPr>
          <w:sz w:val="20"/>
          <w:szCs w:val="20"/>
          <w:color w:val="auto"/>
        </w:rPr>
      </w:pPr>
      <w:r>
        <w:rPr>
          <w:rFonts w:ascii="Arial" w:cs="Arial" w:eastAsia="Arial" w:hAnsi="Arial"/>
          <w:sz w:val="13"/>
          <w:szCs w:val="13"/>
          <w:color w:val="auto"/>
        </w:rPr>
        <w:t>The June 30, 2020 deferred revenue balance will be earned as content is downloaded or upon the expiration of subscription-based products, and nearly all is expected to be earned within the next twelve months. $91.0 million of total revenue recognized for the six months ended June 30, 2020 was reflected in deferred revenue as of December 31, 2019.</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Other Income, net</w:t>
      </w:r>
    </w:p>
    <w:p>
      <w:pPr>
        <w:spacing w:after="0" w:line="98"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following table presents a summary of the Company’s other income and expense activity included in the accompanying Consolidated Statements of Operations for the three and six months ended June 30, 2020 and 2019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r>
      <w:tr>
        <w:trPr>
          <w:trHeight w:val="150"/>
        </w:trPr>
        <w:tc>
          <w:tcPr>
            <w:tcW w:w="5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r>
      <w:tr>
        <w:trPr>
          <w:trHeight w:val="17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Foreign currency gain / (loss)</w:t>
            </w:r>
          </w:p>
        </w:tc>
        <w:tc>
          <w:tcPr>
            <w:tcW w:w="96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(569)</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(730)</w:t>
            </w:r>
          </w:p>
        </w:tc>
      </w:tr>
      <w:tr>
        <w:trPr>
          <w:trHeight w:val="176"/>
        </w:trPr>
        <w:tc>
          <w:tcPr>
            <w:tcW w:w="530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96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color w:val="auto"/>
              </w:rPr>
              <w:t>2,210</w:t>
            </w:r>
          </w:p>
        </w:tc>
      </w:tr>
      <w:tr>
        <w:trPr>
          <w:trHeight w:val="26"/>
        </w:trPr>
        <w:tc>
          <w:tcPr>
            <w:tcW w:w="5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other income</w:t>
            </w:r>
          </w:p>
        </w:tc>
        <w:tc>
          <w:tcPr>
            <w:tcW w:w="96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662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1,480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Income Taxes</w:t>
      </w:r>
    </w:p>
    <w:p>
      <w:pPr>
        <w:spacing w:after="0" w:line="98" w:lineRule="exact"/>
        <w:rPr>
          <w:sz w:val="20"/>
          <w:szCs w:val="20"/>
          <w:color w:val="auto"/>
        </w:rPr>
      </w:pPr>
    </w:p>
    <w:p>
      <w:pPr>
        <w:jc w:val="both"/>
        <w:ind w:right="100" w:firstLine="318"/>
        <w:spacing w:after="0" w:line="281" w:lineRule="auto"/>
        <w:rPr>
          <w:sz w:val="20"/>
          <w:szCs w:val="20"/>
          <w:color w:val="auto"/>
        </w:rPr>
      </w:pPr>
      <w:r>
        <w:rPr>
          <w:rFonts w:ascii="Arial" w:cs="Arial" w:eastAsia="Arial" w:hAnsi="Arial"/>
          <w:sz w:val="14"/>
          <w:szCs w:val="14"/>
          <w:color w:val="auto"/>
        </w:rPr>
        <w:t>The Company’s effective tax rates yielded a net expense of 16.3% and 9.7% for the three months ended June 30, 2020 and 2019, respectively, and a net expense of 19.6% and 14.5% for the six months ended June 30, 2020 and 2019, respectively.</w:t>
      </w:r>
    </w:p>
    <w:p>
      <w:pPr>
        <w:spacing w:after="0" w:line="47" w:lineRule="exact"/>
        <w:rPr>
          <w:sz w:val="20"/>
          <w:szCs w:val="20"/>
          <w:color w:val="auto"/>
        </w:rPr>
      </w:pPr>
    </w:p>
    <w:p>
      <w:pPr>
        <w:jc w:val="both"/>
        <w:ind w:right="20" w:firstLine="318"/>
        <w:spacing w:after="0" w:line="331" w:lineRule="auto"/>
        <w:rPr>
          <w:sz w:val="20"/>
          <w:szCs w:val="20"/>
          <w:color w:val="auto"/>
        </w:rPr>
      </w:pPr>
      <w:r>
        <w:rPr>
          <w:rFonts w:ascii="Arial" w:cs="Arial" w:eastAsia="Arial" w:hAnsi="Arial"/>
          <w:sz w:val="12"/>
          <w:szCs w:val="12"/>
          <w:color w:val="auto"/>
        </w:rPr>
        <w:t>During the three months ended June 30, 2020, the net effect of discrete items decreased the effective tax rate by 0.3%. For the six months ended June 30, 2020, the effective tax rate increased by 1.6% as a result of a loss jurisdiction with no tax benefit. Discrete items further increased the effective tax rate by 1.4%. Excluding the discrete items, our effective tax rate would have been 16.6% for the three and six months ended June 30, 2020. In the three and six months ended June 30, 2019, the impact of discrete tax items decreased the effective tax rate by 3.4% and 1.8%, respectively.</w:t>
      </w:r>
    </w:p>
    <w:p>
      <w:pPr>
        <w:spacing w:after="0" w:line="23"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has computed the provision for income taxes based on the estimated annual effective tax rate excluding a loss jurisdiction with no tax benefit and the application of discrete items, if any, in the applicable period. The estimated annual effective tax rate differs from the statutory tax rate due primarily to the effect of the foreign-derived intangible income deduction and the U.S. Research and Development tax credit.</w:t>
      </w:r>
    </w:p>
    <w:p>
      <w:pPr>
        <w:spacing w:after="0" w:line="57"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During the three and six months ended June 30, 2020 and during the three months ended June 30, 2019, uncertain tax positions recorded by the Company were not significant. During the six months ended June 30, 2019, uncertain tax positions recorded by the Company resulted in an expense of $1.0 million. To the extent the remaining uncertain tax positions are ultimately recognized, the Company’s effective tax rate may be impacted in future periods.</w:t>
      </w:r>
    </w:p>
    <w:p>
      <w:pPr>
        <w:spacing w:after="0" w:line="57"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2020 and 2019.</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the six months ended June 30, 2020 and 2019, the Company paid net cash taxes of $0.9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Net Income Per Share</w:t>
      </w:r>
    </w:p>
    <w:p>
      <w:pPr>
        <w:spacing w:after="0" w:line="129"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basic and diluted net income per share for the three and six months ended June 30, 2020 and 2019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3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r>
      <w:tr>
        <w:trPr>
          <w:trHeight w:val="21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95"/>
              </w:rPr>
              <w:t>18,987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23,305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10,821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5300" w:type="dxa"/>
            <w:vAlign w:val="bottom"/>
          </w:tcPr>
          <w:p>
            <w:pPr>
              <w:ind w:left="20"/>
              <w:spacing w:after="0" w:line="141" w:lineRule="exact"/>
              <w:rPr>
                <w:sz w:val="20"/>
                <w:szCs w:val="20"/>
                <w:color w:val="auto"/>
              </w:rPr>
            </w:pPr>
            <w:r>
              <w:rPr>
                <w:rFonts w:ascii="Arial" w:cs="Arial" w:eastAsia="Arial" w:hAnsi="Arial"/>
                <w:sz w:val="13"/>
                <w:szCs w:val="13"/>
                <w:color w:val="auto"/>
              </w:rPr>
              <w:t>Shares used to compute basic net income per share</w:t>
            </w:r>
          </w:p>
        </w:tc>
        <w:tc>
          <w:tcPr>
            <w:tcW w:w="880" w:type="dxa"/>
            <w:vAlign w:val="bottom"/>
          </w:tcPr>
          <w:p>
            <w:pPr>
              <w:spacing w:after="0"/>
              <w:rPr>
                <w:sz w:val="12"/>
                <w:szCs w:val="12"/>
                <w:color w:val="auto"/>
              </w:rPr>
            </w:pPr>
          </w:p>
        </w:tc>
        <w:tc>
          <w:tcPr>
            <w:tcW w:w="540" w:type="dxa"/>
            <w:vAlign w:val="bottom"/>
          </w:tcPr>
          <w:p>
            <w:pPr>
              <w:jc w:val="right"/>
              <w:ind w:right="76"/>
              <w:spacing w:after="0" w:line="141" w:lineRule="exact"/>
              <w:rPr>
                <w:sz w:val="20"/>
                <w:szCs w:val="20"/>
                <w:color w:val="auto"/>
              </w:rPr>
            </w:pPr>
            <w:r>
              <w:rPr>
                <w:rFonts w:ascii="Arial" w:cs="Arial" w:eastAsia="Arial" w:hAnsi="Arial"/>
                <w:sz w:val="13"/>
                <w:szCs w:val="13"/>
                <w:color w:val="auto"/>
                <w:w w:val="95"/>
              </w:rPr>
              <w:t>35,652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76"/>
              <w:spacing w:after="0" w:line="141" w:lineRule="exact"/>
              <w:rPr>
                <w:sz w:val="20"/>
                <w:szCs w:val="20"/>
                <w:color w:val="auto"/>
              </w:rPr>
            </w:pPr>
            <w:r>
              <w:rPr>
                <w:rFonts w:ascii="Arial" w:cs="Arial" w:eastAsia="Arial" w:hAnsi="Arial"/>
                <w:sz w:val="13"/>
                <w:szCs w:val="13"/>
                <w:color w:val="auto"/>
                <w:w w:val="95"/>
              </w:rPr>
              <w:t>35,232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78"/>
              <w:spacing w:after="0" w:line="141" w:lineRule="exact"/>
              <w:rPr>
                <w:sz w:val="20"/>
                <w:szCs w:val="20"/>
                <w:color w:val="auto"/>
              </w:rPr>
            </w:pPr>
            <w:r>
              <w:rPr>
                <w:rFonts w:ascii="Arial" w:cs="Arial" w:eastAsia="Arial" w:hAnsi="Arial"/>
                <w:sz w:val="13"/>
                <w:szCs w:val="13"/>
                <w:color w:val="auto"/>
              </w:rPr>
              <w:t>35,587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35,174</w:t>
            </w:r>
          </w:p>
        </w:tc>
      </w:tr>
      <w:tr>
        <w:trPr>
          <w:trHeight w:val="26"/>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Dilutive potential common shares</w:t>
            </w:r>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5300" w:type="dxa"/>
            <w:vAlign w:val="bottom"/>
          </w:tcPr>
          <w:p>
            <w:pPr>
              <w:ind w:left="160"/>
              <w:spacing w:after="0"/>
              <w:rPr>
                <w:sz w:val="20"/>
                <w:szCs w:val="20"/>
                <w:color w:val="auto"/>
              </w:rPr>
            </w:pPr>
            <w:r>
              <w:rPr>
                <w:rFonts w:ascii="Arial" w:cs="Arial" w:eastAsia="Arial" w:hAnsi="Arial"/>
                <w:sz w:val="13"/>
                <w:szCs w:val="13"/>
                <w:color w:val="auto"/>
              </w:rPr>
              <w:t>Stock options</w:t>
            </w:r>
          </w:p>
        </w:tc>
        <w:tc>
          <w:tcPr>
            <w:tcW w:w="8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104</w:t>
            </w:r>
          </w:p>
        </w:tc>
      </w:tr>
      <w:tr>
        <w:trPr>
          <w:trHeight w:val="26"/>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2"/>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Unvested restricted stock awards</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221</w:t>
            </w:r>
          </w:p>
        </w:tc>
      </w:tr>
      <w:tr>
        <w:trPr>
          <w:trHeight w:val="190"/>
        </w:trPr>
        <w:tc>
          <w:tcPr>
            <w:tcW w:w="5300" w:type="dxa"/>
            <w:vAlign w:val="bottom"/>
          </w:tcPr>
          <w:p>
            <w:pPr>
              <w:ind w:left="100"/>
              <w:spacing w:after="0"/>
              <w:rPr>
                <w:sz w:val="20"/>
                <w:szCs w:val="20"/>
                <w:color w:val="auto"/>
              </w:rPr>
            </w:pPr>
            <w:r>
              <w:rPr>
                <w:rFonts w:ascii="Arial" w:cs="Arial" w:eastAsia="Arial" w:hAnsi="Arial"/>
                <w:sz w:val="13"/>
                <w:szCs w:val="13"/>
                <w:color w:val="auto"/>
              </w:rPr>
              <w:t>Shares used to compute diluted net income per share</w:t>
            </w:r>
          </w:p>
        </w:tc>
        <w:tc>
          <w:tcPr>
            <w:tcW w:w="8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95"/>
              </w:rPr>
              <w:t>35,906</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95"/>
              </w:rPr>
              <w:t>35,504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35,894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35,499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Basic net income per share</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0.53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0.65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0.31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5300" w:type="dxa"/>
            <w:vAlign w:val="bottom"/>
          </w:tcPr>
          <w:p>
            <w:pPr>
              <w:ind w:left="100"/>
              <w:spacing w:after="0"/>
              <w:rPr>
                <w:sz w:val="20"/>
                <w:szCs w:val="20"/>
                <w:color w:val="auto"/>
              </w:rPr>
            </w:pPr>
            <w:r>
              <w:rPr>
                <w:rFonts w:ascii="Arial" w:cs="Arial" w:eastAsia="Arial" w:hAnsi="Arial"/>
                <w:sz w:val="13"/>
                <w:szCs w:val="13"/>
                <w:color w:val="auto"/>
              </w:rPr>
              <w:t>Diluted net income per share</w:t>
            </w:r>
          </w:p>
        </w:tc>
        <w:tc>
          <w:tcPr>
            <w:tcW w:w="880" w:type="dxa"/>
            <w:vAlign w:val="bottom"/>
            <w:tcBorders>
              <w:bottom w:val="single" w:sz="8" w:color="auto"/>
            </w:tcBorders>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0.53</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3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0.65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0.30</w:t>
            </w:r>
          </w:p>
        </w:tc>
      </w:tr>
      <w:tr>
        <w:trPr>
          <w:trHeight w:val="73"/>
        </w:trPr>
        <w:tc>
          <w:tcPr>
            <w:tcW w:w="53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176"/>
        </w:trPr>
        <w:tc>
          <w:tcPr>
            <w:tcW w:w="53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Dilutive shares included in the calculation</w:t>
            </w:r>
          </w:p>
        </w:tc>
        <w:tc>
          <w:tcPr>
            <w:tcW w:w="8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1,304</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rPr>
              <w:t>1,005</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ind w:right="78"/>
              <w:spacing w:after="0"/>
              <w:rPr>
                <w:sz w:val="20"/>
                <w:szCs w:val="20"/>
                <w:color w:val="auto"/>
              </w:rPr>
            </w:pPr>
            <w:r>
              <w:rPr>
                <w:rFonts w:ascii="Arial" w:cs="Arial" w:eastAsia="Arial" w:hAnsi="Arial"/>
                <w:sz w:val="13"/>
                <w:szCs w:val="13"/>
                <w:color w:val="auto"/>
              </w:rPr>
              <w:t>1,080</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ind w:right="77"/>
              <w:spacing w:after="0"/>
              <w:rPr>
                <w:sz w:val="20"/>
                <w:szCs w:val="20"/>
                <w:color w:val="auto"/>
              </w:rPr>
            </w:pPr>
            <w:r>
              <w:rPr>
                <w:rFonts w:ascii="Arial" w:cs="Arial" w:eastAsia="Arial" w:hAnsi="Arial"/>
                <w:sz w:val="13"/>
                <w:szCs w:val="13"/>
                <w:color w:val="auto"/>
              </w:rPr>
              <w:t>992</w:t>
            </w:r>
          </w:p>
        </w:tc>
      </w:tr>
      <w:tr>
        <w:trPr>
          <w:trHeight w:val="26"/>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Anti-dilutive shares excluded from the calculation</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1,171</w:t>
            </w:r>
          </w:p>
        </w:tc>
      </w:tr>
      <w:tr>
        <w:trPr>
          <w:trHeight w:val="26"/>
        </w:trPr>
        <w:tc>
          <w:tcPr>
            <w:tcW w:w="5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Geographic Information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Company’s revenue based on customer location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80" w:type="dxa"/>
            <w:vAlign w:val="bottom"/>
          </w:tcPr>
          <w:p>
            <w:pPr>
              <w:spacing w:after="0"/>
              <w:rPr>
                <w:sz w:val="10"/>
                <w:szCs w:val="10"/>
                <w:color w:val="auto"/>
              </w:rPr>
            </w:pPr>
          </w:p>
        </w:tc>
        <w:tc>
          <w:tcPr>
            <w:tcW w:w="2340" w:type="dxa"/>
            <w:vAlign w:val="bottom"/>
            <w:gridSpan w:val="4"/>
            <w:vMerge w:val="restart"/>
          </w:tcPr>
          <w:p>
            <w:pPr>
              <w:jc w:val="right"/>
              <w:ind w:right="99"/>
              <w:spacing w:after="0"/>
              <w:rPr>
                <w:sz w:val="20"/>
                <w:szCs w:val="20"/>
                <w:color w:val="auto"/>
              </w:rPr>
            </w:pPr>
            <w:r>
              <w:rPr>
                <w:rFonts w:ascii="Arial" w:cs="Arial" w:eastAsia="Arial" w:hAnsi="Arial"/>
                <w:sz w:val="11"/>
                <w:szCs w:val="11"/>
                <w:b w:val="1"/>
                <w:bCs w:val="1"/>
                <w:color w:val="auto"/>
              </w:rPr>
              <w:t>Three Months Ended June 30,</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3"/>
          </w:tcPr>
          <w:p>
            <w:pPr>
              <w:jc w:val="right"/>
              <w:ind w:right="36"/>
              <w:spacing w:after="0"/>
              <w:rPr>
                <w:sz w:val="20"/>
                <w:szCs w:val="20"/>
                <w:color w:val="auto"/>
              </w:rPr>
            </w:pPr>
            <w:r>
              <w:rPr>
                <w:rFonts w:ascii="Arial" w:cs="Arial" w:eastAsia="Arial" w:hAnsi="Arial"/>
                <w:sz w:val="11"/>
                <w:szCs w:val="11"/>
                <w:b w:val="1"/>
                <w:bCs w:val="1"/>
                <w:color w:val="auto"/>
              </w:rPr>
              <w:t>Six Months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380" w:type="dxa"/>
            <w:vAlign w:val="bottom"/>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1"/>
                <w:szCs w:val="11"/>
                <w:b w:val="1"/>
                <w:bCs w:val="1"/>
                <w:color w:val="auto"/>
              </w:rPr>
              <w:t>June 30,</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North America</w:t>
            </w:r>
          </w:p>
        </w:tc>
        <w:tc>
          <w:tcPr>
            <w:tcW w:w="84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56,211</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57,657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113,229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115,171</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3"/>
                <w:szCs w:val="13"/>
                <w:color w:val="auto"/>
              </w:rPr>
              <w:t>Europe</w:t>
            </w:r>
          </w:p>
        </w:tc>
        <w:tc>
          <w:tcPr>
            <w:tcW w:w="84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52,207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53,647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106,003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109,132</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Rest of the world</w:t>
            </w:r>
          </w:p>
        </w:tc>
        <w:tc>
          <w:tcPr>
            <w:tcW w:w="8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50,812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50,437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101,283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100,770</w:t>
            </w:r>
          </w:p>
        </w:tc>
        <w:tc>
          <w:tcPr>
            <w:tcW w:w="0" w:type="dxa"/>
            <w:vAlign w:val="bottom"/>
          </w:tcPr>
          <w:p>
            <w:pPr>
              <w:spacing w:after="0"/>
              <w:rPr>
                <w:sz w:val="1"/>
                <w:szCs w:val="1"/>
                <w:color w:val="auto"/>
              </w:rPr>
            </w:pPr>
          </w:p>
        </w:tc>
      </w:tr>
      <w:tr>
        <w:trPr>
          <w:trHeight w:val="167"/>
        </w:trPr>
        <w:tc>
          <w:tcPr>
            <w:tcW w:w="5380" w:type="dxa"/>
            <w:vAlign w:val="bottom"/>
          </w:tcPr>
          <w:p>
            <w:pPr>
              <w:ind w:left="100"/>
              <w:spacing w:after="0"/>
              <w:rPr>
                <w:sz w:val="20"/>
                <w:szCs w:val="20"/>
                <w:color w:val="auto"/>
              </w:rPr>
            </w:pPr>
            <w:r>
              <w:rPr>
                <w:rFonts w:ascii="Arial" w:cs="Arial" w:eastAsia="Arial" w:hAnsi="Arial"/>
                <w:sz w:val="13"/>
                <w:szCs w:val="13"/>
                <w:color w:val="auto"/>
              </w:rPr>
              <w:t>Total revenue</w:t>
            </w:r>
          </w:p>
        </w:tc>
        <w:tc>
          <w:tcPr>
            <w:tcW w:w="840" w:type="dxa"/>
            <w:vAlign w:val="bottom"/>
            <w:tcBorders>
              <w:top w:val="single" w:sz="8" w:color="auto"/>
            </w:tcBorders>
          </w:tcPr>
          <w:p>
            <w:pPr>
              <w:jc w:val="right"/>
              <w:ind w:right="70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5"/>
              </w:rPr>
              <w:t>159,230</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9"/>
              </w:rPr>
              <w:t>161,741</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rPr>
              <w:t>320,515</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325,073</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80" w:firstLine="351"/>
        <w:spacing w:after="0" w:line="281" w:lineRule="auto"/>
        <w:rPr>
          <w:sz w:val="20"/>
          <w:szCs w:val="20"/>
          <w:color w:val="auto"/>
        </w:rPr>
      </w:pPr>
      <w:r>
        <w:rPr>
          <w:rFonts w:ascii="Arial" w:cs="Arial" w:eastAsia="Arial" w:hAnsi="Arial"/>
          <w:sz w:val="14"/>
          <w:szCs w:val="14"/>
          <w:color w:val="auto"/>
        </w:rPr>
        <w:t>The United States, included in North America in the above table, accounted for 32% of consolidated revenue for the six months ended June 30, 2020 and 2019. No other country accounts for more than 10% of the Company’s revenue in any period presented.</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long-lived tangible assets were located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200"/>
              <w:spacing w:after="0"/>
              <w:rPr>
                <w:sz w:val="20"/>
                <w:szCs w:val="20"/>
                <w:color w:val="auto"/>
              </w:rPr>
            </w:pPr>
            <w:r>
              <w:rPr>
                <w:rFonts w:ascii="Arial" w:cs="Arial" w:eastAsia="Arial" w:hAnsi="Arial"/>
                <w:sz w:val="11"/>
                <w:szCs w:val="11"/>
                <w:b w:val="1"/>
                <w:bCs w:val="1"/>
                <w:color w:val="auto"/>
              </w:rPr>
              <w:t>As of June 30,</w:t>
            </w:r>
          </w:p>
        </w:tc>
        <w:tc>
          <w:tcPr>
            <w:tcW w:w="200" w:type="dxa"/>
            <w:vAlign w:val="bottom"/>
          </w:tcPr>
          <w:p>
            <w:pPr>
              <w:spacing w:after="0"/>
              <w:rPr>
                <w:sz w:val="12"/>
                <w:szCs w:val="12"/>
                <w:color w:val="auto"/>
              </w:rPr>
            </w:pPr>
          </w:p>
        </w:tc>
        <w:tc>
          <w:tcPr>
            <w:tcW w:w="1400" w:type="dxa"/>
            <w:vAlign w:val="bottom"/>
          </w:tcPr>
          <w:p>
            <w:pPr>
              <w:jc w:val="right"/>
              <w:ind w:right="279"/>
              <w:spacing w:after="0"/>
              <w:rPr>
                <w:sz w:val="20"/>
                <w:szCs w:val="20"/>
                <w:color w:val="auto"/>
              </w:rPr>
            </w:pPr>
            <w:r>
              <w:rPr>
                <w:rFonts w:ascii="Arial" w:cs="Arial" w:eastAsia="Arial" w:hAnsi="Arial"/>
                <w:sz w:val="11"/>
                <w:szCs w:val="11"/>
                <w:b w:val="1"/>
                <w:bCs w:val="1"/>
                <w:color w:val="auto"/>
              </w:rPr>
              <w:t>As of December 31,</w:t>
            </w:r>
          </w:p>
        </w:tc>
      </w:tr>
      <w:tr>
        <w:trPr>
          <w:trHeight w:val="163"/>
        </w:trPr>
        <w:tc>
          <w:tcPr>
            <w:tcW w:w="80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2019</w:t>
            </w: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North America</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47,361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51,954</w:t>
            </w: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Europe</w:t>
            </w:r>
          </w:p>
        </w:tc>
        <w:tc>
          <w:tcPr>
            <w:tcW w:w="260" w:type="dxa"/>
            <w:vAlign w:val="bottom"/>
          </w:tcPr>
          <w:p>
            <w:pPr>
              <w:spacing w:after="0"/>
              <w:rPr>
                <w:sz w:val="15"/>
                <w:szCs w:val="15"/>
                <w:color w:val="auto"/>
              </w:rPr>
            </w:pPr>
          </w:p>
        </w:tc>
        <w:tc>
          <w:tcPr>
            <w:tcW w:w="1320" w:type="dxa"/>
            <w:vAlign w:val="bottom"/>
          </w:tcPr>
          <w:p>
            <w:pPr>
              <w:jc w:val="right"/>
              <w:ind w:right="79"/>
              <w:spacing w:after="0"/>
              <w:rPr>
                <w:sz w:val="20"/>
                <w:szCs w:val="20"/>
                <w:color w:val="auto"/>
              </w:rPr>
            </w:pPr>
            <w:r>
              <w:rPr>
                <w:rFonts w:ascii="Arial" w:cs="Arial" w:eastAsia="Arial" w:hAnsi="Arial"/>
                <w:sz w:val="13"/>
                <w:szCs w:val="13"/>
                <w:color w:val="auto"/>
              </w:rPr>
              <w:t>6,557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79"/>
              <w:spacing w:after="0"/>
              <w:rPr>
                <w:sz w:val="20"/>
                <w:szCs w:val="20"/>
                <w:color w:val="auto"/>
              </w:rPr>
            </w:pPr>
            <w:r>
              <w:rPr>
                <w:rFonts w:ascii="Arial" w:cs="Arial" w:eastAsia="Arial" w:hAnsi="Arial"/>
                <w:sz w:val="13"/>
                <w:szCs w:val="13"/>
                <w:color w:val="auto"/>
              </w:rPr>
              <w:t>6,541</w:t>
            </w:r>
          </w:p>
        </w:tc>
      </w:tr>
      <w:tr>
        <w:trPr>
          <w:trHeight w:val="26"/>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Rest of the world</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322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339</w:t>
            </w:r>
          </w:p>
        </w:tc>
      </w:tr>
      <w:tr>
        <w:trPr>
          <w:trHeight w:val="167"/>
        </w:trPr>
        <w:tc>
          <w:tcPr>
            <w:tcW w:w="8000" w:type="dxa"/>
            <w:vAlign w:val="bottom"/>
          </w:tcPr>
          <w:p>
            <w:pPr>
              <w:ind w:left="100"/>
              <w:spacing w:after="0"/>
              <w:rPr>
                <w:sz w:val="20"/>
                <w:szCs w:val="20"/>
                <w:color w:val="auto"/>
              </w:rPr>
            </w:pPr>
            <w:r>
              <w:rPr>
                <w:rFonts w:ascii="Arial" w:cs="Arial" w:eastAsia="Arial" w:hAnsi="Arial"/>
                <w:sz w:val="13"/>
                <w:szCs w:val="13"/>
                <w:color w:val="auto"/>
              </w:rPr>
              <w:t>Total long-lived tangible assets</w:t>
            </w: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rPr>
              <w:t>54,240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rPr>
              <w:t>58,834</w:t>
            </w:r>
          </w:p>
        </w:tc>
      </w:tr>
      <w:tr>
        <w:trPr>
          <w:trHeight w:val="26"/>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The United States, included in North America in the above table, accounted for 77% and 79% of total long-lived tangible assets as of June 30, 2020 and December 31, 2019, respectively. No other country accounts for more than 10% of the Company’s long-lived tangible assets in any period presented.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98"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As of June 30, 2020, the Company had total non-lease obligations in the amount of approximately $39.2 million, which consisted primarily of minimum royalty guarantees and unconditional purchase obligations related to contracts for infrastructure and other business services. As of June 30, 2020, the Company’s non-lease obligations for the remainder of 2020 and for the years ending December 31, 2021 and 2022 were approximately $18.2 million, $16.5 million and $4.4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Matters</w:t>
      </w:r>
    </w:p>
    <w:p>
      <w:pPr>
        <w:spacing w:after="0" w:line="125"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and Employment Agreements</w:t>
      </w:r>
    </w:p>
    <w:p>
      <w:pPr>
        <w:spacing w:after="0" w:line="94" w:lineRule="exact"/>
        <w:rPr>
          <w:sz w:val="20"/>
          <w:szCs w:val="20"/>
          <w:color w:val="auto"/>
        </w:rPr>
      </w:pPr>
    </w:p>
    <w:p>
      <w:pPr>
        <w:ind w:right="100" w:firstLine="318"/>
        <w:spacing w:after="0" w:line="282" w:lineRule="auto"/>
        <w:rPr>
          <w:sz w:val="20"/>
          <w:szCs w:val="20"/>
          <w:color w:val="auto"/>
        </w:rPr>
      </w:pPr>
      <w:r>
        <w:rPr>
          <w:rFonts w:ascii="Arial" w:cs="Arial" w:eastAsia="Arial" w:hAnsi="Arial"/>
          <w:sz w:val="13"/>
          <w:szCs w:val="13"/>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June 30, 2020,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49"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47"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8" w:name="page19"/>
    <w:bookmarkEnd w:id="18"/>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Annual Report on Form 10-K for the fiscal year ended December 31, 2019 filed with the SEC on February 13, 2020.</w:t>
      </w:r>
    </w:p>
    <w:p>
      <w:pPr>
        <w:spacing w:after="0" w:line="89"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Annual Report on Form 10-K for the fiscal year ended December 31, 2019, which was filed with the SEC on February 13, 2020, and our Quarterly Report on Form 10-Q for the quarter ended March 31, 2020, which was filed with the SEC on April 28, 2020 for additional discussion of the risks and uncertainties that could cause our actual results to differ materially from those expressed or implied in our forward-looking statements.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For a discussion as to how COVID-19 has affected our business, see “COVID-19 Update” below.</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Recent Developments</w:t>
      </w:r>
    </w:p>
    <w:p>
      <w:pPr>
        <w:spacing w:after="0" w:line="129"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content licensed by our customers include:</w:t>
      </w:r>
    </w:p>
    <w:p>
      <w:pPr>
        <w:spacing w:after="0" w:line="125" w:lineRule="exact"/>
        <w:rPr>
          <w:sz w:val="20"/>
          <w:szCs w:val="20"/>
          <w:color w:val="auto"/>
        </w:rPr>
      </w:pPr>
    </w:p>
    <w:p>
      <w:pPr>
        <w:ind w:left="840" w:right="300" w:hanging="326"/>
        <w:spacing w:after="0" w:line="281" w:lineRule="auto"/>
        <w:tabs>
          <w:tab w:leader="none" w:pos="836" w:val="left"/>
        </w:tabs>
        <w:numPr>
          <w:ilvl w:val="0"/>
          <w:numId w:val="4"/>
        </w:numPr>
        <w:rPr>
          <w:rFonts w:ascii="Arial" w:cs="Arial" w:eastAsia="Arial" w:hAnsi="Arial"/>
          <w:sz w:val="14"/>
          <w:szCs w:val="14"/>
          <w:color w:val="auto"/>
        </w:rPr>
      </w:pPr>
      <w:r>
        <w:rPr>
          <w:rFonts w:ascii="Arial" w:cs="Arial" w:eastAsia="Arial" w:hAnsi="Arial"/>
          <w:sz w:val="14"/>
          <w:szCs w:val="14"/>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9" w:lineRule="exact"/>
        <w:rPr>
          <w:rFonts w:ascii="Arial" w:cs="Arial" w:eastAsia="Arial" w:hAnsi="Arial"/>
          <w:sz w:val="14"/>
          <w:szCs w:val="14"/>
          <w:color w:val="auto"/>
        </w:rPr>
      </w:pPr>
    </w:p>
    <w:p>
      <w:pPr>
        <w:ind w:left="840" w:right="420" w:hanging="326"/>
        <w:spacing w:after="0" w:line="281" w:lineRule="auto"/>
        <w:tabs>
          <w:tab w:leader="none" w:pos="836" w:val="left"/>
        </w:tabs>
        <w:numPr>
          <w:ilvl w:val="0"/>
          <w:numId w:val="4"/>
        </w:numPr>
        <w:rPr>
          <w:rFonts w:ascii="Arial" w:cs="Arial" w:eastAsia="Arial" w:hAnsi="Arial"/>
          <w:sz w:val="14"/>
          <w:szCs w:val="14"/>
          <w:color w:val="auto"/>
        </w:rPr>
      </w:pPr>
      <w:r>
        <w:rPr>
          <w:rFonts w:ascii="Arial" w:cs="Arial" w:eastAsia="Arial" w:hAnsi="Arial"/>
          <w:sz w:val="14"/>
          <w:szCs w:val="14"/>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8" w:lineRule="exact"/>
        <w:rPr>
          <w:rFonts w:ascii="Arial" w:cs="Arial" w:eastAsia="Arial" w:hAnsi="Arial"/>
          <w:sz w:val="14"/>
          <w:szCs w:val="14"/>
          <w:color w:val="auto"/>
        </w:rPr>
      </w:pPr>
    </w:p>
    <w:p>
      <w:pPr>
        <w:ind w:left="820" w:hanging="306"/>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Music - consisting of high-quality music tracks and sound effects, which are often used to complement images and footage.</w:t>
      </w:r>
    </w:p>
    <w:p>
      <w:pPr>
        <w:spacing w:after="0" w:line="125" w:lineRule="exact"/>
        <w:rPr>
          <w:sz w:val="20"/>
          <w:szCs w:val="20"/>
          <w:color w:val="auto"/>
        </w:rPr>
      </w:pPr>
    </w:p>
    <w:p>
      <w:pPr>
        <w:ind w:right="180" w:firstLine="318"/>
        <w:spacing w:after="0" w:line="368" w:lineRule="auto"/>
        <w:rPr>
          <w:sz w:val="20"/>
          <w:szCs w:val="20"/>
          <w:color w:val="auto"/>
        </w:rPr>
      </w:pPr>
      <w:r>
        <w:rPr>
          <w:rFonts w:ascii="Arial" w:cs="Arial" w:eastAsia="Arial" w:hAnsi="Arial"/>
          <w:sz w:val="12"/>
          <w:szCs w:val="12"/>
          <w:color w:val="auto"/>
        </w:rPr>
        <w:t>Our platform brings together users and contributors of content by providing readily-searchable content that our customers pay to license and by compensating contributors as their content is licensed. For customers seeking specialized content that goes beyond our library of stock content, our platform also connects customers with contributors who can produce custom branded content.</w:t>
      </w:r>
    </w:p>
    <w:p>
      <w:pPr>
        <w:spacing w:after="0" w:line="33" w:lineRule="exact"/>
        <w:rPr>
          <w:sz w:val="20"/>
          <w:szCs w:val="20"/>
          <w:color w:val="auto"/>
        </w:rPr>
      </w:pPr>
    </w:p>
    <w:p>
      <w:pPr>
        <w:jc w:val="both"/>
        <w:ind w:right="80" w:firstLine="318"/>
        <w:spacing w:after="0" w:line="297" w:lineRule="auto"/>
        <w:rPr>
          <w:sz w:val="20"/>
          <w:szCs w:val="20"/>
          <w:color w:val="auto"/>
        </w:rPr>
      </w:pPr>
      <w:r>
        <w:rPr>
          <w:rFonts w:ascii="Arial" w:cs="Arial" w:eastAsia="Arial" w:hAnsi="Arial"/>
          <w:sz w:val="13"/>
          <w:szCs w:val="13"/>
          <w:color w:val="auto"/>
        </w:rPr>
        <w:t>Over 1.9 million active, paying customers contributed to our revenue for the twelve-month period ended June 30, 2020. As of June 30, 2020, more than 1.4 million approved contributors made their images, footage and music tracks available in our collection, which has grown to more than 340 million images and more than 19 million footage clips. This makes our collection of content one of the largest of its kind, and we delivered approximately 90.8 million paid downloads to our customers across all of our brands during the six months ended June 30, 2020.</w:t>
      </w:r>
    </w:p>
    <w:p>
      <w:pPr>
        <w:spacing w:after="0" w:line="60"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Through our platform, we generate revenue by licensing content to our customers. During the six months ended June 30, 2020, 62% of our revenue and the majority of our content licenses came from our E-commerce sales channel.</w:t>
      </w:r>
    </w:p>
    <w:p>
      <w:pPr>
        <w:spacing w:after="0" w:line="79"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E-commerce customers have the flexibility of choosing content plans that provide a large volume of content for their creative process. We also offer simple, affordable, smaller plans and other products where customers have an option to pay for individual content licenses at the time of delivery. Customers in our Enterprise sales channel generally have unique content, licensing and workflow needs. Our dedicated Enterprise sales, service, client success and research teams are able to provide a number of enhancements to their creative workflows including non-standard licensing rights, multi-seat access, multi-brand licensing packages and content licensed for use-cases outside of those available for license on our E-commerce platform. Our Enterprise sales channel provided approximately 38% of our revenue during the six months ended June 30, 2020.</w:t>
      </w:r>
    </w:p>
    <w:p>
      <w:pPr>
        <w:spacing w:after="0" w:line="93"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Each time an image, footage clip or music track is delivered to a customer for use, we record a royalty expense for the amount due to the associated contributor. Depending on the content licensed by our customers, royalties are calculated using either a fixed dollar amount or a fixed percentage of the price per asset downloaded and are typically paid to contributors on a monthly basis, subject to certain payout minimums. Royalties represent the largest component of our operating expenses, are</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reported within cost of revenue, tend to fluctuate proportionately with revenue and paid downloads and may be impacted by the mix of products sold.</w:t>
      </w:r>
    </w:p>
    <w:p>
      <w:pPr>
        <w:spacing w:after="0" w:line="115"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An important driver of our growth is customer acquisition, which we achieve primarily through online marketing efforts and directly through our sales force. Online marketing includes paid search, organic search, online display advertising, brand marketing, email marketing, affiliate marketing, social media and strategic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93"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Update</w:t>
      </w:r>
    </w:p>
    <w:p>
      <w:pPr>
        <w:spacing w:after="0" w:line="11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The economic uncertainty caused by COVID-19 has had an impact on our customers and their ability to spend marketing budgets on our products, which has resulted in an unfavorable impact, to varying degrees geographically, on our revenue growth for the six months ended June 30, 2020. See Item 1A. Risk Factors in our Quarterly Report on Form 10-Q for the quarter ended March 31, 2020, which was filed with the SEC on April 28, 2020, for further discussion of the possible impact of the COVID-19 pandemic on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w:t>
      </w:r>
    </w:p>
    <w:p>
      <w:pPr>
        <w:spacing w:after="0" w:line="9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six months ended June 30, 2020 and 2019:</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3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0"/>
              </w:rPr>
              <w:t>Three Months Ended June 30,</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Borders>
              <w:bottom w:val="single" w:sz="8" w:color="auto"/>
            </w:tcBorders>
          </w:tcPr>
          <w:p>
            <w:pPr>
              <w:spacing w:after="0"/>
              <w:rPr>
                <w:sz w:val="11"/>
                <w:szCs w:val="11"/>
                <w:color w:val="auto"/>
              </w:rPr>
            </w:pPr>
          </w:p>
        </w:tc>
      </w:tr>
      <w:tr>
        <w:trPr>
          <w:trHeight w:val="139"/>
        </w:trPr>
        <w:tc>
          <w:tcPr>
            <w:tcW w:w="53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2020</w:t>
            </w:r>
          </w:p>
        </w:tc>
        <w:tc>
          <w:tcPr>
            <w:tcW w:w="6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8"/>
              <w:spacing w:after="0"/>
              <w:rPr>
                <w:sz w:val="20"/>
                <w:szCs w:val="20"/>
                <w:color w:val="auto"/>
              </w:rPr>
            </w:pPr>
            <w:r>
              <w:rPr>
                <w:rFonts w:ascii="Arial" w:cs="Arial" w:eastAsia="Arial" w:hAnsi="Arial"/>
                <w:sz w:val="10"/>
                <w:szCs w:val="10"/>
                <w:b w:val="1"/>
                <w:bCs w:val="1"/>
                <w:color w:val="auto"/>
                <w:w w:val="89"/>
              </w:rPr>
              <w:t>2019</w:t>
            </w:r>
          </w:p>
        </w:tc>
      </w:tr>
      <w:tr>
        <w:trPr>
          <w:trHeight w:val="136"/>
        </w:trPr>
        <w:tc>
          <w:tcPr>
            <w:tcW w:w="5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8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Subscribers (end of period)</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w w:val="97"/>
              </w:rPr>
              <w:t>223,000</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9"/>
              </w:rPr>
              <w:t>173,000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223,000</w:t>
            </w:r>
          </w:p>
        </w:tc>
        <w:tc>
          <w:tcPr>
            <w:tcW w:w="6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173,000</w:t>
            </w:r>
          </w:p>
        </w:tc>
      </w:tr>
      <w:tr>
        <w:trPr>
          <w:trHeight w:val="176"/>
        </w:trPr>
        <w:tc>
          <w:tcPr>
            <w:tcW w:w="5360" w:type="dxa"/>
            <w:vAlign w:val="bottom"/>
          </w:tcPr>
          <w:p>
            <w:pPr>
              <w:ind w:left="20"/>
              <w:spacing w:after="0"/>
              <w:rPr>
                <w:sz w:val="20"/>
                <w:szCs w:val="20"/>
                <w:color w:val="auto"/>
              </w:rPr>
            </w:pPr>
            <w:r>
              <w:rPr>
                <w:rFonts w:ascii="Arial" w:cs="Arial" w:eastAsia="Arial" w:hAnsi="Arial"/>
                <w:sz w:val="13"/>
                <w:szCs w:val="13"/>
                <w:color w:val="auto"/>
              </w:rPr>
              <w:t>Subscriber revenue (in millions)</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62.7</w:t>
            </w:r>
          </w:p>
        </w:tc>
        <w:tc>
          <w:tcPr>
            <w:tcW w:w="980" w:type="dxa"/>
            <w:vAlign w:val="bottom"/>
          </w:tcPr>
          <w:p>
            <w:pPr>
              <w:jc w:val="right"/>
              <w:ind w:right="7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126.6</w:t>
            </w:r>
          </w:p>
        </w:tc>
        <w:tc>
          <w:tcPr>
            <w:tcW w:w="6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115.8</w:t>
            </w:r>
          </w:p>
        </w:tc>
      </w:tr>
      <w:tr>
        <w:trPr>
          <w:trHeight w:val="26"/>
        </w:trPr>
        <w:tc>
          <w:tcPr>
            <w:tcW w:w="5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74"/>
        </w:trPr>
        <w:tc>
          <w:tcPr>
            <w:tcW w:w="53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76"/>
        </w:trPr>
        <w:tc>
          <w:tcPr>
            <w:tcW w:w="5360" w:type="dxa"/>
            <w:vAlign w:val="bottom"/>
          </w:tcPr>
          <w:p>
            <w:pPr>
              <w:ind w:left="20"/>
              <w:spacing w:after="0"/>
              <w:rPr>
                <w:sz w:val="20"/>
                <w:szCs w:val="20"/>
                <w:color w:val="auto"/>
              </w:rPr>
            </w:pPr>
            <w:r>
              <w:rPr>
                <w:rFonts w:ascii="Arial" w:cs="Arial" w:eastAsia="Arial" w:hAnsi="Arial"/>
                <w:sz w:val="13"/>
                <w:szCs w:val="13"/>
                <w:color w:val="auto"/>
              </w:rPr>
              <w:t>Average revenue per customer (trailing twelve months)</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326</w:t>
            </w:r>
          </w:p>
        </w:tc>
        <w:tc>
          <w:tcPr>
            <w:tcW w:w="980" w:type="dxa"/>
            <w:vAlign w:val="bottom"/>
          </w:tcPr>
          <w:p>
            <w:pPr>
              <w:jc w:val="right"/>
              <w:ind w:right="7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326</w:t>
            </w:r>
          </w:p>
        </w:tc>
        <w:tc>
          <w:tcPr>
            <w:tcW w:w="6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325</w:t>
            </w:r>
          </w:p>
        </w:tc>
      </w:tr>
      <w:tr>
        <w:trPr>
          <w:trHeight w:val="26"/>
        </w:trPr>
        <w:tc>
          <w:tcPr>
            <w:tcW w:w="5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Paid downloads (in millions)</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44.0</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90.8</w:t>
            </w:r>
          </w:p>
        </w:tc>
        <w:tc>
          <w:tcPr>
            <w:tcW w:w="6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93.8</w:t>
            </w:r>
          </w:p>
        </w:tc>
      </w:tr>
      <w:tr>
        <w:trPr>
          <w:trHeight w:val="176"/>
        </w:trPr>
        <w:tc>
          <w:tcPr>
            <w:tcW w:w="5360" w:type="dxa"/>
            <w:vAlign w:val="bottom"/>
          </w:tcPr>
          <w:p>
            <w:pPr>
              <w:ind w:left="20"/>
              <w:spacing w:after="0"/>
              <w:rPr>
                <w:sz w:val="20"/>
                <w:szCs w:val="20"/>
                <w:color w:val="auto"/>
              </w:rPr>
            </w:pPr>
            <w:r>
              <w:rPr>
                <w:rFonts w:ascii="Arial" w:cs="Arial" w:eastAsia="Arial" w:hAnsi="Arial"/>
                <w:sz w:val="13"/>
                <w:szCs w:val="13"/>
                <w:color w:val="auto"/>
              </w:rPr>
              <w:t>Revenue per download</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3.61</w:t>
            </w:r>
          </w:p>
        </w:tc>
        <w:tc>
          <w:tcPr>
            <w:tcW w:w="980" w:type="dxa"/>
            <w:vAlign w:val="bottom"/>
          </w:tcPr>
          <w:p>
            <w:pPr>
              <w:jc w:val="right"/>
              <w:ind w:right="7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3.51</w:t>
            </w:r>
          </w:p>
        </w:tc>
        <w:tc>
          <w:tcPr>
            <w:tcW w:w="6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3.43</w:t>
            </w:r>
          </w:p>
        </w:tc>
      </w:tr>
      <w:tr>
        <w:trPr>
          <w:trHeight w:val="26"/>
        </w:trPr>
        <w:tc>
          <w:tcPr>
            <w:tcW w:w="5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Content in our collection (end of period, in millions):</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ind w:left="100"/>
              <w:spacing w:after="0"/>
              <w:rPr>
                <w:sz w:val="20"/>
                <w:szCs w:val="20"/>
                <w:color w:val="auto"/>
              </w:rPr>
            </w:pPr>
            <w:r>
              <w:rPr>
                <w:rFonts w:ascii="Arial" w:cs="Arial" w:eastAsia="Arial" w:hAnsi="Arial"/>
                <w:sz w:val="13"/>
                <w:szCs w:val="13"/>
                <w:color w:val="auto"/>
              </w:rPr>
              <w:t>Images</w:t>
            </w:r>
          </w:p>
        </w:tc>
        <w:tc>
          <w:tcPr>
            <w:tcW w:w="84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340</w:t>
            </w:r>
          </w:p>
        </w:tc>
        <w:tc>
          <w:tcPr>
            <w:tcW w:w="9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340</w:t>
            </w:r>
          </w:p>
        </w:tc>
        <w:tc>
          <w:tcPr>
            <w:tcW w:w="68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280</w:t>
            </w:r>
          </w:p>
        </w:tc>
      </w:tr>
      <w:tr>
        <w:trPr>
          <w:trHeight w:val="26"/>
        </w:trPr>
        <w:tc>
          <w:tcPr>
            <w:tcW w:w="5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5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Footage clips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w:t>
            </w: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w:t>
            </w:r>
          </w:p>
        </w:tc>
      </w:tr>
      <w:tr>
        <w:trPr>
          <w:trHeight w:val="26"/>
        </w:trPr>
        <w:tc>
          <w:tcPr>
            <w:tcW w:w="5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w:t>
      </w:r>
    </w:p>
    <w:p>
      <w:pPr>
        <w:spacing w:after="0" w:line="94"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 Revenue</w:t>
      </w:r>
    </w:p>
    <w:p>
      <w:pPr>
        <w:spacing w:after="0" w:line="94"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Average Revenue Per Customer</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Average revenue per customer is calculated by dividing total revenue for the trailing twelve month period by customers. We define customers as total active, paying customers that contributed to total revenue over the trailing twelve month period. Changes in our average revenue per customer will be driven by changes in the mix of our subscription-based products and the pricing in our transactional business.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Paid Downloads</w:t>
      </w:r>
    </w:p>
    <w:p>
      <w:pPr>
        <w:spacing w:after="0" w:line="94"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per Download</w:t>
      </w:r>
    </w:p>
    <w:p>
      <w:pPr>
        <w:spacing w:after="0" w:line="94"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the customer utilization of our products.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Content in our Collection</w:t>
      </w:r>
    </w:p>
    <w:p>
      <w:pPr>
        <w:spacing w:after="0" w:line="9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29"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for our subscription-based products, equity-based compensation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71"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We believe that the policies, assumptions and estimates associated with our revenue recognition, allowance for doubtful accounts, equity-based compensation and accounting for income taxes have the greatest potential impact on our financial statements. Therefore, we consider these to be our 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A description of our critical accounting policies that involve significant management judgments appears in our Annual Report on Form 10-K for the fiscal year ended December 31, 2019 that was filed with the SEC on February 13, 2020 (our “2019 Form 10-K”), under “Management’s Discussion and Analysis of Financial Condition and Results of Operations—Critical Accounting Policies and Estimates.”</w:t>
      </w:r>
    </w:p>
    <w:p>
      <w:pPr>
        <w:spacing w:after="0" w:line="5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2019 Form 10-K.</w:t>
      </w:r>
    </w:p>
    <w:p>
      <w:pPr>
        <w:spacing w:after="0" w:line="200" w:lineRule="exact"/>
        <w:rPr>
          <w:sz w:val="20"/>
          <w:szCs w:val="20"/>
          <w:color w:val="auto"/>
        </w:rPr>
      </w:pPr>
    </w:p>
    <w:p>
      <w:pPr>
        <w:spacing w:after="0" w:line="31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22" w:name="page23"/>
    <w:bookmarkEnd w:id="22"/>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Components of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distribute our content offerings through two primary channels:</w:t>
      </w:r>
    </w:p>
    <w:p>
      <w:pPr>
        <w:spacing w:after="0" w:line="94" w:lineRule="exact"/>
        <w:rPr>
          <w:sz w:val="20"/>
          <w:szCs w:val="20"/>
          <w:color w:val="auto"/>
        </w:rPr>
      </w:pPr>
    </w:p>
    <w:p>
      <w:pPr>
        <w:jc w:val="both"/>
        <w:ind w:right="180" w:firstLine="318"/>
        <w:spacing w:after="0" w:line="331" w:lineRule="auto"/>
        <w:rPr>
          <w:sz w:val="20"/>
          <w:szCs w:val="20"/>
          <w:color w:val="auto"/>
        </w:rPr>
      </w:pPr>
      <w:r>
        <w:rPr>
          <w:rFonts w:ascii="Arial" w:cs="Arial" w:eastAsia="Arial" w:hAnsi="Arial"/>
          <w:sz w:val="12"/>
          <w:szCs w:val="12"/>
          <w:i w:val="1"/>
          <w:iCs w:val="1"/>
          <w:color w:val="auto"/>
        </w:rPr>
        <w:t xml:space="preserve">E-commerce: </w:t>
      </w:r>
      <w:r>
        <w:rPr>
          <w:rFonts w:ascii="Arial" w:cs="Arial" w:eastAsia="Arial" w:hAnsi="Arial"/>
          <w:sz w:val="12"/>
          <w:szCs w:val="12"/>
          <w:color w:val="auto"/>
        </w:rPr>
        <w:t>The majority of our customers license content directly through our self-service web properties. E-commerce customers have the flexibility to purchase a subscription-based plan</w:t>
      </w:r>
      <w:r>
        <w:rPr>
          <w:rFonts w:ascii="Arial" w:cs="Arial" w:eastAsia="Arial" w:hAnsi="Arial"/>
          <w:sz w:val="12"/>
          <w:szCs w:val="12"/>
          <w:i w:val="1"/>
          <w:iCs w:val="1"/>
          <w:color w:val="auto"/>
        </w:rPr>
        <w:t xml:space="preserve"> </w:t>
      </w:r>
      <w:r>
        <w:rPr>
          <w:rFonts w:ascii="Arial" w:cs="Arial" w:eastAsia="Arial" w:hAnsi="Arial"/>
          <w:sz w:val="12"/>
          <w:szCs w:val="12"/>
          <w:color w:val="auto"/>
        </w:rPr>
        <w:t>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23"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i w:val="1"/>
          <w:iCs w:val="1"/>
          <w:color w:val="auto"/>
        </w:rPr>
        <w:t xml:space="preserve">Enterprise: </w:t>
      </w:r>
      <w:r>
        <w:rPr>
          <w:rFonts w:ascii="Arial" w:cs="Arial" w:eastAsia="Arial" w:hAnsi="Arial"/>
          <w:sz w:val="13"/>
          <w:szCs w:val="13"/>
          <w:color w:val="auto"/>
        </w:rPr>
        <w:t>We also have a base of customers with unique content, licensing and workflow needs. These customers benefit from communication with our dedicated sales professionals,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revenues by distribution channel for the three and six months ended June 30, 2020 and 2019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Six Months Ended</w:t>
            </w:r>
          </w:p>
        </w:tc>
        <w:tc>
          <w:tcPr>
            <w:tcW w:w="780" w:type="dxa"/>
            <w:vAlign w:val="bottom"/>
          </w:tcPr>
          <w:p>
            <w:pPr>
              <w:spacing w:after="0"/>
              <w:rPr>
                <w:sz w:val="10"/>
                <w:szCs w:val="10"/>
                <w:color w:val="auto"/>
              </w:rPr>
            </w:pPr>
          </w:p>
        </w:tc>
      </w:tr>
      <w:tr>
        <w:trPr>
          <w:trHeight w:val="151"/>
        </w:trPr>
        <w:tc>
          <w:tcPr>
            <w:tcW w:w="6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w w:val="86"/>
              </w:rPr>
              <w:t>June 30,</w:t>
            </w:r>
          </w:p>
        </w:tc>
        <w:tc>
          <w:tcPr>
            <w:tcW w:w="780" w:type="dxa"/>
            <w:vAlign w:val="bottom"/>
            <w:tcBorders>
              <w:bottom w:val="single" w:sz="8" w:color="auto"/>
            </w:tcBorders>
          </w:tcPr>
          <w:p>
            <w:pPr>
              <w:spacing w:after="0"/>
              <w:rPr>
                <w:sz w:val="13"/>
                <w:szCs w:val="13"/>
                <w:color w:val="auto"/>
              </w:rPr>
            </w:pPr>
          </w:p>
        </w:tc>
      </w:tr>
      <w:tr>
        <w:trPr>
          <w:trHeight w:val="150"/>
        </w:trPr>
        <w:tc>
          <w:tcPr>
            <w:tcW w:w="60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2019</w:t>
            </w:r>
          </w:p>
        </w:tc>
      </w:tr>
      <w:tr>
        <w:trPr>
          <w:trHeight w:val="17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E-commerce</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3"/>
                <w:szCs w:val="13"/>
                <w:color w:val="auto"/>
              </w:rPr>
              <w:t>98,164</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96,993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197,900</w:t>
            </w: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195,106</w:t>
            </w:r>
          </w:p>
        </w:tc>
      </w:tr>
      <w:tr>
        <w:trPr>
          <w:trHeight w:val="176"/>
        </w:trPr>
        <w:tc>
          <w:tcPr>
            <w:tcW w:w="6060" w:type="dxa"/>
            <w:vAlign w:val="bottom"/>
          </w:tcPr>
          <w:p>
            <w:pPr>
              <w:ind w:left="20"/>
              <w:spacing w:after="0"/>
              <w:rPr>
                <w:sz w:val="20"/>
                <w:szCs w:val="20"/>
                <w:color w:val="auto"/>
              </w:rPr>
            </w:pPr>
            <w:r>
              <w:rPr>
                <w:rFonts w:ascii="Arial" w:cs="Arial" w:eastAsia="Arial" w:hAnsi="Arial"/>
                <w:sz w:val="13"/>
                <w:szCs w:val="13"/>
                <w:color w:val="auto"/>
              </w:rPr>
              <w:t>Enterprise</w:t>
            </w:r>
          </w:p>
        </w:tc>
        <w:tc>
          <w:tcPr>
            <w:tcW w:w="30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3"/>
                <w:szCs w:val="13"/>
                <w:color w:val="auto"/>
              </w:rPr>
              <w:t>61,066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64,748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122,615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129,967</w:t>
            </w:r>
          </w:p>
        </w:tc>
      </w:tr>
      <w:tr>
        <w:trPr>
          <w:trHeight w:val="26"/>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0"/>
        </w:trPr>
        <w:tc>
          <w:tcPr>
            <w:tcW w:w="6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Revenues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159,230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161,741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320,515</w:t>
            </w: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325,073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25"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Cost of revenue consists of royalties paid to contributors, credit card processing fees, content review costs, customer service expenses, infrastructure and hosting costs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82" w:lineRule="exact"/>
        <w:rPr>
          <w:sz w:val="20"/>
          <w:szCs w:val="20"/>
          <w:color w:val="auto"/>
        </w:rPr>
      </w:pPr>
    </w:p>
    <w:p>
      <w:pPr>
        <w:ind w:right="540" w:firstLine="318"/>
        <w:spacing w:after="0" w:line="368"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expenses include third-party marketing, advertising, branding, public relations and sales expenses. Sales and marketing expenses also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associated employee compensation, including non-cash equity-based compensation, bonuses and benefits, and commissions as well as allocated facility and other supporting overhead costs.</w:t>
      </w:r>
    </w:p>
    <w:p>
      <w:pPr>
        <w:spacing w:after="0" w:line="33" w:lineRule="exact"/>
        <w:rPr>
          <w:sz w:val="20"/>
          <w:szCs w:val="20"/>
          <w:color w:val="auto"/>
        </w:rPr>
      </w:pPr>
    </w:p>
    <w:p>
      <w:pPr>
        <w:ind w:right="60" w:firstLine="318"/>
        <w:spacing w:after="0" w:line="368" w:lineRule="auto"/>
        <w:rPr>
          <w:sz w:val="20"/>
          <w:szCs w:val="20"/>
          <w:color w:val="auto"/>
        </w:rPr>
      </w:pPr>
      <w:r>
        <w:rPr>
          <w:rFonts w:ascii="Arial" w:cs="Arial" w:eastAsia="Arial" w:hAnsi="Arial"/>
          <w:sz w:val="12"/>
          <w:szCs w:val="12"/>
          <w:i w:val="1"/>
          <w:iCs w:val="1"/>
          <w:color w:val="auto"/>
        </w:rPr>
        <w:t xml:space="preserve">Product Development. </w:t>
      </w:r>
      <w:r>
        <w:rPr>
          <w:rFonts w:ascii="Arial" w:cs="Arial" w:eastAsia="Arial" w:hAnsi="Arial"/>
          <w:sz w:val="12"/>
          <w:szCs w:val="12"/>
          <w:color w:val="auto"/>
        </w:rPr>
        <w:t>Product development expenses consist of employee compensation, including non-cash equity-based compensation, bonuses and benefits, and expenses related to vendors</w:t>
      </w:r>
      <w:r>
        <w:rPr>
          <w:rFonts w:ascii="Arial" w:cs="Arial" w:eastAsia="Arial" w:hAnsi="Arial"/>
          <w:sz w:val="12"/>
          <w:szCs w:val="12"/>
          <w:i w:val="1"/>
          <w:iCs w:val="1"/>
          <w:color w:val="auto"/>
        </w:rPr>
        <w:t xml:space="preserve"> </w:t>
      </w:r>
      <w:r>
        <w:rPr>
          <w:rFonts w:ascii="Arial" w:cs="Arial" w:eastAsia="Arial" w:hAnsi="Arial"/>
          <w:sz w:val="12"/>
          <w:szCs w:val="12"/>
          <w:color w:val="auto"/>
        </w:rPr>
        <w:t>engaged in product management, design, development and testing of our websites and products. Product development costs also include allocated facility and other supporting overhead costs.</w:t>
      </w:r>
    </w:p>
    <w:p>
      <w:pPr>
        <w:spacing w:after="0" w:line="33" w:lineRule="exact"/>
        <w:rPr>
          <w:sz w:val="20"/>
          <w:szCs w:val="20"/>
          <w:color w:val="auto"/>
        </w:rPr>
      </w:pPr>
    </w:p>
    <w:p>
      <w:pPr>
        <w:ind w:right="100" w:firstLine="318"/>
        <w:spacing w:after="0" w:line="297"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employee compensation, including non-cash equity-based compensation, bonuses and benefits for executive, finance,</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Other Income, Net. </w:t>
      </w:r>
      <w:r>
        <w:rPr>
          <w:rFonts w:ascii="Arial" w:cs="Arial" w:eastAsia="Arial" w:hAnsi="Arial"/>
          <w:sz w:val="14"/>
          <w:szCs w:val="14"/>
          <w:color w:val="auto"/>
        </w:rPr>
        <w:t>Other income, net consists of non-operating costs such as foreign currency transaction gains and losses in addition to interest income.</w:t>
      </w:r>
    </w:p>
    <w:p>
      <w:pPr>
        <w:spacing w:after="0" w:line="125"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We compute income taxes using the asset and liability method, under which deferred tax assets and liabilities are determined based on the difference between the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our results of operations for the periods indicated. The period-to-period comparisons of results are not necessarily indicative of results for future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3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r>
      <w:tr>
        <w:trPr>
          <w:trHeight w:val="150"/>
        </w:trPr>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Operations: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Revenue</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159,230</w:t>
            </w:r>
          </w:p>
        </w:tc>
        <w:tc>
          <w:tcPr>
            <w:tcW w:w="100" w:type="dxa"/>
            <w:vAlign w:val="bottom"/>
          </w:tcPr>
          <w:p>
            <w:pPr>
              <w:spacing w:after="0"/>
              <w:rPr>
                <w:sz w:val="15"/>
                <w:szCs w:val="15"/>
                <w:color w:val="auto"/>
              </w:rPr>
            </w:pPr>
          </w:p>
        </w:tc>
        <w:tc>
          <w:tcPr>
            <w:tcW w:w="840" w:type="dxa"/>
            <w:vAlign w:val="bottom"/>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w w:val="89"/>
              </w:rPr>
              <w:t>161,741</w:t>
            </w:r>
          </w:p>
        </w:tc>
        <w:tc>
          <w:tcPr>
            <w:tcW w:w="10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320,515</w:t>
            </w:r>
          </w:p>
        </w:tc>
        <w:tc>
          <w:tcPr>
            <w:tcW w:w="100" w:type="dxa"/>
            <w:vAlign w:val="bottom"/>
          </w:tcPr>
          <w:p>
            <w:pPr>
              <w:spacing w:after="0"/>
              <w:rPr>
                <w:sz w:val="15"/>
                <w:szCs w:val="15"/>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325,073</w:t>
            </w:r>
          </w:p>
        </w:tc>
      </w:tr>
      <w:tr>
        <w:trPr>
          <w:trHeight w:val="26"/>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2"/>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Operating expenses:</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530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63,811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68,526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132,934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137,744</w:t>
            </w:r>
          </w:p>
        </w:tc>
      </w:tr>
      <w:tr>
        <w:trPr>
          <w:trHeight w:val="26"/>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2"/>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Sales and marketing</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35,557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44,488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78,217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88,934</w:t>
            </w:r>
          </w:p>
        </w:tc>
      </w:tr>
      <w:tr>
        <w:trPr>
          <w:trHeight w:val="176"/>
        </w:trPr>
        <w:tc>
          <w:tcPr>
            <w:tcW w:w="5300" w:type="dxa"/>
            <w:vAlign w:val="bottom"/>
          </w:tcPr>
          <w:p>
            <w:pPr>
              <w:ind w:left="260"/>
              <w:spacing w:after="0"/>
              <w:rPr>
                <w:sz w:val="20"/>
                <w:szCs w:val="20"/>
                <w:color w:val="auto"/>
              </w:rPr>
            </w:pPr>
            <w:r>
              <w:rPr>
                <w:rFonts w:ascii="Arial" w:cs="Arial" w:eastAsia="Arial" w:hAnsi="Arial"/>
                <w:sz w:val="13"/>
                <w:szCs w:val="13"/>
                <w:color w:val="auto"/>
              </w:rPr>
              <w:t>Product development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12,485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13,594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25,554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28,580</w:t>
            </w:r>
          </w:p>
        </w:tc>
      </w:tr>
      <w:tr>
        <w:trPr>
          <w:trHeight w:val="26"/>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2"/>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24,832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32,063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55,484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58,646</w:t>
            </w:r>
          </w:p>
        </w:tc>
      </w:tr>
      <w:tr>
        <w:trPr>
          <w:trHeight w:val="167"/>
        </w:trPr>
        <w:tc>
          <w:tcPr>
            <w:tcW w:w="5300" w:type="dxa"/>
            <w:vAlign w:val="bottom"/>
          </w:tcPr>
          <w:p>
            <w:pPr>
              <w:ind w:left="420"/>
              <w:spacing w:after="0"/>
              <w:rPr>
                <w:sz w:val="20"/>
                <w:szCs w:val="20"/>
                <w:color w:val="auto"/>
              </w:rPr>
            </w:pPr>
            <w:r>
              <w:rPr>
                <w:rFonts w:ascii="Arial" w:cs="Arial" w:eastAsia="Arial" w:hAnsi="Arial"/>
                <w:sz w:val="13"/>
                <w:szCs w:val="13"/>
                <w:color w:val="auto"/>
              </w:rPr>
              <w:t>Total operating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9"/>
              </w:rPr>
              <w:t>136,685</w:t>
            </w: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9"/>
              </w:rPr>
              <w:t>158,671</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292,189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313,904</w:t>
            </w:r>
          </w:p>
        </w:tc>
      </w:tr>
      <w:tr>
        <w:trPr>
          <w:trHeight w:val="26"/>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2"/>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from operations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22,545</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3,070</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28,326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11,169</w:t>
            </w: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Other income, net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1,480</w:t>
            </w:r>
          </w:p>
        </w:tc>
      </w:tr>
      <w:tr>
        <w:trPr>
          <w:trHeight w:val="26"/>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2"/>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22,694</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3,654</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28,988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12,649</w:t>
            </w: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Provision for income taxes</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3,707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5,683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1,828</w:t>
            </w:r>
          </w:p>
        </w:tc>
      </w:tr>
      <w:tr>
        <w:trPr>
          <w:trHeight w:val="26"/>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84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18,987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3,299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23,305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10,821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components of our results of operations for the periods indicated as a percentage of 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5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1"/>
                <w:szCs w:val="11"/>
                <w:b w:val="1"/>
                <w:bCs w:val="1"/>
                <w:color w:val="auto"/>
              </w:rPr>
              <w:t>Three Months Ended June 30,</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1"/>
                <w:szCs w:val="11"/>
                <w:b w:val="1"/>
                <w:bCs w:val="1"/>
                <w:color w:val="auto"/>
              </w:rPr>
              <w:t>Six Months Ended June 30,</w:t>
            </w:r>
          </w:p>
        </w:tc>
        <w:tc>
          <w:tcPr>
            <w:tcW w:w="140" w:type="dxa"/>
            <w:vAlign w:val="bottom"/>
            <w:tcBorders>
              <w:bottom w:val="single" w:sz="8" w:color="auto"/>
            </w:tcBorders>
          </w:tcPr>
          <w:p>
            <w:pPr>
              <w:spacing w:after="0"/>
              <w:rPr>
                <w:sz w:val="13"/>
                <w:szCs w:val="13"/>
                <w:color w:val="auto"/>
              </w:rPr>
            </w:pPr>
          </w:p>
        </w:tc>
      </w:tr>
      <w:tr>
        <w:trPr>
          <w:trHeight w:val="150"/>
        </w:trPr>
        <w:tc>
          <w:tcPr>
            <w:tcW w:w="6180" w:type="dxa"/>
            <w:vAlign w:val="bottom"/>
            <w:gridSpan w:val="2"/>
          </w:tcPr>
          <w:p>
            <w:pPr>
              <w:ind w:left="5840"/>
              <w:spacing w:after="0"/>
              <w:rPr>
                <w:sz w:val="20"/>
                <w:szCs w:val="20"/>
                <w:color w:val="auto"/>
              </w:rPr>
            </w:pPr>
            <w:r>
              <w:rPr>
                <w:rFonts w:ascii="Arial" w:cs="Arial" w:eastAsia="Arial" w:hAnsi="Arial"/>
                <w:sz w:val="11"/>
                <w:szCs w:val="11"/>
                <w:b w:val="1"/>
                <w:bCs w:val="1"/>
                <w:color w:val="auto"/>
              </w:rPr>
              <w:t>2020</w:t>
            </w:r>
          </w:p>
        </w:tc>
        <w:tc>
          <w:tcPr>
            <w:tcW w:w="340" w:type="dxa"/>
            <w:vAlign w:val="bottom"/>
          </w:tcPr>
          <w:p>
            <w:pPr>
              <w:spacing w:after="0"/>
              <w:rPr>
                <w:sz w:val="13"/>
                <w:szCs w:val="13"/>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97"/>
              <w:spacing w:after="0"/>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97"/>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3"/>
                <w:szCs w:val="13"/>
                <w:color w:val="auto"/>
              </w:rPr>
            </w:pPr>
          </w:p>
        </w:tc>
      </w:tr>
      <w:tr>
        <w:trPr>
          <w:trHeight w:val="16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Operations:</w:t>
            </w: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76"/>
        </w:trPr>
        <w:tc>
          <w:tcPr>
            <w:tcW w:w="6180" w:type="dxa"/>
            <w:vAlign w:val="bottom"/>
            <w:gridSpan w:val="2"/>
          </w:tcPr>
          <w:p>
            <w:pPr>
              <w:ind w:left="100"/>
              <w:spacing w:after="0"/>
              <w:rPr>
                <w:sz w:val="20"/>
                <w:szCs w:val="20"/>
                <w:color w:val="auto"/>
              </w:rPr>
            </w:pPr>
            <w:r>
              <w:rPr>
                <w:rFonts w:ascii="Arial" w:cs="Arial" w:eastAsia="Arial" w:hAnsi="Arial"/>
                <w:sz w:val="13"/>
                <w:szCs w:val="13"/>
                <w:color w:val="auto"/>
              </w:rPr>
              <w:t>Revenue</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100 %</w:t>
            </w: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6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Operating expenses:</w:t>
            </w: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6180" w:type="dxa"/>
            <w:vAlign w:val="bottom"/>
            <w:gridSpan w:val="2"/>
          </w:tcPr>
          <w:p>
            <w:pPr>
              <w:ind w:left="260"/>
              <w:spacing w:after="0"/>
              <w:rPr>
                <w:sz w:val="20"/>
                <w:szCs w:val="20"/>
                <w:color w:val="auto"/>
              </w:rPr>
            </w:pPr>
            <w:r>
              <w:rPr>
                <w:rFonts w:ascii="Arial" w:cs="Arial" w:eastAsia="Arial" w:hAnsi="Arial"/>
                <w:sz w:val="13"/>
                <w:szCs w:val="13"/>
                <w:color w:val="auto"/>
              </w:rPr>
              <w:t>Cost of revenue</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40 %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41 %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42 %</w:t>
            </w: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6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Sales and marketing</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76"/>
        </w:trPr>
        <w:tc>
          <w:tcPr>
            <w:tcW w:w="6180" w:type="dxa"/>
            <w:vAlign w:val="bottom"/>
            <w:gridSpan w:val="2"/>
          </w:tcPr>
          <w:p>
            <w:pPr>
              <w:ind w:left="260"/>
              <w:spacing w:after="0"/>
              <w:rPr>
                <w:sz w:val="20"/>
                <w:szCs w:val="20"/>
                <w:color w:val="auto"/>
              </w:rPr>
            </w:pPr>
            <w:r>
              <w:rPr>
                <w:rFonts w:ascii="Arial" w:cs="Arial" w:eastAsia="Arial" w:hAnsi="Arial"/>
                <w:sz w:val="13"/>
                <w:szCs w:val="13"/>
                <w:color w:val="auto"/>
              </w:rPr>
              <w:t>Product development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9 %</w:t>
            </w: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2"/>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67"/>
        </w:trPr>
        <w:tc>
          <w:tcPr>
            <w:tcW w:w="5220" w:type="dxa"/>
            <w:vAlign w:val="bottom"/>
          </w:tcPr>
          <w:p>
            <w:pPr>
              <w:ind w:left="42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w:t>
            </w: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72"/>
        </w:trPr>
        <w:tc>
          <w:tcPr>
            <w:tcW w:w="6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Income from operations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76"/>
        </w:trPr>
        <w:tc>
          <w:tcPr>
            <w:tcW w:w="6180" w:type="dxa"/>
            <w:vAlign w:val="bottom"/>
            <w:gridSpan w:val="2"/>
          </w:tcPr>
          <w:p>
            <w:pPr>
              <w:ind w:left="100"/>
              <w:spacing w:after="0"/>
              <w:rPr>
                <w:sz w:val="20"/>
                <w:szCs w:val="20"/>
                <w:color w:val="auto"/>
              </w:rPr>
            </w:pPr>
            <w:r>
              <w:rPr>
                <w:rFonts w:ascii="Arial" w:cs="Arial" w:eastAsia="Arial" w:hAnsi="Arial"/>
                <w:sz w:val="13"/>
                <w:szCs w:val="13"/>
                <w:color w:val="auto"/>
              </w:rPr>
              <w:t>Other income, net</w:t>
            </w:r>
          </w:p>
        </w:tc>
        <w:tc>
          <w:tcPr>
            <w:tcW w:w="1540" w:type="dxa"/>
            <w:vAlign w:val="bottom"/>
            <w:gridSpan w:val="4"/>
          </w:tcPr>
          <w:p>
            <w:pPr>
              <w:jc w:val="right"/>
              <w:ind w:right="1060"/>
              <w:spacing w:after="0"/>
              <w:rPr>
                <w:sz w:val="20"/>
                <w:szCs w:val="20"/>
                <w:color w:val="auto"/>
              </w:rPr>
            </w:pPr>
            <w:r>
              <w:rPr>
                <w:rFonts w:ascii="Arial" w:cs="Arial" w:eastAsia="Arial" w:hAnsi="Arial"/>
                <w:sz w:val="13"/>
                <w:szCs w:val="13"/>
                <w:color w:val="auto"/>
              </w:rPr>
              <w:t>— %</w:t>
            </w: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 %</w:t>
            </w:r>
          </w:p>
        </w:tc>
        <w:tc>
          <w:tcPr>
            <w:tcW w:w="1540" w:type="dxa"/>
            <w:vAlign w:val="bottom"/>
            <w:gridSpan w:val="3"/>
          </w:tcPr>
          <w:p>
            <w:pPr>
              <w:jc w:val="right"/>
              <w:ind w:right="100"/>
              <w:spacing w:after="0"/>
              <w:rPr>
                <w:sz w:val="20"/>
                <w:szCs w:val="20"/>
                <w:color w:val="auto"/>
              </w:rPr>
            </w:pPr>
            <w:r>
              <w:rPr>
                <w:rFonts w:ascii="Arial" w:cs="Arial" w:eastAsia="Arial" w:hAnsi="Arial"/>
                <w:sz w:val="13"/>
                <w:szCs w:val="13"/>
                <w:color w:val="auto"/>
              </w:rPr>
              <w:t>— %</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72"/>
        </w:trPr>
        <w:tc>
          <w:tcPr>
            <w:tcW w:w="6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76"/>
        </w:trPr>
        <w:tc>
          <w:tcPr>
            <w:tcW w:w="6180" w:type="dxa"/>
            <w:vAlign w:val="bottom"/>
            <w:gridSpan w:val="2"/>
          </w:tcPr>
          <w:p>
            <w:pPr>
              <w:ind w:left="100"/>
              <w:spacing w:after="0"/>
              <w:rPr>
                <w:sz w:val="20"/>
                <w:szCs w:val="20"/>
                <w:color w:val="auto"/>
              </w:rPr>
            </w:pPr>
            <w:r>
              <w:rPr>
                <w:rFonts w:ascii="Arial" w:cs="Arial" w:eastAsia="Arial" w:hAnsi="Arial"/>
                <w:sz w:val="13"/>
                <w:szCs w:val="13"/>
                <w:color w:val="auto"/>
              </w:rPr>
              <w:t>Provision for income taxes</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17"/>
        </w:trPr>
        <w:tc>
          <w:tcPr>
            <w:tcW w:w="6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Note: Due to rounding, percentages may not sum to totals.</w:t>
      </w: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Three Months Ended June 30, 2020 and 2019</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our results of operations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Three Months Ended June 30,</w:t>
            </w:r>
          </w:p>
        </w:tc>
        <w:tc>
          <w:tcPr>
            <w:tcW w:w="146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51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460" w:type="dxa"/>
            <w:vAlign w:val="bottom"/>
          </w:tcPr>
          <w:p>
            <w:pPr>
              <w:jc w:val="right"/>
              <w:ind w:right="417"/>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8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Operations: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76"/>
        </w:trPr>
        <w:tc>
          <w:tcPr>
            <w:tcW w:w="5260" w:type="dxa"/>
            <w:vAlign w:val="bottom"/>
          </w:tcPr>
          <w:p>
            <w:pPr>
              <w:ind w:left="100"/>
              <w:spacing w:after="0"/>
              <w:rPr>
                <w:sz w:val="20"/>
                <w:szCs w:val="20"/>
                <w:color w:val="auto"/>
              </w:rPr>
            </w:pPr>
            <w:r>
              <w:rPr>
                <w:rFonts w:ascii="Arial" w:cs="Arial" w:eastAsia="Arial" w:hAnsi="Arial"/>
                <w:sz w:val="13"/>
                <w:szCs w:val="13"/>
                <w:color w:val="auto"/>
              </w:rPr>
              <w:t>Revenue</w:t>
            </w:r>
          </w:p>
        </w:tc>
        <w:tc>
          <w:tcPr>
            <w:tcW w:w="840" w:type="dxa"/>
            <w:vAlign w:val="bottom"/>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159,230</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161,741</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(2,511)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 %</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Operating expenses:</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76"/>
        </w:trPr>
        <w:tc>
          <w:tcPr>
            <w:tcW w:w="526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63,811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68,526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(4,715)</w:t>
            </w:r>
          </w:p>
        </w:tc>
        <w:tc>
          <w:tcPr>
            <w:tcW w:w="100" w:type="dxa"/>
            <w:vAlign w:val="bottom"/>
          </w:tcPr>
          <w:p>
            <w:pPr>
              <w:spacing w:after="0"/>
              <w:rPr>
                <w:sz w:val="15"/>
                <w:szCs w:val="15"/>
                <w:color w:val="auto"/>
              </w:rPr>
            </w:pPr>
          </w:p>
        </w:tc>
        <w:tc>
          <w:tcPr>
            <w:tcW w:w="1460" w:type="dxa"/>
            <w:vAlign w:val="bottom"/>
          </w:tcPr>
          <w:p>
            <w:pPr>
              <w:jc w:val="right"/>
              <w:ind w:right="77"/>
              <w:spacing w:after="0"/>
              <w:rPr>
                <w:sz w:val="20"/>
                <w:szCs w:val="20"/>
                <w:color w:val="auto"/>
              </w:rPr>
            </w:pPr>
            <w:r>
              <w:rPr>
                <w:rFonts w:ascii="Arial" w:cs="Arial" w:eastAsia="Arial" w:hAnsi="Arial"/>
                <w:sz w:val="13"/>
                <w:szCs w:val="13"/>
                <w:color w:val="auto"/>
              </w:rPr>
              <w:t>(7)</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Sales and marketing</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35,557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44,488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(8,931)</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r>
      <w:tr>
        <w:trPr>
          <w:trHeight w:val="176"/>
        </w:trPr>
        <w:tc>
          <w:tcPr>
            <w:tcW w:w="5260" w:type="dxa"/>
            <w:vAlign w:val="bottom"/>
          </w:tcPr>
          <w:p>
            <w:pPr>
              <w:ind w:left="260"/>
              <w:spacing w:after="0"/>
              <w:rPr>
                <w:sz w:val="20"/>
                <w:szCs w:val="20"/>
                <w:color w:val="auto"/>
              </w:rPr>
            </w:pPr>
            <w:r>
              <w:rPr>
                <w:rFonts w:ascii="Arial" w:cs="Arial" w:eastAsia="Arial" w:hAnsi="Arial"/>
                <w:sz w:val="13"/>
                <w:szCs w:val="13"/>
                <w:color w:val="auto"/>
              </w:rPr>
              <w:t>Product development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12,485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13,594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15"/>
                <w:szCs w:val="15"/>
                <w:color w:val="auto"/>
              </w:rPr>
            </w:pPr>
          </w:p>
        </w:tc>
        <w:tc>
          <w:tcPr>
            <w:tcW w:w="1460" w:type="dxa"/>
            <w:vAlign w:val="bottom"/>
          </w:tcPr>
          <w:p>
            <w:pPr>
              <w:jc w:val="right"/>
              <w:ind w:right="77"/>
              <w:spacing w:after="0"/>
              <w:rPr>
                <w:sz w:val="20"/>
                <w:szCs w:val="20"/>
                <w:color w:val="auto"/>
              </w:rPr>
            </w:pPr>
            <w:r>
              <w:rPr>
                <w:rFonts w:ascii="Arial" w:cs="Arial" w:eastAsia="Arial" w:hAnsi="Arial"/>
                <w:sz w:val="13"/>
                <w:szCs w:val="13"/>
                <w:color w:val="auto"/>
              </w:rPr>
              <w:t>(8)</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24,832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32,063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(7,231)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r>
      <w:tr>
        <w:trPr>
          <w:trHeight w:val="167"/>
        </w:trPr>
        <w:tc>
          <w:tcPr>
            <w:tcW w:w="5260" w:type="dxa"/>
            <w:vAlign w:val="bottom"/>
          </w:tcPr>
          <w:p>
            <w:pPr>
              <w:ind w:left="420"/>
              <w:spacing w:after="0"/>
              <w:rPr>
                <w:sz w:val="20"/>
                <w:szCs w:val="20"/>
                <w:color w:val="auto"/>
              </w:rPr>
            </w:pPr>
            <w:r>
              <w:rPr>
                <w:rFonts w:ascii="Arial" w:cs="Arial" w:eastAsia="Arial" w:hAnsi="Arial"/>
                <w:sz w:val="13"/>
                <w:szCs w:val="13"/>
                <w:color w:val="auto"/>
              </w:rPr>
              <w:t>Total operating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9"/>
              </w:rPr>
              <w:t>136,685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158,671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(21,986)</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(14)</w:t>
            </w:r>
          </w:p>
        </w:tc>
      </w:tr>
      <w:tr>
        <w:trPr>
          <w:trHeight w:val="26"/>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from operations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22,545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3,070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19,475</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634</w:t>
            </w:r>
          </w:p>
        </w:tc>
      </w:tr>
      <w:tr>
        <w:trPr>
          <w:trHeight w:val="176"/>
        </w:trPr>
        <w:tc>
          <w:tcPr>
            <w:tcW w:w="5260" w:type="dxa"/>
            <w:vAlign w:val="bottom"/>
          </w:tcPr>
          <w:p>
            <w:pPr>
              <w:ind w:left="100"/>
              <w:spacing w:after="0"/>
              <w:rPr>
                <w:sz w:val="20"/>
                <w:szCs w:val="20"/>
                <w:color w:val="auto"/>
              </w:rPr>
            </w:pPr>
            <w:r>
              <w:rPr>
                <w:rFonts w:ascii="Arial" w:cs="Arial" w:eastAsia="Arial" w:hAnsi="Arial"/>
                <w:sz w:val="13"/>
                <w:szCs w:val="13"/>
                <w:color w:val="auto"/>
              </w:rPr>
              <w:t>Other income, net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5"/>
                <w:szCs w:val="15"/>
                <w:color w:val="auto"/>
              </w:rPr>
            </w:pPr>
          </w:p>
        </w:tc>
        <w:tc>
          <w:tcPr>
            <w:tcW w:w="1460" w:type="dxa"/>
            <w:vAlign w:val="bottom"/>
          </w:tcPr>
          <w:p>
            <w:pPr>
              <w:jc w:val="right"/>
              <w:ind w:right="77"/>
              <w:spacing w:after="0"/>
              <w:rPr>
                <w:sz w:val="20"/>
                <w:szCs w:val="20"/>
                <w:color w:val="auto"/>
              </w:rPr>
            </w:pPr>
            <w:r>
              <w:rPr>
                <w:rFonts w:ascii="Arial" w:cs="Arial" w:eastAsia="Arial" w:hAnsi="Arial"/>
                <w:sz w:val="13"/>
                <w:szCs w:val="13"/>
                <w:color w:val="auto"/>
              </w:rPr>
              <w:t>(74)</w:t>
            </w:r>
          </w:p>
        </w:tc>
      </w:tr>
      <w:tr>
        <w:trPr>
          <w:trHeight w:val="26"/>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22,694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3,654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19,040</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521</w:t>
            </w:r>
          </w:p>
        </w:tc>
      </w:tr>
      <w:tr>
        <w:trPr>
          <w:trHeight w:val="199"/>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Provision for income taxes</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3,707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3,352</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19"/>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8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18,987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3,299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15,688</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w w:val="92"/>
              </w:rPr>
              <w:t>476 %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__________________________________</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Percentage change is not meaningful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25"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Revenue decreased by $2.5 million, or 2%, to $159.2 million in the three months ended June 30, 2020 compared to the same period in 2019. On a constant currency basis, revenue decreased approximately 1%, in the three months ended June 30, 2020, compared to the same period in 2019.</w:t>
      </w:r>
    </w:p>
    <w:p>
      <w:pPr>
        <w:spacing w:after="0" w:line="69"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The Company’s E-commerce revenues increased by 1%, to $98.2 million in the three months ended June 30, 2020, compared to the same period in 2019. On a constant currency basis, the Company’s E-commerce revenues increased by 2% in the three months ended June 30, 2020, compared to the same period in 2019. During the three months ended June 30, 2020, growth in our E-commerce sales channel was driven by shifting resources to more efficient performance marketing channels.</w:t>
      </w:r>
    </w:p>
    <w:p>
      <w:pPr>
        <w:spacing w:after="0" w:line="89"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Company’s Enterprise revenues decreased by 6%, to $61.1 million in the three months ended June 30, 2020, compared to the same period in 2019. On a constant currency basis, the Company’s Enterprise revenues decreased by 5% in the three months ended June 30, 2020, compared to the same period in 2019. We continue to face headwinds in our Enterprise sales channel, and are in the midst of implementing changes to improve performance, including optimizing the sales organization, updating product offerings and making further platform investments, which we believe will improve our Enterprise sales channel operations.</w:t>
      </w:r>
    </w:p>
    <w:p>
      <w:pPr>
        <w:spacing w:after="0" w:line="93"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Revenue growth for the three months ended June 30, 2020 was also unfavorably affected by the global COVID-19 pandemic and its impact on our customers and their ability to spend marketing budgets on our products. We expect COVID-19 to continue to have an unfavorable impact on our 2020 revenues.</w:t>
      </w:r>
    </w:p>
    <w:p>
      <w:pPr>
        <w:spacing w:after="0" w:line="69"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In the three months ended June 30, 2020 and 2019, we delivered 44.0 million and 46.6 million paid downloads, respectively, and our revenue per download was $3.61 and $3.44 for the three months ended June 30, 2020 and 2019, respectively. During the three months ended June 30, 2020, the 6% decrease in the number of paid downloads compared to the same period in 2019, is due to lower customer utilization of our products. We believe that COVID-19 is a leading driver of the decline in usage during the quarter.</w:t>
      </w:r>
    </w:p>
    <w:p>
      <w:pPr>
        <w:spacing w:after="0" w:line="89" w:lineRule="exact"/>
        <w:rPr>
          <w:sz w:val="20"/>
          <w:szCs w:val="20"/>
          <w:color w:val="auto"/>
        </w:rPr>
      </w:pPr>
    </w:p>
    <w:p>
      <w:pPr>
        <w:ind w:right="80" w:firstLine="318"/>
        <w:spacing w:after="0" w:line="368" w:lineRule="auto"/>
        <w:rPr>
          <w:sz w:val="20"/>
          <w:szCs w:val="20"/>
          <w:color w:val="auto"/>
        </w:rPr>
      </w:pPr>
      <w:r>
        <w:rPr>
          <w:rFonts w:ascii="Arial" w:cs="Arial" w:eastAsia="Arial" w:hAnsi="Arial"/>
          <w:sz w:val="12"/>
          <w:szCs w:val="12"/>
          <w:color w:val="auto"/>
        </w:rPr>
        <w:t>Changes in our revenue by region were as follows: revenue from North America decreased by $1.4 million, or 3%, to $56.2 million, revenue from Europe decreased by $1.4 million, or 3%, to $52.2 million and revenue from outside Europe and North America increased by $0.4 million, or 1%, to $50.8 million, in the three months ended June 30, 2020 compared to the same period in 2019.</w:t>
      </w:r>
    </w:p>
    <w:p>
      <w:pPr>
        <w:spacing w:after="0" w:line="38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decreased by $4.7 million, or 7% to $63.8 million in the three months ended June 30, 2020 compared to the same period in 2019, due to lower royalty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content procurement costs and depreciation and amortization expense, partially offset by higher costs associated with website hosting, hardware and software licenses as well as increased credit card fees. The reduction in royalty expenses was driven by the 6% decline in paid downloads due to the impact of COVID-19 as well as a change in the way we remunerate contributors. We expect that our cost of revenue will fluctuate in line with changes in revenue and paid downloads.</w:t>
      </w:r>
    </w:p>
    <w:p>
      <w:pPr>
        <w:spacing w:after="0" w:line="61"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Sales and marketing expenses decreased by $8.9 million, or 20%, to $35.6 million in the three months ended June 30, 2020 compared to the same period in 2019.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 of revenue, sales and marketing expenses decreased to 22% for the three months ended June 30, 2020, from 28% for the same period in 2019. This decrease was primarily driven by a $9.7 million decline in marketing spend as we focused resources on more efficient customer acquisition and improved marketing return on investment. In addition, travel and related expense costs declined by $0.7 million due to travel restrictions resulting from COVID-19. These declines were partially offset by severance charges of approximately $1.5 million incurred during the three months ended June 30, 2020. We expect sales and marketing expenses to fluctuate as we optimize our sales channels and invest in new customer acquisition, products and geographies.</w:t>
      </w:r>
    </w:p>
    <w:p>
      <w:pPr>
        <w:spacing w:after="0" w:line="49"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i w:val="1"/>
          <w:iCs w:val="1"/>
          <w:color w:val="auto"/>
        </w:rPr>
        <w:t>Product Development</w:t>
      </w:r>
      <w:r>
        <w:rPr>
          <w:rFonts w:ascii="Arial" w:cs="Arial" w:eastAsia="Arial" w:hAnsi="Arial"/>
          <w:sz w:val="14"/>
          <w:szCs w:val="14"/>
          <w:color w:val="auto"/>
        </w:rPr>
        <w:t>. Product development expenses decreased by $1.1 million, or 8%, to $12.5 million in the three months ended June 30, 2020 compared to the same period in 2019. This</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was primarily driven by a reduction in software and other IT-related costs for the three months ended June 30, 2020,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1"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decreased by $7.2 million, or 23%, to $24.8 million in the three months ended June 30, 2020 compared to the same period in</w:t>
      </w:r>
      <w:r>
        <w:rPr>
          <w:rFonts w:ascii="Arial" w:cs="Arial" w:eastAsia="Arial" w:hAnsi="Arial"/>
          <w:sz w:val="14"/>
          <w:szCs w:val="14"/>
          <w:i w:val="1"/>
          <w:iCs w:val="1"/>
          <w:color w:val="auto"/>
        </w:rPr>
        <w:t xml:space="preserve"> </w:t>
      </w:r>
      <w:r>
        <w:rPr>
          <w:rFonts w:ascii="Arial" w:cs="Arial" w:eastAsia="Arial" w:hAnsi="Arial"/>
          <w:sz w:val="14"/>
          <w:szCs w:val="14"/>
          <w:color w:val="auto"/>
        </w:rPr>
        <w:t>2019. This decrease was primarily driven by: (i) lower non-cash compensation expense of $3.6 million, resulting from the Company recognizing non-cash compensation expense for the acceleration of equity awards associated with the departure of an executive officer in the three months ended June 30, 2019, three months of expense recognized in the second quarter of 2019 for certain performance-based stock awards compared to only one month of expense in the same period in 2020 since these awards became fully expensed in April 2020, and the recognition of forfeitures, reducing the non-cash compensation expense in three months ended June 30, 2020; (ii) lower depreciation and amortization expense of $2.1 million, driven by the recognition of $1.5 million of accelerated amortization expense in the second quarter of 2019 in conjunction with the Company’s re-branding of its Editorial product; (iii) lower professional and consulting fees of $1.1 million, during the three months ended June 30, 2020, compared to the same period in 2019; and (iv) a reduction in expense of $0.9 million, associated with the 2019 accrual of long-term incentives, related to our 2017 acquisition of Flashstock Technology, Inc. (“Flashstock”). These declines were partially offset by higher employee-related costs, excluding non-cash compensation, of $1.0 million and an increase in bad debt expense of $0.4 million. Employee-related costs included $0.7 million of severance expense during the three months ended June 30, 2020, compared to $2.0 million in the same period in 2019.</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Other Income, Net</w:t>
      </w:r>
      <w:r>
        <w:rPr>
          <w:rFonts w:ascii="Arial" w:cs="Arial" w:eastAsia="Arial" w:hAnsi="Arial"/>
          <w:sz w:val="14"/>
          <w:szCs w:val="14"/>
          <w:color w:val="auto"/>
        </w:rPr>
        <w:t>. In the three months ended June 30, 2020, other income substantially consisted of $0.1 million of unfavorable foreign currency fluctuations.</w:t>
      </w:r>
    </w:p>
    <w:p>
      <w:pPr>
        <w:spacing w:after="0" w:line="9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During the three months ended June 30, 2019, approximately $1.2 million of other income consisted of interest income which was partially offset by $0.6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increased by $3.4 million for the three months ended June 30, 2020 as compared to the same period in 2019. Our effective tax rates yielded a net expense of</w:t>
      </w:r>
      <w:r>
        <w:rPr>
          <w:rFonts w:ascii="Arial" w:cs="Arial" w:eastAsia="Arial" w:hAnsi="Arial"/>
          <w:sz w:val="14"/>
          <w:szCs w:val="14"/>
          <w:i w:val="1"/>
          <w:iCs w:val="1"/>
          <w:color w:val="auto"/>
        </w:rPr>
        <w:t xml:space="preserve"> </w:t>
      </w:r>
      <w:r>
        <w:rPr>
          <w:rFonts w:ascii="Arial" w:cs="Arial" w:eastAsia="Arial" w:hAnsi="Arial"/>
          <w:sz w:val="14"/>
          <w:szCs w:val="14"/>
          <w:color w:val="auto"/>
        </w:rPr>
        <w:t>16.3% and 9.7% for the three months ended June 30, 2020 and 2019, respectively.</w:t>
      </w:r>
    </w:p>
    <w:p>
      <w:pPr>
        <w:spacing w:after="0" w:line="47"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For the three months ended June 30, 2020, the net effect of discrete items decreased the effective tax rate by 0.3%. Excluding these items, our effective tax rate would have been 16.6% for the three months ended June 30, 2020. For the three months ended June 30, 2019, the net effect of discrete items decreased the effective tax rate by 3.4%.</w:t>
      </w:r>
    </w:p>
    <w:p>
      <w:pPr>
        <w:spacing w:after="0" w:line="79"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Six Months Ended June 30, 2020 and 2019</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our results of operations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Six Months Ended June 30,</w:t>
            </w:r>
          </w:p>
        </w:tc>
        <w:tc>
          <w:tcPr>
            <w:tcW w:w="146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51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460" w:type="dxa"/>
            <w:vAlign w:val="bottom"/>
          </w:tcPr>
          <w:p>
            <w:pPr>
              <w:jc w:val="right"/>
              <w:ind w:right="417"/>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8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Operations Data:</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76"/>
        </w:trPr>
        <w:tc>
          <w:tcPr>
            <w:tcW w:w="5260" w:type="dxa"/>
            <w:vAlign w:val="bottom"/>
          </w:tcPr>
          <w:p>
            <w:pPr>
              <w:ind w:left="100"/>
              <w:spacing w:after="0"/>
              <w:rPr>
                <w:sz w:val="20"/>
                <w:szCs w:val="20"/>
                <w:color w:val="auto"/>
              </w:rPr>
            </w:pPr>
            <w:r>
              <w:rPr>
                <w:rFonts w:ascii="Arial" w:cs="Arial" w:eastAsia="Arial" w:hAnsi="Arial"/>
                <w:sz w:val="13"/>
                <w:szCs w:val="13"/>
                <w:color w:val="auto"/>
              </w:rPr>
              <w:t>Revenue</w:t>
            </w:r>
          </w:p>
        </w:tc>
        <w:tc>
          <w:tcPr>
            <w:tcW w:w="840" w:type="dxa"/>
            <w:vAlign w:val="bottom"/>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320,515</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325,073</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(4,558)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Operating expenses:</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76"/>
        </w:trPr>
        <w:tc>
          <w:tcPr>
            <w:tcW w:w="526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w w:val="89"/>
              </w:rPr>
              <w:t>132,934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137,744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(4,810)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Sales and marketing</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78,217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88,934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(10,717)</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176"/>
        </w:trPr>
        <w:tc>
          <w:tcPr>
            <w:tcW w:w="5260" w:type="dxa"/>
            <w:vAlign w:val="bottom"/>
          </w:tcPr>
          <w:p>
            <w:pPr>
              <w:ind w:left="260"/>
              <w:spacing w:after="0"/>
              <w:rPr>
                <w:sz w:val="20"/>
                <w:szCs w:val="20"/>
                <w:color w:val="auto"/>
              </w:rPr>
            </w:pPr>
            <w:r>
              <w:rPr>
                <w:rFonts w:ascii="Arial" w:cs="Arial" w:eastAsia="Arial" w:hAnsi="Arial"/>
                <w:sz w:val="13"/>
                <w:szCs w:val="13"/>
                <w:color w:val="auto"/>
              </w:rPr>
              <w:t>Product development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25,554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28,580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6"/>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55,484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58,646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(3,162)</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167"/>
        </w:trPr>
        <w:tc>
          <w:tcPr>
            <w:tcW w:w="5260" w:type="dxa"/>
            <w:vAlign w:val="bottom"/>
          </w:tcPr>
          <w:p>
            <w:pPr>
              <w:ind w:left="420"/>
              <w:spacing w:after="0"/>
              <w:rPr>
                <w:sz w:val="20"/>
                <w:szCs w:val="20"/>
                <w:color w:val="auto"/>
              </w:rPr>
            </w:pPr>
            <w:r>
              <w:rPr>
                <w:rFonts w:ascii="Arial" w:cs="Arial" w:eastAsia="Arial" w:hAnsi="Arial"/>
                <w:sz w:val="13"/>
                <w:szCs w:val="13"/>
                <w:color w:val="auto"/>
              </w:rPr>
              <w:t>Total operating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9"/>
              </w:rPr>
              <w:t>292,189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313,904</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(21,715)</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 %</w:t>
            </w:r>
          </w:p>
        </w:tc>
      </w:tr>
      <w:tr>
        <w:trPr>
          <w:trHeight w:val="26"/>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from operations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28,326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11,169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17,157</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154 %</w:t>
            </w:r>
          </w:p>
        </w:tc>
      </w:tr>
      <w:tr>
        <w:trPr>
          <w:trHeight w:val="176"/>
        </w:trPr>
        <w:tc>
          <w:tcPr>
            <w:tcW w:w="5260" w:type="dxa"/>
            <w:vAlign w:val="bottom"/>
          </w:tcPr>
          <w:p>
            <w:pPr>
              <w:ind w:left="100"/>
              <w:spacing w:after="0"/>
              <w:rPr>
                <w:sz w:val="20"/>
                <w:szCs w:val="20"/>
                <w:color w:val="auto"/>
              </w:rPr>
            </w:pPr>
            <w:r>
              <w:rPr>
                <w:rFonts w:ascii="Arial" w:cs="Arial" w:eastAsia="Arial" w:hAnsi="Arial"/>
                <w:sz w:val="13"/>
                <w:szCs w:val="13"/>
                <w:color w:val="auto"/>
              </w:rPr>
              <w:t>Other income, net</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1,480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Income before income taxes</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28,988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12,649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16,339</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129 %</w:t>
            </w:r>
          </w:p>
        </w:tc>
      </w:tr>
      <w:tr>
        <w:trPr>
          <w:trHeight w:val="176"/>
        </w:trPr>
        <w:tc>
          <w:tcPr>
            <w:tcW w:w="5260" w:type="dxa"/>
            <w:vAlign w:val="bottom"/>
          </w:tcPr>
          <w:p>
            <w:pPr>
              <w:ind w:left="100"/>
              <w:spacing w:after="0"/>
              <w:rPr>
                <w:sz w:val="20"/>
                <w:szCs w:val="20"/>
                <w:color w:val="auto"/>
              </w:rPr>
            </w:pPr>
            <w:r>
              <w:rPr>
                <w:rFonts w:ascii="Arial" w:cs="Arial" w:eastAsia="Arial" w:hAnsi="Arial"/>
                <w:sz w:val="13"/>
                <w:szCs w:val="13"/>
                <w:color w:val="auto"/>
              </w:rPr>
              <w:t>Provision for income taxes</w:t>
            </w:r>
          </w:p>
        </w:tc>
        <w:tc>
          <w:tcPr>
            <w:tcW w:w="8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5,683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1,828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3,855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8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23,305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10,821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12,484</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______________________________________</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Not meaningful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4" w:lineRule="exact"/>
        <w:rPr>
          <w:sz w:val="20"/>
          <w:szCs w:val="20"/>
          <w:color w:val="auto"/>
        </w:rPr>
      </w:pPr>
    </w:p>
    <w:p>
      <w:pPr>
        <w:ind w:right="940" w:firstLine="318"/>
        <w:spacing w:after="0" w:line="281" w:lineRule="auto"/>
        <w:rPr>
          <w:sz w:val="20"/>
          <w:szCs w:val="20"/>
          <w:color w:val="auto"/>
        </w:rPr>
      </w:pPr>
      <w:r>
        <w:rPr>
          <w:rFonts w:ascii="Arial" w:cs="Arial" w:eastAsia="Arial" w:hAnsi="Arial"/>
          <w:sz w:val="14"/>
          <w:szCs w:val="14"/>
          <w:color w:val="auto"/>
        </w:rPr>
        <w:t>Revenue decreased by $4.6 million, or 1%, to $320.5 million in the six months ended June 30, 2020 compared to the same period in 2019. On a constant currency basis, revenue decreased approximately 1% in the six months ended June 30, 2020, compared to the same period in 2019.</w:t>
      </w:r>
    </w:p>
    <w:p>
      <w:pPr>
        <w:spacing w:after="0" w:line="7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Company’s E-Commerce revenues increased by 1%, to $197.9 million in the six months ended June 30, 2020, compared to the same period in 2019. On a constant currency basis, the Company’s E-commerce revenues increased 2% in the six months ended June 30, 2020, compared to the same period in 2019. During the six months ended June 30, 2020, growth in our E-commerce sales channel was driven by shifting resources to more efficient performance marketing channels.</w:t>
      </w:r>
    </w:p>
    <w:p>
      <w:pPr>
        <w:spacing w:after="0" w:line="7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Company’s Enterprise revenues decreased by 6%, to $122.6 million in the six months ended June 30, 2020, compared to the same period in 2019. On a constant currency basis, the Company’s Enterprise revenues decreased by 5% in the six months ended June 30, 2020, compared to the same period in 2019. We continue to face headwinds in our Enterprise sales channel, and are in the midst of implementing changes to improve performance, including optimizing the sales organization, updating product offerings and making further platform investments, which we believe will improve our Enterprise sales channel operations.</w:t>
      </w:r>
    </w:p>
    <w:p>
      <w:pPr>
        <w:spacing w:after="0" w:line="93"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Revenue growth for the six months ended June 30, 2020 was also unfavorably affected by the global COVID-19 pandemic and its impact on our customers and their ability to spend marketing budgets on our products. We expect COVID-19 to continue to have an unfavorable impact on our 2020 revenues.</w:t>
      </w:r>
    </w:p>
    <w:p>
      <w:pPr>
        <w:spacing w:after="0" w:line="47"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In the six months ended June 30, 2020 and 2019, we delivered 90.8 million and 93.8 million paid downloads, respectively, and our revenue per download increased to $3.51 for the six months ended June 30, 2020, from $3.43 for the six months ended June 30, 2019. During the six months ended June 30, 2020, the 3% decrease in the number of paid downloads compared to the same period in 2019, is due to lower customer utilization of our products. We believe that COVID-19 is a leading driver of the decline in usage during the quarter.</w:t>
      </w:r>
    </w:p>
    <w:p>
      <w:pPr>
        <w:spacing w:after="0" w:line="39" w:lineRule="exact"/>
        <w:rPr>
          <w:sz w:val="20"/>
          <w:szCs w:val="20"/>
          <w:color w:val="auto"/>
        </w:rPr>
      </w:pPr>
    </w:p>
    <w:p>
      <w:pPr>
        <w:jc w:val="both"/>
        <w:ind w:right="40" w:firstLine="318"/>
        <w:spacing w:after="0" w:line="368" w:lineRule="auto"/>
        <w:rPr>
          <w:sz w:val="20"/>
          <w:szCs w:val="20"/>
          <w:color w:val="auto"/>
        </w:rPr>
      </w:pPr>
      <w:r>
        <w:rPr>
          <w:rFonts w:ascii="Arial" w:cs="Arial" w:eastAsia="Arial" w:hAnsi="Arial"/>
          <w:sz w:val="12"/>
          <w:szCs w:val="12"/>
          <w:color w:val="auto"/>
        </w:rPr>
        <w:t>Changes in our revenue by region were as follows: revenue from North America decreased by $1.9 million, or 2%, to $113.2 million, revenue from Europe decreased by $3.1 million, or 3%, to $106.0 million and revenue from outside Europe and North America increased by $0.5 million, or 1%, to $101.3 million, in the six months ended June 30, 2020 compared to the same period in 2019.</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7" w:name="page28"/>
    <w:bookmarkEnd w:id="27"/>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94" w:lineRule="exact"/>
        <w:rPr>
          <w:sz w:val="20"/>
          <w:szCs w:val="20"/>
          <w:color w:val="auto"/>
        </w:rPr>
      </w:pPr>
    </w:p>
    <w:p>
      <w:pPr>
        <w:ind w:right="200" w:firstLine="318"/>
        <w:spacing w:after="0" w:line="260"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Cost of revenue decreased by $4.8 million, or 3%, to $132.9 million in the six months ended June 30, 2020 compared to the same period in 2019, due to lower royalty</w:t>
      </w:r>
      <w:r>
        <w:rPr>
          <w:rFonts w:ascii="Arial" w:cs="Arial" w:eastAsia="Arial" w:hAnsi="Arial"/>
          <w:sz w:val="14"/>
          <w:szCs w:val="14"/>
          <w:i w:val="1"/>
          <w:iCs w:val="1"/>
          <w:color w:val="auto"/>
        </w:rPr>
        <w:t xml:space="preserve"> </w:t>
      </w:r>
      <w:r>
        <w:rPr>
          <w:rFonts w:ascii="Arial" w:cs="Arial" w:eastAsia="Arial" w:hAnsi="Arial"/>
          <w:sz w:val="14"/>
          <w:szCs w:val="14"/>
          <w:color w:val="auto"/>
        </w:rPr>
        <w:t>expense, content procurement costs and depreciation and amortization expense, partially offset by higher costs associated with website hosting, hardware and software licenses as well as increased credit card fees. In addition, severance charges of $1.2 million were recorded during the six months ended June 30, 2020. The reduction in royalty expenses was driven by the 3% decline in paid downloads due to the impact of COVID-19 as well as a change in the way we remunerate contributors. We expect that our cost of revenue will fluctuate in line with changes in revenue and paid downloads.</w:t>
      </w:r>
    </w:p>
    <w:p>
      <w:pPr>
        <w:spacing w:after="0" w:line="62" w:lineRule="exact"/>
        <w:rPr>
          <w:sz w:val="20"/>
          <w:szCs w:val="20"/>
          <w:color w:val="auto"/>
        </w:rPr>
      </w:pPr>
    </w:p>
    <w:p>
      <w:pPr>
        <w:ind w:right="160" w:firstLine="318"/>
        <w:spacing w:after="0" w:line="284"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Sales and marketing expenses decreased by $10.7 million, or 12%, to $78.2 million in the six months ended June 30, 2020 compared to the same period in 2019.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 of revenue, sales and marketing expenses decreased to 24% for the three months ended June 30, 2020, from 27% for the same period in 2019. This decrease was primarily driven by a $11.2 million decline in marketing spend as we focused resources on more efficient customer acquisition and improved marketing return on investment. In addition, travel and related expense costs declined by $1.0 million due to travel restrictions resulting from COVID-19. These declines were partially offset by $1.8 million in higher employee-related costs, substantially consisting of severance charges. We expect sales and marketing expenses to fluctuate as we optimize our sales channels and invest in new customer acquisition, products and geographies.</w:t>
      </w:r>
    </w:p>
    <w:p>
      <w:pPr>
        <w:spacing w:after="0" w:line="49"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i w:val="1"/>
          <w:iCs w:val="1"/>
          <w:color w:val="auto"/>
        </w:rPr>
        <w:t xml:space="preserve">Product Development. </w:t>
      </w:r>
      <w:r>
        <w:rPr>
          <w:rFonts w:ascii="Arial" w:cs="Arial" w:eastAsia="Arial" w:hAnsi="Arial"/>
          <w:sz w:val="13"/>
          <w:szCs w:val="13"/>
          <w:color w:val="auto"/>
        </w:rPr>
        <w:t>Product development expenses decreased by $3.0 million, or 11%, to $25.6 million in the six months ended June 30, 2020 as compared to $28.6 million for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period in 2019. This decrease was primarily driven by a$3.7 million reduction in software and other IT-related costs for the six months ended June 30, 2020, as compared to the same period in the prior year, partially offset by $1.4 million of higher employee-related costs, including severance charges.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36" w:lineRule="exact"/>
        <w:rPr>
          <w:sz w:val="20"/>
          <w:szCs w:val="20"/>
          <w:color w:val="auto"/>
        </w:rPr>
      </w:pPr>
    </w:p>
    <w:p>
      <w:pPr>
        <w:spacing w:after="0" w:line="242"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decreased by $3.2 million, or 5%, to $55.5 million in the six months ended June 30, 2020 compared to the same period in 2019.</w:t>
      </w:r>
      <w:r>
        <w:rPr>
          <w:rFonts w:ascii="Arial" w:cs="Arial" w:eastAsia="Arial" w:hAnsi="Arial"/>
          <w:sz w:val="13"/>
          <w:szCs w:val="13"/>
          <w:i w:val="1"/>
          <w:iCs w:val="1"/>
          <w:color w:val="auto"/>
        </w:rPr>
        <w:t xml:space="preserve"> </w:t>
      </w:r>
      <w:r>
        <w:rPr>
          <w:rFonts w:ascii="Arial" w:cs="Arial" w:eastAsia="Arial" w:hAnsi="Arial"/>
          <w:sz w:val="13"/>
          <w:szCs w:val="13"/>
          <w:color w:val="auto"/>
        </w:rPr>
        <w:t>This decrease was primarily driven by: (i) lower depreciation and amortization expense of $2.5 million, driven by recognition of $1.5 million of accelerated amortization expense in the second quarter of 2019 in conjunction with the Company’s re-branding of its Editorial product; (ii) lower non-cash compensation expense of $2.2 million, resulting from the Company recognizing non-cash compensation expense for the acceleration of equity awards associated with the departure of an executive officer in the six months ended June 30, 2019, and six months of expense recognized in the six months ended June 30, 2019 for certain performance-based stock awards compared to only four months of expense in the same period in 2020 since these awards became fully expensed in April 2020; (iii) a reduction in expense of $1.8 million, associated with the 2019 accrual of long-term incentives, related to our 2017 acquisition of Flashstock; and (iv) lower professional and consulting fees of $1.8 million for the six months ended June 30, 2020, compared to the same period in 2019. These declines were partially offset by (i) higher employee-related costs of $3.9 million, primarily associated with increased headcount related to ensuring the stability and security of the Company’s technology infrastructure and (ii) a year over year increase of $1.7 million in bad debt expense, driven by $1.1 million of bad debt expense recorded for the six months ended June 30, 2020 and a benefit of $0.6 million recorded in the same period in 2019. We expect to continue to incur general and administrative expenses to support our global operational growth and enhancements to support our reporting and planning functions.</w:t>
      </w:r>
    </w:p>
    <w:p>
      <w:pPr>
        <w:spacing w:after="0" w:line="1" w:lineRule="exact"/>
        <w:rPr>
          <w:sz w:val="20"/>
          <w:szCs w:val="20"/>
          <w:color w:val="auto"/>
        </w:rPr>
      </w:pPr>
    </w:p>
    <w:p>
      <w:pPr>
        <w:ind w:right="660" w:firstLine="318"/>
        <w:spacing w:after="0" w:line="263" w:lineRule="auto"/>
        <w:rPr>
          <w:sz w:val="20"/>
          <w:szCs w:val="20"/>
          <w:color w:val="auto"/>
        </w:rPr>
      </w:pPr>
      <w:r>
        <w:rPr>
          <w:rFonts w:ascii="Arial" w:cs="Arial" w:eastAsia="Arial" w:hAnsi="Arial"/>
          <w:sz w:val="14"/>
          <w:szCs w:val="14"/>
          <w:i w:val="1"/>
          <w:iCs w:val="1"/>
          <w:color w:val="auto"/>
        </w:rPr>
        <w:t xml:space="preserve">Other Income, Net. </w:t>
      </w:r>
      <w:r>
        <w:rPr>
          <w:rFonts w:ascii="Arial" w:cs="Arial" w:eastAsia="Arial" w:hAnsi="Arial"/>
          <w:sz w:val="14"/>
          <w:szCs w:val="14"/>
          <w:color w:val="auto"/>
        </w:rPr>
        <w:t>During the six months ended June 30, 2020, approximately $1.1 million of other income consisted of interest income which was partially offset by $0.5 million of</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foreign currency fluctuations.</w:t>
      </w:r>
    </w:p>
    <w:p>
      <w:pPr>
        <w:spacing w:after="0" w:line="60"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During the six months ended June 30, 2019, approximately $2.2 million of other income consisted of interest income which was partially offset by $0.7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Income tax expense increased by $3.9 million for the six months ended June 30, 2020 as compared to the same period in 2019. Our effective tax rates for the six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2020 and 2019 were 19.6% and 14.5%, respectively.</w:t>
      </w:r>
    </w:p>
    <w:p>
      <w:pPr>
        <w:spacing w:after="0" w:line="47" w:lineRule="exact"/>
        <w:rPr>
          <w:sz w:val="20"/>
          <w:szCs w:val="20"/>
          <w:color w:val="auto"/>
        </w:rPr>
      </w:pPr>
    </w:p>
    <w:p>
      <w:pPr>
        <w:jc w:val="both"/>
        <w:ind w:right="240" w:firstLine="318"/>
        <w:spacing w:after="0" w:line="267" w:lineRule="auto"/>
        <w:rPr>
          <w:sz w:val="20"/>
          <w:szCs w:val="20"/>
          <w:color w:val="auto"/>
        </w:rPr>
      </w:pPr>
      <w:r>
        <w:rPr>
          <w:rFonts w:ascii="Arial" w:cs="Arial" w:eastAsia="Arial" w:hAnsi="Arial"/>
          <w:sz w:val="14"/>
          <w:szCs w:val="14"/>
          <w:color w:val="auto"/>
        </w:rPr>
        <w:t>For the six months ended June 30, 2020, the effective tax rate increased by 1.6% as a result of a loss jurisdiction with no tax benefit. Discrete items further increased the effective tax rate by 1.4%. Excluding the discrete items, our effective tax rate would have been 16.6% for the six months ended June 30, 2020. For the six months ended June 30, 2019, the impact of discrete tax items decreased the effective tax rate by 1.8%.</w:t>
      </w:r>
    </w:p>
    <w:p>
      <w:pPr>
        <w:spacing w:after="0" w:line="89" w:lineRule="exact"/>
        <w:rPr>
          <w:sz w:val="20"/>
          <w:szCs w:val="20"/>
          <w:color w:val="auto"/>
        </w:rPr>
      </w:pPr>
    </w:p>
    <w:p>
      <w:pPr>
        <w:jc w:val="both"/>
        <w:ind w:right="240" w:firstLine="318"/>
        <w:spacing w:after="0" w:line="281" w:lineRule="auto"/>
        <w:rPr>
          <w:sz w:val="20"/>
          <w:szCs w:val="20"/>
          <w:color w:val="auto"/>
        </w:rPr>
      </w:pPr>
      <w:r>
        <w:rPr>
          <w:rFonts w:ascii="Arial" w:cs="Arial" w:eastAsia="Arial" w:hAnsi="Arial"/>
          <w:sz w:val="14"/>
          <w:szCs w:val="14"/>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Trends</w:t>
      </w:r>
    </w:p>
    <w:p>
      <w:pPr>
        <w:spacing w:after="0" w:line="9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Our operating results may fluctuate from quarter to quarter as a result of a variety of factors, including the effects of some seasonal trends in customer behavior. For example, we expect certain customers’ usage may decrease during the third quarter of each calendar year and may increase in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61"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In addition, customers’ expenditure on content tends to be discretionary in nature and has been impacted by COVID-19. We cannot estimate when a recovery will occur and therefore, the results of any prior quarterly or annual period should not be relied upon as indicators of our future operating performance.</w:t>
      </w:r>
    </w:p>
    <w:p>
      <w:pPr>
        <w:spacing w:after="0" w:line="47"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See Part II, Item 1A Risk Factors in our Quarterly Report on Form 10-Q for the quarter ended March 31, 2020, which was filed with the SEC on April 28, 2020, for further discussion of the possible impact of the COVID-19 pandemic on our business.</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As of June 30, 2020, we had cash and cash equivalents totaling $311.2 million which primarily consisted of bank balances. Since inception, we have financed our operations primarily through cash flows generated from operations.</w:t>
      </w:r>
    </w:p>
    <w:p>
      <w:pPr>
        <w:spacing w:after="0" w:line="47"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Historically, our principal uses of cash have included funding our operations, capital expenditures, content acquisitions, business combinations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declared and paid cash dividends of $0.34 per share of common stock, or $12.1 million during the six months ended June 30, 2020.</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On July 20, 2020, our Board of Directors declared a quarterly cash dividend of $0.17 per share of outstanding common stock payable on September 17, 2020 to stockholders of record at the close of business on September 3, 2020.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w:t>
      </w:r>
    </w:p>
    <w:p>
      <w:pPr>
        <w:spacing w:after="0" w:line="51"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As of June 30, 2020, we have repurchased approximately 2,558,000 shares of our common stock under the share repurchase program at an average per-share cost of $39.09. During the six months ended June 30, 2020, we did not repurchase any shares of our common stock under the share repurchase program. As of June 30, 2020, we had $100 million of remaining authorization for share repurchases under the share repurchase program.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Equity-Based Compensation</w:t>
      </w:r>
    </w:p>
    <w:p>
      <w:pPr>
        <w:spacing w:after="0" w:line="51"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During the six months ended June 30, 2020, shares with an aggregate value of $3.4 million were withheld upon vesting of RSUs and paid in connection with related remittance to taxing authorities.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and Uses of Funds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believe, based on our current operating plan, that our cash and cash equivalents, and cash from operations, will be sufficient to meet our anticipated cash needs for at least the next</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12 to our Unaudited Consolidated Financial Statements included in Part I, Item 1 of this Quarterly Report on Form 10-Q for information regarding our existing capital commitments as of June 30, 2020.</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our cash flow data for the six months ended June 30, 2020 and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85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2019</w:t>
            </w:r>
          </w:p>
        </w:tc>
      </w:tr>
      <w:tr>
        <w:trPr>
          <w:trHeight w:val="17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3"/>
                <w:szCs w:val="13"/>
                <w:color w:val="auto"/>
                <w:w w:val="90"/>
              </w:rPr>
              <w:t>36,343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46,743</w:t>
            </w:r>
          </w:p>
        </w:tc>
      </w:tr>
      <w:tr>
        <w:trPr>
          <w:trHeight w:val="176"/>
        </w:trPr>
        <w:tc>
          <w:tcPr>
            <w:tcW w:w="850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center"/>
              <w:ind w:left="299"/>
              <w:spacing w:after="0"/>
              <w:rPr>
                <w:sz w:val="20"/>
                <w:szCs w:val="20"/>
                <w:color w:val="auto"/>
              </w:rPr>
            </w:pPr>
            <w:r>
              <w:rPr>
                <w:rFonts w:ascii="Arial" w:cs="Arial" w:eastAsia="Arial" w:hAnsi="Arial"/>
                <w:sz w:val="13"/>
                <w:szCs w:val="13"/>
                <w:color w:val="auto"/>
                <w:w w:val="90"/>
              </w:rPr>
              <w:t>(15,438)</w:t>
            </w:r>
          </w:p>
        </w:tc>
        <w:tc>
          <w:tcPr>
            <w:tcW w:w="10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(12,478)</w:t>
            </w:r>
          </w:p>
        </w:tc>
      </w:tr>
      <w:tr>
        <w:trPr>
          <w:trHeight w:val="26"/>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center"/>
              <w:ind w:left="299"/>
              <w:spacing w:after="0"/>
              <w:rPr>
                <w:sz w:val="20"/>
                <w:szCs w:val="20"/>
                <w:color w:val="auto"/>
              </w:rPr>
            </w:pPr>
            <w:r>
              <w:rPr>
                <w:rFonts w:ascii="Arial" w:cs="Arial" w:eastAsia="Arial" w:hAnsi="Arial"/>
                <w:sz w:val="13"/>
                <w:szCs w:val="13"/>
                <w:color w:val="auto"/>
                <w:w w:val="90"/>
              </w:rPr>
              <w:t>(14,905)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(4,963)</w:t>
            </w:r>
          </w:p>
        </w:tc>
      </w:tr>
      <w:tr>
        <w:trPr>
          <w:trHeight w:val="26"/>
        </w:trPr>
        <w:tc>
          <w:tcPr>
            <w:tcW w:w="8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51"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9"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Net cash provided by operating activities was $36.3 million for the six months ended June 30, 2020, compared to $46.7 million for the six months ended June 30, 2019. In the six months ended June 30, 2020, operating cash flows were unfavorably impacted by $7.8 million of one-time payments associated with long-term incentives related to our 2017 acquisition of Flashstock. Operating cash flows were also unfavorably impacted by the reduction in revenues and other changes in the timing of payments pertaining to operating expenses, which can cause operating cash flow to fluctuate from period to period.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addition, the Company paid net cash taxes of $0.9 million and $1.5 million, for the six months ended June 30, 2020 and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51"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Cash used in investing activities for the six months ended June 30, 2020 was $15.4 million, consisting primarily of capital expenditures of $14.0 million for internal-use software and website development costs and purchases of software and equipment and $1.6 million paid to acquire the rights to distribute certain digital content in perpetuity.</w:t>
      </w:r>
    </w:p>
    <w:p>
      <w:pPr>
        <w:spacing w:after="0" w:line="47" w:lineRule="exact"/>
        <w:rPr>
          <w:sz w:val="20"/>
          <w:szCs w:val="20"/>
          <w:color w:val="auto"/>
        </w:rPr>
      </w:pPr>
    </w:p>
    <w:p>
      <w:pPr>
        <w:jc w:val="both"/>
        <w:ind w:right="260" w:firstLine="318"/>
        <w:spacing w:after="0" w:line="331" w:lineRule="auto"/>
        <w:rPr>
          <w:sz w:val="20"/>
          <w:szCs w:val="20"/>
          <w:color w:val="auto"/>
        </w:rPr>
      </w:pPr>
      <w:r>
        <w:rPr>
          <w:rFonts w:ascii="Arial" w:cs="Arial" w:eastAsia="Arial" w:hAnsi="Arial"/>
          <w:sz w:val="12"/>
          <w:szCs w:val="12"/>
          <w:color w:val="auto"/>
        </w:rPr>
        <w:t>Cash used in investing activities in the six months ended June 30, 2019 was $12.5 million, consisting primarily of capital expenditures of $13.7 million for internal-use software and website development costs and purchases of software and equipment, and $1.3 million paid to acquire the rights to distribute certain digital content into perpetuity, partially offset by $2.5 million of cash received during the six months ended June 30, 2019 from escrowed funds related to the sale of Webdam, our former digital asset management business, which was sold in February 2018.</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51"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Cash used in financing activities in the six months ended June 30, 2020 was $14.9 million, consisting primarily of $12.1 million related to the payment of the quarterly cash dividend and $3.4 million, which was paid in settlement of tax withholding obligations related to employee stock-based compensation awards. These amounts were partially offset by proceeds of approximately $0.6 million from the issuance of common stock in connection with the exercise of stock options.</w:t>
      </w:r>
    </w:p>
    <w:p>
      <w:pPr>
        <w:spacing w:after="0" w:line="57" w:lineRule="exact"/>
        <w:rPr>
          <w:sz w:val="20"/>
          <w:szCs w:val="20"/>
          <w:color w:val="auto"/>
        </w:rPr>
      </w:pPr>
    </w:p>
    <w:p>
      <w:pPr>
        <w:ind w:right="320" w:firstLine="318"/>
        <w:spacing w:after="0" w:line="267" w:lineRule="auto"/>
        <w:rPr>
          <w:sz w:val="20"/>
          <w:szCs w:val="20"/>
          <w:color w:val="auto"/>
        </w:rPr>
      </w:pPr>
      <w:r>
        <w:rPr>
          <w:rFonts w:ascii="Arial" w:cs="Arial" w:eastAsia="Arial" w:hAnsi="Arial"/>
          <w:sz w:val="14"/>
          <w:szCs w:val="14"/>
          <w:color w:val="auto"/>
        </w:rPr>
        <w:t>Cash used in financing activities in the six months ended June 30, 2019 was $5.0 million, consisting primarily of $5.2 million, which was paid in settlement of tax withholding obligations related to employee stock-based compensation awards. These amounts were partially offset by proceeds of approximately $0.2 million from the issuance of common stock in connection with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8" w:lineRule="exact"/>
        <w:rPr>
          <w:sz w:val="20"/>
          <w:szCs w:val="20"/>
          <w:color w:val="auto"/>
        </w:rPr>
      </w:pPr>
    </w:p>
    <w:p>
      <w:pPr>
        <w:jc w:val="both"/>
        <w:ind w:right="320" w:firstLine="318"/>
        <w:spacing w:after="0" w:line="267" w:lineRule="auto"/>
        <w:rPr>
          <w:sz w:val="20"/>
          <w:szCs w:val="20"/>
          <w:color w:val="auto"/>
        </w:rPr>
      </w:pPr>
      <w:r>
        <w:rPr>
          <w:rFonts w:ascii="Arial" w:cs="Arial" w:eastAsia="Arial" w:hAnsi="Arial"/>
          <w:sz w:val="14"/>
          <w:szCs w:val="14"/>
          <w:color w:val="auto"/>
        </w:rPr>
        <w:t>We lease real estate under operating lease agreements that expire on various dates during the period from 2020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57" w:lineRule="exact"/>
        <w:rPr>
          <w:sz w:val="20"/>
          <w:szCs w:val="20"/>
          <w:color w:val="auto"/>
        </w:rPr>
      </w:pPr>
    </w:p>
    <w:p>
      <w:pPr>
        <w:ind w:right="40" w:firstLine="318"/>
        <w:spacing w:after="0" w:line="331" w:lineRule="auto"/>
        <w:rPr>
          <w:sz w:val="20"/>
          <w:szCs w:val="20"/>
          <w:color w:val="auto"/>
        </w:rPr>
      </w:pPr>
      <w:r>
        <w:rPr>
          <w:rFonts w:ascii="Arial" w:cs="Arial" w:eastAsia="Arial" w:hAnsi="Arial"/>
          <w:sz w:val="12"/>
          <w:szCs w:val="12"/>
          <w:color w:val="auto"/>
        </w:rPr>
        <w:t>On March 21, 2013, we entered into an operating lease agreement to lease our headquarters in New York City, which was amended in 2016. The aggregate undiscounted future minimum lease payments under the lease, as amended, are approximately $59.2 million. We are also party to a letter of credit as a security deposit for this leased facility, which was reduced from $2.6 million to $1.7 million in February 2020. As of March 31, 2020, the Company is no longer required to provide cash collateral for its letter of credit, and, accordingly, these funds are no longer restricted.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Additionally, as of June 30, 2020, aggregate undiscounted future minimum lease payments under other operating leases are approximately $9.2 million.</w:t>
      </w:r>
    </w:p>
    <w:p>
      <w:pPr>
        <w:spacing w:after="0" w:line="94" w:lineRule="exact"/>
        <w:rPr>
          <w:sz w:val="20"/>
          <w:szCs w:val="20"/>
          <w:color w:val="auto"/>
        </w:rPr>
      </w:pPr>
    </w:p>
    <w:p>
      <w:pPr>
        <w:jc w:val="both"/>
        <w:ind w:right="220" w:firstLine="318"/>
        <w:spacing w:after="0" w:line="267" w:lineRule="auto"/>
        <w:rPr>
          <w:sz w:val="20"/>
          <w:szCs w:val="20"/>
          <w:color w:val="auto"/>
        </w:rPr>
      </w:pPr>
      <w:r>
        <w:rPr>
          <w:rFonts w:ascii="Arial" w:cs="Arial" w:eastAsia="Arial" w:hAnsi="Arial"/>
          <w:sz w:val="14"/>
          <w:szCs w:val="14"/>
          <w:color w:val="auto"/>
        </w:rPr>
        <w:t>We enter into unconditional purchase obligations related to contracts for cloud-based services, infrastructure and other business services as well as minimum royalty guarantees in connection with certain content licenses. As of June 30, 2020, our guaranteed royalty payments and unconditional purchase obligations for the remainder of 2020 and for the fiscal years ending December 31, 2021 and 2022 were approximately $18.2 million, $16.5 million and $4.4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98"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shd w:val="clear" w:color="auto" w:fill="CCEEFF"/>
          </w:tcPr>
          <w:p>
            <w:pPr>
              <w:spacing w:after="0"/>
              <w:rPr>
                <w:sz w:val="13"/>
                <w:szCs w:val="13"/>
                <w:color w:val="auto"/>
              </w:rPr>
            </w:pPr>
          </w:p>
        </w:tc>
        <w:tc>
          <w:tcPr>
            <w:tcW w:w="2400" w:type="dxa"/>
            <w:vAlign w:val="bottom"/>
            <w:tcBorders>
              <w:bottom w:val="single" w:sz="8" w:color="auto"/>
            </w:tcBorders>
            <w:gridSpan w:val="3"/>
            <w:shd w:val="clear" w:color="auto" w:fill="CCEEFF"/>
          </w:tcPr>
          <w:p>
            <w:pPr>
              <w:jc w:val="right"/>
              <w:ind w:right="119"/>
              <w:spacing w:after="0"/>
              <w:rPr>
                <w:sz w:val="20"/>
                <w:szCs w:val="20"/>
                <w:color w:val="auto"/>
              </w:rPr>
            </w:pPr>
            <w:r>
              <w:rPr>
                <w:rFonts w:ascii="Arial" w:cs="Arial" w:eastAsia="Arial" w:hAnsi="Arial"/>
                <w:sz w:val="11"/>
                <w:szCs w:val="11"/>
                <w:b w:val="1"/>
                <w:bCs w:val="1"/>
                <w:color w:val="auto"/>
              </w:rPr>
              <w:t>Three Months Ended June 30,</w:t>
            </w:r>
          </w:p>
        </w:tc>
        <w:tc>
          <w:tcPr>
            <w:tcW w:w="4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58"/>
              <w:spacing w:after="0"/>
              <w:rPr>
                <w:sz w:val="20"/>
                <w:szCs w:val="20"/>
                <w:color w:val="auto"/>
              </w:rPr>
            </w:pPr>
            <w:r>
              <w:rPr>
                <w:rFonts w:ascii="Arial" w:cs="Arial" w:eastAsia="Arial" w:hAnsi="Arial"/>
                <w:sz w:val="11"/>
                <w:szCs w:val="11"/>
                <w:b w:val="1"/>
                <w:bCs w:val="1"/>
                <w:color w:val="auto"/>
              </w:rPr>
              <w:t>Six Months Ended June 30,</w:t>
            </w:r>
          </w:p>
        </w:tc>
        <w:tc>
          <w:tcPr>
            <w:tcW w:w="140" w:type="dxa"/>
            <w:vAlign w:val="bottom"/>
            <w:tcBorders>
              <w:bottom w:val="single" w:sz="8" w:color="auto"/>
            </w:tcBorders>
            <w:shd w:val="clear" w:color="auto" w:fill="CCEEFF"/>
          </w:tcPr>
          <w:p>
            <w:pPr>
              <w:spacing w:after="0"/>
              <w:rPr>
                <w:sz w:val="13"/>
                <w:szCs w:val="13"/>
                <w:color w:val="auto"/>
              </w:rPr>
            </w:pPr>
          </w:p>
        </w:tc>
      </w:tr>
      <w:tr>
        <w:trPr>
          <w:trHeight w:val="146"/>
        </w:trPr>
        <w:tc>
          <w:tcPr>
            <w:tcW w:w="55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2020</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2"/>
                <w:szCs w:val="12"/>
                <w:color w:val="auto"/>
              </w:rPr>
            </w:pPr>
          </w:p>
        </w:tc>
      </w:tr>
      <w:tr>
        <w:trPr>
          <w:trHeight w:val="186"/>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Non-GAAP Financial Measures: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6"/>
        </w:trPr>
        <w:tc>
          <w:tcPr>
            <w:tcW w:w="55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80" w:type="dxa"/>
            <w:vAlign w:val="bottom"/>
          </w:tcPr>
          <w:p>
            <w:pPr>
              <w:jc w:val="right"/>
              <w:ind w:right="7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56"/>
              <w:spacing w:after="0"/>
              <w:rPr>
                <w:sz w:val="20"/>
                <w:szCs w:val="20"/>
                <w:color w:val="auto"/>
              </w:rPr>
            </w:pPr>
            <w:r>
              <w:rPr>
                <w:rFonts w:ascii="Arial" w:cs="Arial" w:eastAsia="Arial" w:hAnsi="Arial"/>
                <w:sz w:val="13"/>
                <w:szCs w:val="13"/>
                <w:color w:val="auto"/>
                <w:w w:val="90"/>
              </w:rPr>
              <w:t>37,032</w:t>
            </w:r>
          </w:p>
        </w:tc>
        <w:tc>
          <w:tcPr>
            <w:tcW w:w="920" w:type="dxa"/>
            <w:vAlign w:val="bottom"/>
          </w:tcPr>
          <w:p>
            <w:pPr>
              <w:jc w:val="right"/>
              <w:ind w:right="73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25,106</w:t>
            </w: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9"/>
              <w:spacing w:after="0"/>
              <w:rPr>
                <w:sz w:val="20"/>
                <w:szCs w:val="20"/>
                <w:color w:val="auto"/>
              </w:rPr>
            </w:pPr>
            <w:r>
              <w:rPr>
                <w:rFonts w:ascii="Arial" w:cs="Arial" w:eastAsia="Arial" w:hAnsi="Arial"/>
                <w:sz w:val="13"/>
                <w:szCs w:val="13"/>
                <w:color w:val="auto"/>
              </w:rPr>
              <w:t>59,092</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50,648</w:t>
            </w:r>
          </w:p>
        </w:tc>
        <w:tc>
          <w:tcPr>
            <w:tcW w:w="14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income</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90"/>
              </w:rPr>
              <w:t>22,162</w:t>
            </w: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11,785</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3"/>
                <w:szCs w:val="13"/>
                <w:color w:val="auto"/>
              </w:rPr>
              <w:t>31,321</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24,189</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580" w:type="dxa"/>
            <w:vAlign w:val="bottom"/>
          </w:tcPr>
          <w:p>
            <w:pPr>
              <w:ind w:left="20"/>
              <w:spacing w:after="0"/>
              <w:rPr>
                <w:sz w:val="20"/>
                <w:szCs w:val="20"/>
                <w:color w:val="auto"/>
              </w:rPr>
            </w:pPr>
            <w:r>
              <w:rPr>
                <w:rFonts w:ascii="Arial" w:cs="Arial" w:eastAsia="Arial" w:hAnsi="Arial"/>
                <w:sz w:val="13"/>
                <w:szCs w:val="13"/>
                <w:color w:val="auto"/>
              </w:rPr>
              <w:t>Free cash flow</w:t>
            </w:r>
          </w:p>
        </w:tc>
        <w:tc>
          <w:tcPr>
            <w:tcW w:w="880" w:type="dxa"/>
            <w:vAlign w:val="bottom"/>
          </w:tcPr>
          <w:p>
            <w:pPr>
              <w:jc w:val="right"/>
              <w:ind w:right="7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56"/>
              <w:spacing w:after="0"/>
              <w:rPr>
                <w:sz w:val="20"/>
                <w:szCs w:val="20"/>
                <w:color w:val="auto"/>
              </w:rPr>
            </w:pPr>
            <w:r>
              <w:rPr>
                <w:rFonts w:ascii="Arial" w:cs="Arial" w:eastAsia="Arial" w:hAnsi="Arial"/>
                <w:sz w:val="13"/>
                <w:szCs w:val="13"/>
                <w:color w:val="auto"/>
                <w:w w:val="90"/>
              </w:rPr>
              <w:t>22,383</w:t>
            </w:r>
          </w:p>
        </w:tc>
        <w:tc>
          <w:tcPr>
            <w:tcW w:w="920" w:type="dxa"/>
            <w:vAlign w:val="bottom"/>
          </w:tcPr>
          <w:p>
            <w:pPr>
              <w:jc w:val="right"/>
              <w:ind w:right="73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19,829</w:t>
            </w: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9"/>
              <w:spacing w:after="0"/>
              <w:rPr>
                <w:sz w:val="20"/>
                <w:szCs w:val="20"/>
                <w:color w:val="auto"/>
              </w:rPr>
            </w:pPr>
            <w:r>
              <w:rPr>
                <w:rFonts w:ascii="Arial" w:cs="Arial" w:eastAsia="Arial" w:hAnsi="Arial"/>
                <w:sz w:val="13"/>
                <w:szCs w:val="13"/>
                <w:color w:val="auto"/>
              </w:rPr>
              <w:t>28,559</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31,740</w:t>
            </w:r>
          </w:p>
        </w:tc>
        <w:tc>
          <w:tcPr>
            <w:tcW w:w="14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 growth on a constant currency basis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26"/>
        </w:trPr>
        <w:tc>
          <w:tcPr>
            <w:tcW w:w="5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308" w:lineRule="exact"/>
        <w:rPr>
          <w:sz w:val="20"/>
          <w:szCs w:val="20"/>
          <w:color w:val="auto"/>
        </w:rPr>
      </w:pPr>
    </w:p>
    <w:p>
      <w:pPr>
        <w:ind w:right="40" w:firstLine="318"/>
        <w:spacing w:after="0" w:line="313" w:lineRule="auto"/>
        <w:rPr>
          <w:sz w:val="20"/>
          <w:szCs w:val="20"/>
          <w:color w:val="auto"/>
        </w:rPr>
      </w:pPr>
      <w:r>
        <w:rPr>
          <w:rFonts w:ascii="Arial" w:cs="Arial" w:eastAsia="Arial" w:hAnsi="Arial"/>
          <w:sz w:val="12"/>
          <w:szCs w:val="12"/>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34"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right="140" w:firstLine="318"/>
        <w:spacing w:after="0" w:line="304" w:lineRule="auto"/>
        <w:rPr>
          <w:sz w:val="20"/>
          <w:szCs w:val="20"/>
          <w:color w:val="auto"/>
        </w:rPr>
      </w:pPr>
      <w:r>
        <w:rPr>
          <w:rFonts w:ascii="Arial" w:cs="Arial" w:eastAsia="Arial" w:hAnsi="Arial"/>
          <w:sz w:val="12"/>
          <w:szCs w:val="12"/>
          <w:color w:val="auto"/>
        </w:rPr>
        <w:t>Management believes that adjusted EBITDA, adjusted EBITDA margin, adjusted net income, adjusted net income per diluted common share and revenue growth (including by distribution channel) on a constant currency basis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business.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40"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When evaluating our performance, these non-GAAP financial measures should be considered in addition to other financial performance measures, including various cash flow metrics, net income and our other GAAP results.</w:t>
      </w:r>
    </w:p>
    <w:p>
      <w:pPr>
        <w:spacing w:after="0" w:line="57" w:lineRule="exact"/>
        <w:rPr>
          <w:sz w:val="20"/>
          <w:szCs w:val="20"/>
          <w:color w:val="auto"/>
        </w:rPr>
      </w:pPr>
    </w:p>
    <w:p>
      <w:pPr>
        <w:ind w:right="340" w:firstLine="318"/>
        <w:spacing w:after="0" w:line="297" w:lineRule="auto"/>
        <w:rPr>
          <w:sz w:val="20"/>
          <w:szCs w:val="20"/>
          <w:color w:val="auto"/>
        </w:rPr>
      </w:pPr>
      <w:r>
        <w:rPr>
          <w:rFonts w:ascii="Arial" w:cs="Arial" w:eastAsia="Arial" w:hAnsi="Arial"/>
          <w:sz w:val="13"/>
          <w:szCs w:val="13"/>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EBITDA</w:t>
      </w:r>
    </w:p>
    <w:p>
      <w:pPr>
        <w:spacing w:after="0" w:line="51" w:lineRule="exact"/>
        <w:rPr>
          <w:sz w:val="20"/>
          <w:szCs w:val="20"/>
          <w:color w:val="auto"/>
        </w:rPr>
      </w:pPr>
    </w:p>
    <w:p>
      <w:pPr>
        <w:ind w:right="160" w:firstLine="318"/>
        <w:spacing w:after="0" w:line="257" w:lineRule="auto"/>
        <w:rPr>
          <w:sz w:val="20"/>
          <w:szCs w:val="20"/>
          <w:color w:val="auto"/>
        </w:rPr>
      </w:pPr>
      <w:r>
        <w:rPr>
          <w:rFonts w:ascii="Arial" w:cs="Arial" w:eastAsia="Arial" w:hAnsi="Arial"/>
          <w:sz w:val="14"/>
          <w:szCs w:val="14"/>
          <w:color w:val="auto"/>
        </w:rPr>
        <w:t xml:space="preserve">We define adjusted EBITDA as net income adjusted for depreciation and amortization, non-cash equity-based compensation, foreign currency transaction gains and losses, expenses related to long-term incentives and contingent consideration related to acquisitions, interest income and expense and income taxes. We define adjusted EBITDA margin as </w:t>
      </w:r>
      <w:r>
        <w:rPr>
          <w:rFonts w:ascii="Arial" w:cs="Arial" w:eastAsia="Arial" w:hAnsi="Arial"/>
          <w:sz w:val="13"/>
          <w:szCs w:val="13"/>
          <w:color w:val="auto"/>
        </w:rPr>
        <w:t>the ratio of adjusted EBITDA to</w:t>
      </w:r>
      <w:r>
        <w:rPr>
          <w:rFonts w:ascii="Arial" w:cs="Arial" w:eastAsia="Arial" w:hAnsi="Arial"/>
          <w:sz w:val="14"/>
          <w:szCs w:val="14"/>
          <w:color w:val="auto"/>
        </w:rPr>
        <w:t xml:space="preserve"> </w:t>
      </w:r>
      <w:r>
        <w:rPr>
          <w:rFonts w:ascii="Arial" w:cs="Arial" w:eastAsia="Arial" w:hAnsi="Arial"/>
          <w:sz w:val="13"/>
          <w:szCs w:val="13"/>
          <w:color w:val="auto"/>
        </w:rPr>
        <w:t>revenue.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reconciliation of net income to adjusted EBITDA for each of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Three Months Ended June 30,</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617"/>
              <w:spacing w:after="0"/>
              <w:rPr>
                <w:sz w:val="20"/>
                <w:szCs w:val="20"/>
                <w:color w:val="auto"/>
              </w:rPr>
            </w:pPr>
            <w:r>
              <w:rPr>
                <w:rFonts w:ascii="Arial" w:cs="Arial" w:eastAsia="Arial" w:hAnsi="Arial"/>
                <w:sz w:val="11"/>
                <w:szCs w:val="11"/>
                <w:b w:val="1"/>
                <w:bCs w:val="1"/>
                <w:color w:val="auto"/>
              </w:rPr>
              <w:t>Six Months Ended June 30,</w:t>
            </w:r>
          </w:p>
        </w:tc>
        <w:tc>
          <w:tcPr>
            <w:tcW w:w="140" w:type="dxa"/>
            <w:vAlign w:val="bottom"/>
            <w:tcBorders>
              <w:bottom w:val="single" w:sz="8" w:color="auto"/>
            </w:tcBorders>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3"/>
                <w:szCs w:val="13"/>
                <w:color w:val="auto"/>
              </w:rPr>
            </w:pPr>
          </w:p>
        </w:tc>
      </w:tr>
      <w:tr>
        <w:trPr>
          <w:trHeight w:val="146"/>
        </w:trPr>
        <w:tc>
          <w:tcPr>
            <w:tcW w:w="5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51"/>
        </w:trPr>
        <w:tc>
          <w:tcPr>
            <w:tcW w:w="5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18,987</w:t>
            </w:r>
          </w:p>
        </w:tc>
        <w:tc>
          <w:tcPr>
            <w:tcW w:w="110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3,299</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23,305</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10,821</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220" w:type="dxa"/>
            <w:vAlign w:val="bottom"/>
          </w:tcPr>
          <w:p>
            <w:pPr>
              <w:ind w:left="20"/>
              <w:spacing w:after="0"/>
              <w:rPr>
                <w:sz w:val="20"/>
                <w:szCs w:val="20"/>
                <w:color w:val="auto"/>
              </w:rPr>
            </w:pPr>
            <w:r>
              <w:rPr>
                <w:rFonts w:ascii="Arial" w:cs="Arial" w:eastAsia="Arial" w:hAnsi="Arial"/>
                <w:sz w:val="13"/>
                <w:szCs w:val="13"/>
                <w:color w:val="auto"/>
              </w:rPr>
              <w:t>Add / (less) Non-GAAP adjustments: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
        </w:trPr>
        <w:tc>
          <w:tcPr>
            <w:tcW w:w="5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5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8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10,851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13,403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21,370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25,319</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color w:val="auto"/>
              </w:rPr>
              <w:t>Non-cash equity-based compensation</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7,751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9,396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12,375</w:t>
            </w:r>
          </w:p>
        </w:tc>
        <w:tc>
          <w:tcPr>
            <w:tcW w:w="140" w:type="dxa"/>
            <w:vAlign w:val="bottom"/>
          </w:tcPr>
          <w:p>
            <w:pPr>
              <w:spacing w:after="0"/>
              <w:rPr>
                <w:sz w:val="15"/>
                <w:szCs w:val="15"/>
                <w:color w:val="auto"/>
              </w:rPr>
            </w:pPr>
          </w:p>
        </w:tc>
      </w:tr>
      <w:tr>
        <w:trPr>
          <w:trHeight w:val="26"/>
        </w:trPr>
        <w:tc>
          <w:tcPr>
            <w:tcW w:w="5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2"/>
        </w:trPr>
        <w:tc>
          <w:tcPr>
            <w:tcW w:w="5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adjustments, net</w:t>
            </w:r>
            <w:r>
              <w:rPr>
                <w:rFonts w:ascii="Arial" w:cs="Arial" w:eastAsia="Arial" w:hAnsi="Arial"/>
                <w:sz w:val="16"/>
                <w:szCs w:val="16"/>
                <w:color w:val="auto"/>
                <w:vertAlign w:val="superscript"/>
              </w:rPr>
              <w:t>(1)</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40" w:type="dxa"/>
            <w:vAlign w:val="bottom"/>
            <w:shd w:val="clear" w:color="auto" w:fill="CCEEFF"/>
          </w:tcPr>
          <w:p>
            <w:pPr>
              <w:spacing w:after="0"/>
              <w:rPr>
                <w:sz w:val="17"/>
                <w:szCs w:val="17"/>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color w:val="auto"/>
              </w:rPr>
              <w:t>Provision for income taxes</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3,707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1,828</w:t>
            </w:r>
          </w:p>
        </w:tc>
        <w:tc>
          <w:tcPr>
            <w:tcW w:w="140" w:type="dxa"/>
            <w:vAlign w:val="bottom"/>
          </w:tcPr>
          <w:p>
            <w:pPr>
              <w:spacing w:after="0"/>
              <w:rPr>
                <w:sz w:val="15"/>
                <w:szCs w:val="15"/>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5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Adjusted EBITDA</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37,032</w:t>
            </w:r>
          </w:p>
        </w:tc>
        <w:tc>
          <w:tcPr>
            <w:tcW w:w="11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25,106</w:t>
            </w: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59,092</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140" w:type="dxa"/>
            <w:vAlign w:val="bottom"/>
            <w:shd w:val="clear" w:color="auto" w:fill="CCEEFF"/>
          </w:tcPr>
          <w:p>
            <w:pPr>
              <w:spacing w:after="0"/>
              <w:rPr>
                <w:sz w:val="18"/>
                <w:szCs w:val="18"/>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5220" w:type="dxa"/>
            <w:vAlign w:val="bottom"/>
          </w:tcPr>
          <w:p>
            <w:pPr>
              <w:ind w:left="260"/>
              <w:spacing w:after="0" w:line="141" w:lineRule="exact"/>
              <w:rPr>
                <w:sz w:val="20"/>
                <w:szCs w:val="20"/>
                <w:color w:val="auto"/>
              </w:rPr>
            </w:pPr>
            <w:r>
              <w:rPr>
                <w:rFonts w:ascii="Arial" w:cs="Arial" w:eastAsia="Arial" w:hAnsi="Arial"/>
                <w:sz w:val="13"/>
                <w:szCs w:val="13"/>
                <w:color w:val="auto"/>
              </w:rPr>
              <w:t>Adjusted EBITDA margin</w:t>
            </w:r>
          </w:p>
        </w:tc>
        <w:tc>
          <w:tcPr>
            <w:tcW w:w="8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23.3</w:t>
            </w:r>
          </w:p>
        </w:tc>
        <w:tc>
          <w:tcPr>
            <w:tcW w:w="120" w:type="dxa"/>
            <w:vAlign w:val="bottom"/>
          </w:tcPr>
          <w:p>
            <w:pPr>
              <w:jc w:val="right"/>
              <w:spacing w:after="0" w:line="141"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3"/>
                <w:szCs w:val="13"/>
                <w:color w:val="auto"/>
              </w:rPr>
              <w:t>15.5</w:t>
            </w:r>
          </w:p>
        </w:tc>
        <w:tc>
          <w:tcPr>
            <w:tcW w:w="1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18.4</w:t>
            </w:r>
          </w:p>
        </w:tc>
        <w:tc>
          <w:tcPr>
            <w:tcW w:w="120" w:type="dxa"/>
            <w:vAlign w:val="bottom"/>
          </w:tcPr>
          <w:p>
            <w:pPr>
              <w:jc w:val="right"/>
              <w:spacing w:after="0" w:line="141" w:lineRule="exact"/>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Arial" w:cs="Arial" w:eastAsia="Arial" w:hAnsi="Arial"/>
                <w:sz w:val="13"/>
                <w:szCs w:val="13"/>
                <w:color w:val="auto"/>
              </w:rPr>
              <w:t>15.6</w:t>
            </w:r>
          </w:p>
        </w:tc>
        <w:tc>
          <w:tcPr>
            <w:tcW w:w="140" w:type="dxa"/>
            <w:vAlign w:val="bottom"/>
          </w:tcPr>
          <w:p>
            <w:pPr>
              <w:jc w:val="right"/>
              <w:spacing w:after="0" w:line="141" w:lineRule="exact"/>
              <w:rPr>
                <w:sz w:val="20"/>
                <w:szCs w:val="20"/>
                <w:color w:val="auto"/>
              </w:rPr>
            </w:pPr>
            <w:r>
              <w:rPr>
                <w:rFonts w:ascii="Arial" w:cs="Arial" w:eastAsia="Arial" w:hAnsi="Arial"/>
                <w:sz w:val="13"/>
                <w:szCs w:val="13"/>
                <w:color w:val="auto"/>
                <w:w w:val="86"/>
              </w:rPr>
              <w:t>%</w:t>
            </w:r>
          </w:p>
        </w:tc>
      </w:tr>
    </w:tbl>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89"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Included in other adjustments, net is foreign currency transaction gains and losses, expenses related to long-term incentives and contingent consideration related to acquisitions, and interest income and expense.</w:t>
      </w: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Net Income</w:t>
      </w:r>
    </w:p>
    <w:p>
      <w:pPr>
        <w:spacing w:after="0" w:line="51" w:lineRule="exact"/>
        <w:rPr>
          <w:sz w:val="20"/>
          <w:szCs w:val="20"/>
          <w:color w:val="auto"/>
        </w:rPr>
      </w:pPr>
    </w:p>
    <w:p>
      <w:pPr>
        <w:jc w:val="both"/>
        <w:ind w:right="80" w:firstLine="318"/>
        <w:spacing w:after="0" w:line="257" w:lineRule="auto"/>
        <w:rPr>
          <w:sz w:val="20"/>
          <w:szCs w:val="20"/>
          <w:color w:val="auto"/>
        </w:rPr>
      </w:pPr>
      <w:r>
        <w:rPr>
          <w:rFonts w:ascii="Arial" w:cs="Arial" w:eastAsia="Arial" w:hAnsi="Arial"/>
          <w:sz w:val="14"/>
          <w:szCs w:val="14"/>
          <w:color w:val="auto"/>
        </w:rPr>
        <w:t xml:space="preserve">We define adjusted net income as net income adjusted for the impact of non-cash equity-based compensation, the amortization of acquisition-related intangible assets, expenses related to long-term incentives and contingent consideration related to acquisitions and the estimated tax impact of such adjustments. We define adjusted net income per diluted common share as </w:t>
      </w:r>
      <w:r>
        <w:rPr>
          <w:rFonts w:ascii="Arial" w:cs="Arial" w:eastAsia="Arial" w:hAnsi="Arial"/>
          <w:sz w:val="13"/>
          <w:szCs w:val="13"/>
          <w:color w:val="auto"/>
        </w:rPr>
        <w:t>adjusted net income</w:t>
      </w:r>
      <w:r>
        <w:rPr>
          <w:rFonts w:ascii="Arial" w:cs="Arial" w:eastAsia="Arial" w:hAnsi="Arial"/>
          <w:sz w:val="14"/>
          <w:szCs w:val="14"/>
          <w:color w:val="auto"/>
        </w:rPr>
        <w:t xml:space="preserve"> </w:t>
      </w:r>
      <w:r>
        <w:rPr>
          <w:rFonts w:ascii="Arial" w:cs="Arial" w:eastAsia="Arial" w:hAnsi="Arial"/>
          <w:sz w:val="13"/>
          <w:szCs w:val="13"/>
          <w:color w:val="auto"/>
        </w:rPr>
        <w:t>divided by weighted average diluted shares.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reconciliation of net income to adjusted net income for each of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ind w:left="400"/>
              <w:spacing w:after="0"/>
              <w:rPr>
                <w:sz w:val="20"/>
                <w:szCs w:val="20"/>
                <w:color w:val="auto"/>
              </w:rPr>
            </w:pPr>
            <w:r>
              <w:rPr>
                <w:rFonts w:ascii="Arial" w:cs="Arial" w:eastAsia="Arial" w:hAnsi="Arial"/>
                <w:sz w:val="11"/>
                <w:szCs w:val="11"/>
                <w:b w:val="1"/>
                <w:bCs w:val="1"/>
                <w:color w:val="auto"/>
              </w:rPr>
              <w:t>Three Months Ended June 30,</w:t>
            </w:r>
          </w:p>
        </w:tc>
        <w:tc>
          <w:tcPr>
            <w:tcW w:w="440" w:type="dxa"/>
            <w:vAlign w:val="bottom"/>
          </w:tcPr>
          <w:p>
            <w:pPr>
              <w:spacing w:after="0"/>
              <w:rPr>
                <w:sz w:val="13"/>
                <w:szCs w:val="13"/>
                <w:color w:val="auto"/>
              </w:rPr>
            </w:pPr>
          </w:p>
        </w:tc>
        <w:tc>
          <w:tcPr>
            <w:tcW w:w="2500" w:type="dxa"/>
            <w:vAlign w:val="bottom"/>
            <w:gridSpan w:val="3"/>
          </w:tcPr>
          <w:p>
            <w:pPr>
              <w:jc w:val="right"/>
              <w:ind w:right="760"/>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53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2019</w:t>
            </w:r>
          </w:p>
        </w:tc>
      </w:tr>
      <w:tr>
        <w:trPr>
          <w:trHeight w:val="146"/>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1"/>
        </w:trPr>
        <w:tc>
          <w:tcPr>
            <w:tcW w:w="5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176"/>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18,987</w:t>
            </w:r>
          </w:p>
        </w:tc>
        <w:tc>
          <w:tcPr>
            <w:tcW w:w="4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3,299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23,305</w:t>
            </w:r>
          </w:p>
        </w:tc>
        <w:tc>
          <w:tcPr>
            <w:tcW w:w="4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10,821</w:t>
            </w:r>
          </w:p>
        </w:tc>
      </w:tr>
      <w:tr>
        <w:trPr>
          <w:trHeight w:val="26"/>
        </w:trPr>
        <w:tc>
          <w:tcPr>
            <w:tcW w:w="5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ind w:left="20"/>
              <w:spacing w:after="0"/>
              <w:rPr>
                <w:sz w:val="20"/>
                <w:szCs w:val="20"/>
                <w:color w:val="auto"/>
              </w:rPr>
            </w:pPr>
            <w:r>
              <w:rPr>
                <w:rFonts w:ascii="Arial" w:cs="Arial" w:eastAsia="Arial" w:hAnsi="Arial"/>
                <w:sz w:val="13"/>
                <w:szCs w:val="13"/>
                <w:color w:val="auto"/>
              </w:rPr>
              <w:t>Add / (less) Non-GAAP adjustments: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6"/>
        </w:trPr>
        <w:tc>
          <w:tcPr>
            <w:tcW w:w="5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2"/>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Non-cash equity-based compensation</w:t>
            </w: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3,636</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7,751</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9,396</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12,375</w:t>
            </w: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Tax effect of non-cash equity-based compensation</w:t>
            </w:r>
          </w:p>
        </w:tc>
        <w:tc>
          <w:tcPr>
            <w:tcW w:w="52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(854)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(2,208)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(2,909)</w:t>
            </w:r>
          </w:p>
        </w:tc>
      </w:tr>
      <w:tr>
        <w:trPr>
          <w:trHeight w:val="26"/>
        </w:trPr>
        <w:tc>
          <w:tcPr>
            <w:tcW w:w="5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2"/>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Acquisition-related amortization expense</w:t>
            </w: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514</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2,407</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1,082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3,297</w:t>
            </w: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Tax effect of acquisition-related amortization expense</w:t>
            </w:r>
          </w:p>
        </w:tc>
        <w:tc>
          <w:tcPr>
            <w:tcW w:w="52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(707)</w:t>
            </w:r>
          </w:p>
        </w:tc>
      </w:tr>
      <w:tr>
        <w:trPr>
          <w:trHeight w:val="26"/>
        </w:trPr>
        <w:tc>
          <w:tcPr>
            <w:tcW w:w="5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2"/>
        </w:trPr>
        <w:tc>
          <w:tcPr>
            <w:tcW w:w="5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Acquisition-related long-term incentives and contingent consideration</w:t>
            </w:r>
            <w:r>
              <w:rPr>
                <w:rFonts w:ascii="Arial" w:cs="Arial" w:eastAsia="Arial" w:hAnsi="Arial"/>
                <w:sz w:val="16"/>
                <w:szCs w:val="16"/>
                <w:color w:val="auto"/>
                <w:vertAlign w:val="superscript"/>
              </w:rPr>
              <w:t>(1)</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1,786</w:t>
            </w:r>
          </w:p>
        </w:tc>
      </w:tr>
      <w:tr>
        <w:trPr>
          <w:trHeight w:val="176"/>
        </w:trPr>
        <w:tc>
          <w:tcPr>
            <w:tcW w:w="5300" w:type="dxa"/>
            <w:vAlign w:val="bottom"/>
          </w:tcPr>
          <w:p>
            <w:pPr>
              <w:ind w:left="100"/>
              <w:spacing w:after="0"/>
              <w:rPr>
                <w:sz w:val="20"/>
                <w:szCs w:val="20"/>
                <w:color w:val="auto"/>
              </w:rPr>
            </w:pPr>
            <w:r>
              <w:rPr>
                <w:rFonts w:ascii="Arial" w:cs="Arial" w:eastAsia="Arial" w:hAnsi="Arial"/>
                <w:sz w:val="13"/>
                <w:szCs w:val="13"/>
                <w:color w:val="auto"/>
              </w:rPr>
              <w:t>Tax effect of acquisition-related long-term incentives and contingent consideration</w:t>
            </w:r>
          </w:p>
        </w:tc>
        <w:tc>
          <w:tcPr>
            <w:tcW w:w="5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(474)</w:t>
            </w:r>
          </w:p>
        </w:tc>
      </w:tr>
      <w:tr>
        <w:trPr>
          <w:trHeight w:val="26"/>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income</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22,162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11,785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31,321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24,189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income per diluted common share</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0.62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0.33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0.87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expenses related to long-term incentives and contingent consideration related to our 2017 acquisition of Flashstock.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Growth (including by distribution channel) on a Constant Currency Basis</w:t>
      </w:r>
    </w:p>
    <w:p>
      <w:pPr>
        <w:spacing w:after="0" w:line="51"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40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1"/>
                <w:szCs w:val="11"/>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1"/>
                <w:szCs w:val="11"/>
                <w:b w:val="1"/>
                <w:bCs w:val="1"/>
                <w:color w:val="auto"/>
              </w:rPr>
              <w:t>Six Months Ended June 30,</w:t>
            </w:r>
          </w:p>
        </w:tc>
        <w:tc>
          <w:tcPr>
            <w:tcW w:w="140" w:type="dxa"/>
            <w:vAlign w:val="bottom"/>
            <w:tcBorders>
              <w:bottom w:val="single" w:sz="8" w:color="auto"/>
            </w:tcBorders>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3"/>
                <w:szCs w:val="13"/>
                <w:color w:val="auto"/>
              </w:rPr>
            </w:pPr>
          </w:p>
        </w:tc>
      </w:tr>
      <w:tr>
        <w:trPr>
          <w:trHeight w:val="146"/>
        </w:trPr>
        <w:tc>
          <w:tcPr>
            <w:tcW w:w="5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51"/>
        </w:trPr>
        <w:tc>
          <w:tcPr>
            <w:tcW w:w="5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Reported revenue (in thousands)</w:t>
            </w: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159,230</w:t>
            </w:r>
          </w:p>
        </w:tc>
        <w:tc>
          <w:tcPr>
            <w:tcW w:w="11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161,741</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320,515</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325,073</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i w:val="1"/>
                <w:iCs w:val="1"/>
                <w:color w:val="auto"/>
              </w:rPr>
              <w:t>Revenue growth</w:t>
            </w:r>
          </w:p>
        </w:tc>
        <w:tc>
          <w:tcPr>
            <w:tcW w:w="860" w:type="dxa"/>
            <w:vAlign w:val="bottom"/>
          </w:tcPr>
          <w:p>
            <w:pPr>
              <w:spacing w:after="0"/>
              <w:rPr>
                <w:sz w:val="15"/>
                <w:szCs w:val="15"/>
                <w:color w:val="auto"/>
              </w:rPr>
            </w:pPr>
          </w:p>
        </w:tc>
        <w:tc>
          <w:tcPr>
            <w:tcW w:w="1540" w:type="dxa"/>
            <w:vAlign w:val="bottom"/>
            <w:gridSpan w:val="2"/>
          </w:tcPr>
          <w:p>
            <w:pPr>
              <w:jc w:val="right"/>
              <w:ind w:right="898"/>
              <w:spacing w:after="0"/>
              <w:rPr>
                <w:sz w:val="20"/>
                <w:szCs w:val="20"/>
                <w:color w:val="auto"/>
              </w:rPr>
            </w:pPr>
            <w:r>
              <w:rPr>
                <w:rFonts w:ascii="Arial" w:cs="Arial" w:eastAsia="Arial" w:hAnsi="Arial"/>
                <w:sz w:val="13"/>
                <w:szCs w:val="13"/>
                <w:i w:val="1"/>
                <w:iCs w:val="1"/>
                <w:color w:val="auto"/>
              </w:rPr>
              <w:t>(2) %</w:t>
            </w:r>
          </w:p>
        </w:tc>
        <w:tc>
          <w:tcPr>
            <w:tcW w:w="440" w:type="dxa"/>
            <w:vAlign w:val="bottom"/>
          </w:tcPr>
          <w:p>
            <w:pPr>
              <w:jc w:val="right"/>
              <w:spacing w:after="0"/>
              <w:rPr>
                <w:sz w:val="20"/>
                <w:szCs w:val="20"/>
                <w:color w:val="auto"/>
              </w:rPr>
            </w:pPr>
            <w:r>
              <w:rPr>
                <w:rFonts w:ascii="Arial" w:cs="Arial" w:eastAsia="Arial" w:hAnsi="Arial"/>
                <w:sz w:val="13"/>
                <w:szCs w:val="13"/>
                <w:i w:val="1"/>
                <w:iCs w:val="1"/>
                <w:color w:val="auto"/>
              </w:rPr>
              <w:t>3</w:t>
            </w:r>
          </w:p>
        </w:tc>
        <w:tc>
          <w:tcPr>
            <w:tcW w:w="140" w:type="dxa"/>
            <w:vAlign w:val="bottom"/>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2"/>
          </w:tcPr>
          <w:p>
            <w:pPr>
              <w:jc w:val="right"/>
              <w:ind w:right="376"/>
              <w:spacing w:after="0"/>
              <w:rPr>
                <w:sz w:val="20"/>
                <w:szCs w:val="20"/>
                <w:color w:val="auto"/>
              </w:rPr>
            </w:pPr>
            <w:r>
              <w:rPr>
                <w:rFonts w:ascii="Arial" w:cs="Arial" w:eastAsia="Arial" w:hAnsi="Arial"/>
                <w:sz w:val="13"/>
                <w:szCs w:val="13"/>
                <w:i w:val="1"/>
                <w:iCs w:val="1"/>
                <w:color w:val="auto"/>
              </w:rPr>
              <w:t>(1) %</w:t>
            </w:r>
          </w:p>
        </w:tc>
        <w:tc>
          <w:tcPr>
            <w:tcW w:w="960" w:type="dxa"/>
            <w:vAlign w:val="bottom"/>
          </w:tcPr>
          <w:p>
            <w:pPr>
              <w:jc w:val="right"/>
              <w:spacing w:after="0"/>
              <w:rPr>
                <w:sz w:val="20"/>
                <w:szCs w:val="20"/>
                <w:color w:val="auto"/>
              </w:rPr>
            </w:pPr>
            <w:r>
              <w:rPr>
                <w:rFonts w:ascii="Arial" w:cs="Arial" w:eastAsia="Arial" w:hAnsi="Arial"/>
                <w:sz w:val="13"/>
                <w:szCs w:val="13"/>
                <w:i w:val="1"/>
                <w:iCs w:val="1"/>
                <w:color w:val="auto"/>
              </w:rPr>
              <w:t>5</w:t>
            </w:r>
          </w:p>
        </w:tc>
        <w:tc>
          <w:tcPr>
            <w:tcW w:w="140" w:type="dxa"/>
            <w:vAlign w:val="bottom"/>
          </w:tcPr>
          <w:p>
            <w:pPr>
              <w:jc w:val="right"/>
              <w:spacing w:after="0"/>
              <w:rPr>
                <w:sz w:val="20"/>
                <w:szCs w:val="20"/>
                <w:color w:val="auto"/>
              </w:rPr>
            </w:pPr>
            <w:r>
              <w:rPr>
                <w:rFonts w:ascii="Arial" w:cs="Arial" w:eastAsia="Arial" w:hAnsi="Arial"/>
                <w:sz w:val="13"/>
                <w:szCs w:val="13"/>
                <w:i w:val="1"/>
                <w:iCs w:val="1"/>
                <w:color w:val="auto"/>
                <w:w w:val="86"/>
              </w:rPr>
              <w:t>%</w:t>
            </w:r>
          </w:p>
        </w:tc>
      </w:tr>
      <w:tr>
        <w:trPr>
          <w:trHeight w:val="26"/>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5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i w:val="1"/>
                <w:iCs w:val="1"/>
                <w:color w:val="auto"/>
              </w:rPr>
              <w:t>Revenue growth on a constant currency basis</w:t>
            </w:r>
          </w:p>
        </w:tc>
        <w:tc>
          <w:tcPr>
            <w:tcW w:w="8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right"/>
              <w:ind w:right="898"/>
              <w:spacing w:after="0"/>
              <w:rPr>
                <w:sz w:val="20"/>
                <w:szCs w:val="20"/>
                <w:color w:val="auto"/>
              </w:rPr>
            </w:pPr>
            <w:r>
              <w:rPr>
                <w:rFonts w:ascii="Arial" w:cs="Arial" w:eastAsia="Arial" w:hAnsi="Arial"/>
                <w:sz w:val="13"/>
                <w:szCs w:val="13"/>
                <w:i w:val="1"/>
                <w:iCs w:val="1"/>
                <w:color w:val="auto"/>
              </w:rPr>
              <w:t>(1)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(1)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w w:val="86"/>
              </w:rPr>
              <w:t>%</w:t>
            </w:r>
          </w:p>
        </w:tc>
      </w:tr>
      <w:tr>
        <w:trPr>
          <w:trHeight w:val="42"/>
        </w:trPr>
        <w:tc>
          <w:tcPr>
            <w:tcW w:w="5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E-commerce reported revenue (in thousands)</w:t>
            </w: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98,164</w:t>
            </w:r>
          </w:p>
        </w:tc>
        <w:tc>
          <w:tcPr>
            <w:tcW w:w="11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96,993</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197,900</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195,106</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i w:val="1"/>
                <w:iCs w:val="1"/>
                <w:color w:val="auto"/>
              </w:rPr>
              <w:t>E-commerce revenue growth</w:t>
            </w:r>
          </w:p>
        </w:tc>
        <w:tc>
          <w:tcPr>
            <w:tcW w:w="860" w:type="dxa"/>
            <w:vAlign w:val="bottom"/>
          </w:tcPr>
          <w:p>
            <w:pPr>
              <w:spacing w:after="0"/>
              <w:rPr>
                <w:sz w:val="15"/>
                <w:szCs w:val="15"/>
                <w:color w:val="auto"/>
              </w:rPr>
            </w:pPr>
          </w:p>
        </w:tc>
        <w:tc>
          <w:tcPr>
            <w:tcW w:w="1540" w:type="dxa"/>
            <w:vAlign w:val="bottom"/>
            <w:gridSpan w:val="2"/>
          </w:tcPr>
          <w:p>
            <w:pPr>
              <w:jc w:val="right"/>
              <w:ind w:right="898"/>
              <w:spacing w:after="0"/>
              <w:rPr>
                <w:sz w:val="20"/>
                <w:szCs w:val="20"/>
                <w:color w:val="auto"/>
              </w:rPr>
            </w:pPr>
            <w:r>
              <w:rPr>
                <w:rFonts w:ascii="Arial" w:cs="Arial" w:eastAsia="Arial" w:hAnsi="Arial"/>
                <w:sz w:val="13"/>
                <w:szCs w:val="13"/>
                <w:i w:val="1"/>
                <w:iCs w:val="1"/>
                <w:color w:val="auto"/>
              </w:rPr>
              <w:t>1 %</w:t>
            </w:r>
          </w:p>
        </w:tc>
        <w:tc>
          <w:tcPr>
            <w:tcW w:w="580" w:type="dxa"/>
            <w:vAlign w:val="bottom"/>
            <w:gridSpan w:val="2"/>
          </w:tcPr>
          <w:p>
            <w:pPr>
              <w:jc w:val="right"/>
              <w:spacing w:after="0"/>
              <w:rPr>
                <w:sz w:val="20"/>
                <w:szCs w:val="20"/>
                <w:color w:val="auto"/>
              </w:rPr>
            </w:pPr>
            <w:r>
              <w:rPr>
                <w:rFonts w:ascii="Arial" w:cs="Arial" w:eastAsia="Arial" w:hAnsi="Arial"/>
                <w:sz w:val="13"/>
                <w:szCs w:val="13"/>
                <w:i w:val="1"/>
                <w:iCs w:val="1"/>
                <w:color w:val="auto"/>
              </w:rPr>
              <w:t>6 %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2"/>
          </w:tcPr>
          <w:p>
            <w:pPr>
              <w:jc w:val="right"/>
              <w:ind w:right="376"/>
              <w:spacing w:after="0"/>
              <w:rPr>
                <w:sz w:val="20"/>
                <w:szCs w:val="20"/>
                <w:color w:val="auto"/>
              </w:rPr>
            </w:pPr>
            <w:r>
              <w:rPr>
                <w:rFonts w:ascii="Arial" w:cs="Arial" w:eastAsia="Arial" w:hAnsi="Arial"/>
                <w:sz w:val="13"/>
                <w:szCs w:val="13"/>
                <w:i w:val="1"/>
                <w:iCs w:val="1"/>
                <w:color w:val="auto"/>
              </w:rPr>
              <w:t>1 %</w:t>
            </w:r>
          </w:p>
        </w:tc>
        <w:tc>
          <w:tcPr>
            <w:tcW w:w="1100" w:type="dxa"/>
            <w:vAlign w:val="bottom"/>
            <w:gridSpan w:val="2"/>
          </w:tcPr>
          <w:p>
            <w:pPr>
              <w:jc w:val="right"/>
              <w:spacing w:after="0"/>
              <w:rPr>
                <w:sz w:val="20"/>
                <w:szCs w:val="20"/>
                <w:color w:val="auto"/>
              </w:rPr>
            </w:pPr>
            <w:r>
              <w:rPr>
                <w:rFonts w:ascii="Arial" w:cs="Arial" w:eastAsia="Arial" w:hAnsi="Arial"/>
                <w:sz w:val="13"/>
                <w:szCs w:val="13"/>
                <w:i w:val="1"/>
                <w:iCs w:val="1"/>
                <w:color w:val="auto"/>
              </w:rPr>
              <w:t>8 %</w:t>
            </w:r>
          </w:p>
        </w:tc>
      </w:tr>
      <w:tr>
        <w:trPr>
          <w:trHeight w:val="26"/>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5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i w:val="1"/>
                <w:iCs w:val="1"/>
                <w:color w:val="auto"/>
              </w:rPr>
              <w:t>E-commerce revenue growth on a constant currency basis</w:t>
            </w:r>
          </w:p>
        </w:tc>
        <w:tc>
          <w:tcPr>
            <w:tcW w:w="8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2</w:t>
            </w: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3"/>
                <w:szCs w:val="13"/>
                <w:i w:val="1"/>
                <w:i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2</w:t>
            </w: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i w:val="1"/>
                <w:iCs w:val="1"/>
                <w:color w:val="auto"/>
                <w:w w:val="86"/>
              </w:rPr>
              <w:t>%</w:t>
            </w:r>
          </w:p>
        </w:tc>
      </w:tr>
      <w:tr>
        <w:trPr>
          <w:trHeight w:val="74"/>
        </w:trPr>
        <w:tc>
          <w:tcPr>
            <w:tcW w:w="5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8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Enterprise reported revenue (in thousands)</w:t>
            </w:r>
          </w:p>
        </w:tc>
        <w:tc>
          <w:tcPr>
            <w:tcW w:w="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61,066</w:t>
            </w:r>
          </w:p>
        </w:tc>
        <w:tc>
          <w:tcPr>
            <w:tcW w:w="11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64,748</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122,615</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129,967</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76"/>
        </w:trPr>
        <w:tc>
          <w:tcPr>
            <w:tcW w:w="5220" w:type="dxa"/>
            <w:vAlign w:val="bottom"/>
          </w:tcPr>
          <w:p>
            <w:pPr>
              <w:ind w:left="100"/>
              <w:spacing w:after="0"/>
              <w:rPr>
                <w:sz w:val="20"/>
                <w:szCs w:val="20"/>
                <w:color w:val="auto"/>
              </w:rPr>
            </w:pPr>
            <w:r>
              <w:rPr>
                <w:rFonts w:ascii="Arial" w:cs="Arial" w:eastAsia="Arial" w:hAnsi="Arial"/>
                <w:sz w:val="13"/>
                <w:szCs w:val="13"/>
                <w:i w:val="1"/>
                <w:iCs w:val="1"/>
                <w:color w:val="auto"/>
              </w:rPr>
              <w:t>Enterprise revenue growth</w:t>
            </w:r>
          </w:p>
        </w:tc>
        <w:tc>
          <w:tcPr>
            <w:tcW w:w="860" w:type="dxa"/>
            <w:vAlign w:val="bottom"/>
          </w:tcPr>
          <w:p>
            <w:pPr>
              <w:spacing w:after="0"/>
              <w:rPr>
                <w:sz w:val="15"/>
                <w:szCs w:val="15"/>
                <w:color w:val="auto"/>
              </w:rPr>
            </w:pPr>
          </w:p>
        </w:tc>
        <w:tc>
          <w:tcPr>
            <w:tcW w:w="1540" w:type="dxa"/>
            <w:vAlign w:val="bottom"/>
            <w:gridSpan w:val="2"/>
          </w:tcPr>
          <w:p>
            <w:pPr>
              <w:jc w:val="right"/>
              <w:ind w:right="898"/>
              <w:spacing w:after="0"/>
              <w:rPr>
                <w:sz w:val="20"/>
                <w:szCs w:val="20"/>
                <w:color w:val="auto"/>
              </w:rPr>
            </w:pPr>
            <w:r>
              <w:rPr>
                <w:rFonts w:ascii="Arial" w:cs="Arial" w:eastAsia="Arial" w:hAnsi="Arial"/>
                <w:sz w:val="13"/>
                <w:szCs w:val="13"/>
                <w:i w:val="1"/>
                <w:iCs w:val="1"/>
                <w:color w:val="auto"/>
              </w:rPr>
              <w:t>(6) %</w:t>
            </w:r>
          </w:p>
        </w:tc>
        <w:tc>
          <w:tcPr>
            <w:tcW w:w="1140" w:type="dxa"/>
            <w:vAlign w:val="bottom"/>
            <w:gridSpan w:val="4"/>
          </w:tcPr>
          <w:p>
            <w:pPr>
              <w:jc w:val="right"/>
              <w:ind w:right="560"/>
              <w:spacing w:after="0"/>
              <w:rPr>
                <w:sz w:val="20"/>
                <w:szCs w:val="20"/>
                <w:color w:val="auto"/>
              </w:rPr>
            </w:pPr>
            <w:r>
              <w:rPr>
                <w:rFonts w:ascii="Arial" w:cs="Arial" w:eastAsia="Arial" w:hAnsi="Arial"/>
                <w:sz w:val="13"/>
                <w:szCs w:val="13"/>
                <w:i w:val="1"/>
                <w:iCs w:val="1"/>
                <w:color w:val="auto"/>
              </w:rPr>
              <w:t>— %</w:t>
            </w:r>
          </w:p>
        </w:tc>
        <w:tc>
          <w:tcPr>
            <w:tcW w:w="1420" w:type="dxa"/>
            <w:vAlign w:val="bottom"/>
            <w:gridSpan w:val="2"/>
          </w:tcPr>
          <w:p>
            <w:pPr>
              <w:jc w:val="right"/>
              <w:ind w:right="376"/>
              <w:spacing w:after="0"/>
              <w:rPr>
                <w:sz w:val="20"/>
                <w:szCs w:val="20"/>
                <w:color w:val="auto"/>
              </w:rPr>
            </w:pPr>
            <w:r>
              <w:rPr>
                <w:rFonts w:ascii="Arial" w:cs="Arial" w:eastAsia="Arial" w:hAnsi="Arial"/>
                <w:sz w:val="13"/>
                <w:szCs w:val="13"/>
                <w:i w:val="1"/>
                <w:iCs w:val="1"/>
                <w:color w:val="auto"/>
              </w:rPr>
              <w:t>(6) %</w:t>
            </w:r>
          </w:p>
        </w:tc>
        <w:tc>
          <w:tcPr>
            <w:tcW w:w="960" w:type="dxa"/>
            <w:vAlign w:val="bottom"/>
          </w:tcPr>
          <w:p>
            <w:pPr>
              <w:jc w:val="right"/>
              <w:spacing w:after="0"/>
              <w:rPr>
                <w:sz w:val="20"/>
                <w:szCs w:val="20"/>
                <w:color w:val="auto"/>
              </w:rPr>
            </w:pPr>
            <w:r>
              <w:rPr>
                <w:rFonts w:ascii="Arial" w:cs="Arial" w:eastAsia="Arial" w:hAnsi="Arial"/>
                <w:sz w:val="13"/>
                <w:szCs w:val="13"/>
                <w:i w:val="1"/>
                <w:iCs w:val="1"/>
                <w:color w:val="auto"/>
              </w:rPr>
              <w:t>4</w:t>
            </w:r>
          </w:p>
        </w:tc>
        <w:tc>
          <w:tcPr>
            <w:tcW w:w="140" w:type="dxa"/>
            <w:vAlign w:val="bottom"/>
          </w:tcPr>
          <w:p>
            <w:pPr>
              <w:jc w:val="right"/>
              <w:spacing w:after="0"/>
              <w:rPr>
                <w:sz w:val="20"/>
                <w:szCs w:val="20"/>
                <w:color w:val="auto"/>
              </w:rPr>
            </w:pPr>
            <w:r>
              <w:rPr>
                <w:rFonts w:ascii="Arial" w:cs="Arial" w:eastAsia="Arial" w:hAnsi="Arial"/>
                <w:sz w:val="13"/>
                <w:szCs w:val="13"/>
                <w:i w:val="1"/>
                <w:iCs w:val="1"/>
                <w:color w:val="auto"/>
                <w:w w:val="86"/>
              </w:rPr>
              <w:t>%</w:t>
            </w:r>
          </w:p>
        </w:tc>
      </w:tr>
      <w:tr>
        <w:trPr>
          <w:trHeight w:val="26"/>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5220" w:type="dxa"/>
            <w:vAlign w:val="bottom"/>
            <w:shd w:val="clear" w:color="auto" w:fill="CCEEFF"/>
          </w:tcPr>
          <w:p>
            <w:pPr>
              <w:ind w:left="100"/>
              <w:spacing w:after="0"/>
              <w:rPr>
                <w:sz w:val="20"/>
                <w:szCs w:val="20"/>
                <w:color w:val="auto"/>
              </w:rPr>
            </w:pPr>
            <w:r>
              <w:rPr>
                <w:rFonts w:ascii="Arial" w:cs="Arial" w:eastAsia="Arial" w:hAnsi="Arial"/>
                <w:sz w:val="13"/>
                <w:szCs w:val="13"/>
                <w:i w:val="1"/>
                <w:iCs w:val="1"/>
                <w:color w:val="auto"/>
              </w:rPr>
              <w:t>Enterprise revenue growth on a constant currency basis</w:t>
            </w:r>
          </w:p>
        </w:tc>
        <w:tc>
          <w:tcPr>
            <w:tcW w:w="8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898"/>
              <w:spacing w:after="0"/>
              <w:rPr>
                <w:sz w:val="20"/>
                <w:szCs w:val="20"/>
                <w:color w:val="auto"/>
              </w:rPr>
            </w:pPr>
            <w:r>
              <w:rPr>
                <w:rFonts w:ascii="Arial" w:cs="Arial" w:eastAsia="Arial" w:hAnsi="Arial"/>
                <w:sz w:val="13"/>
                <w:szCs w:val="13"/>
                <w:i w:val="1"/>
                <w:iCs w:val="1"/>
                <w:color w:val="auto"/>
              </w:rPr>
              <w:t>(5) %</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(5) %</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w w:val="86"/>
              </w:rPr>
              <w:t>%</w:t>
            </w:r>
          </w:p>
        </w:tc>
      </w:tr>
      <w:tr>
        <w:trPr>
          <w:trHeight w:val="26"/>
        </w:trPr>
        <w:tc>
          <w:tcPr>
            <w:tcW w:w="5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Free Cash Flow</w:t>
      </w:r>
    </w:p>
    <w:p>
      <w:pPr>
        <w:spacing w:after="0" w:line="125" w:lineRule="exact"/>
        <w:rPr>
          <w:sz w:val="20"/>
          <w:szCs w:val="20"/>
          <w:color w:val="auto"/>
        </w:rPr>
      </w:pPr>
    </w:p>
    <w:p>
      <w:pPr>
        <w:ind w:right="380" w:firstLine="318"/>
        <w:spacing w:after="0" w:line="262" w:lineRule="auto"/>
        <w:rPr>
          <w:sz w:val="20"/>
          <w:szCs w:val="20"/>
          <w:color w:val="auto"/>
        </w:rPr>
      </w:pPr>
      <w:r>
        <w:rPr>
          <w:rFonts w:ascii="Arial" w:cs="Arial" w:eastAsia="Arial" w:hAnsi="Arial"/>
          <w:sz w:val="14"/>
          <w:szCs w:val="14"/>
          <w:color w:val="auto"/>
        </w:rPr>
        <w:t>We define free cash flow as our cash provided by operating activities, adjusted for capital expenditures and content acquisition</w:t>
      </w:r>
      <w:r>
        <w:rPr>
          <w:rFonts w:ascii="Arial" w:cs="Arial" w:eastAsia="Arial" w:hAnsi="Arial"/>
          <w:sz w:val="13"/>
          <w:szCs w:val="13"/>
          <w:color w:val="auto"/>
        </w:rPr>
        <w:t>, and, with respect to the three months ended March 31, 2020, a</w:t>
      </w:r>
      <w:r>
        <w:rPr>
          <w:rFonts w:ascii="Arial" w:cs="Arial" w:eastAsia="Arial" w:hAnsi="Arial"/>
          <w:sz w:val="14"/>
          <w:szCs w:val="14"/>
          <w:color w:val="auto"/>
        </w:rPr>
        <w:t xml:space="preserve"> </w:t>
      </w:r>
      <w:r>
        <w:rPr>
          <w:rFonts w:ascii="Arial" w:cs="Arial" w:eastAsia="Arial" w:hAnsi="Arial"/>
          <w:sz w:val="13"/>
          <w:szCs w:val="13"/>
          <w:color w:val="auto"/>
        </w:rPr>
        <w:t>payment associated with long-term incentives related to our 2017 acquisition of Flashstock.</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reconciliation of net cash provided by operating activities to free cash flow for each of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4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1"/>
                <w:szCs w:val="11"/>
                <w:b w:val="1"/>
                <w:bCs w:val="1"/>
                <w:color w:val="auto"/>
              </w:rPr>
              <w:t>Six Months Ended June 30,</w:t>
            </w:r>
          </w:p>
        </w:tc>
        <w:tc>
          <w:tcPr>
            <w:tcW w:w="560" w:type="dxa"/>
            <w:vAlign w:val="bottom"/>
            <w:tcBorders>
              <w:bottom w:val="single" w:sz="8" w:color="auto"/>
            </w:tcBorders>
          </w:tcPr>
          <w:p>
            <w:pPr>
              <w:spacing w:after="0"/>
              <w:rPr>
                <w:sz w:val="13"/>
                <w:szCs w:val="13"/>
                <w:color w:val="auto"/>
              </w:rPr>
            </w:pPr>
          </w:p>
        </w:tc>
      </w:tr>
      <w:tr>
        <w:trPr>
          <w:trHeight w:val="150"/>
        </w:trPr>
        <w:tc>
          <w:tcPr>
            <w:tcW w:w="83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3"/>
                <w:szCs w:val="13"/>
                <w:color w:val="auto"/>
              </w:rPr>
            </w:pPr>
          </w:p>
        </w:tc>
      </w:tr>
      <w:tr>
        <w:trPr>
          <w:trHeight w:val="146"/>
        </w:trPr>
        <w:tc>
          <w:tcPr>
            <w:tcW w:w="8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3"/>
          </w:tcPr>
          <w:p>
            <w:pPr>
              <w:jc w:val="right"/>
              <w:ind w:right="509"/>
              <w:spacing w:after="0"/>
              <w:rPr>
                <w:sz w:val="20"/>
                <w:szCs w:val="20"/>
                <w:color w:val="auto"/>
              </w:rPr>
            </w:pPr>
            <w:r>
              <w:rPr>
                <w:rFonts w:ascii="Arial" w:cs="Arial" w:eastAsia="Arial" w:hAnsi="Arial"/>
                <w:sz w:val="11"/>
                <w:szCs w:val="11"/>
                <w:b w:val="1"/>
                <w:bCs w:val="1"/>
                <w:color w:val="auto"/>
              </w:rPr>
              <w:t>(in thousands)</w:t>
            </w:r>
          </w:p>
        </w:tc>
        <w:tc>
          <w:tcPr>
            <w:tcW w:w="560" w:type="dxa"/>
            <w:vAlign w:val="bottom"/>
          </w:tcPr>
          <w:p>
            <w:pPr>
              <w:spacing w:after="0"/>
              <w:rPr>
                <w:sz w:val="12"/>
                <w:szCs w:val="12"/>
                <w:color w:val="auto"/>
              </w:rPr>
            </w:pPr>
          </w:p>
        </w:tc>
      </w:tr>
      <w:tr>
        <w:trPr>
          <w:trHeight w:val="51"/>
        </w:trPr>
        <w:tc>
          <w:tcPr>
            <w:tcW w:w="8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6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36,343</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46,743</w:t>
            </w:r>
          </w:p>
        </w:tc>
      </w:tr>
      <w:tr>
        <w:trPr>
          <w:trHeight w:val="176"/>
        </w:trPr>
        <w:tc>
          <w:tcPr>
            <w:tcW w:w="834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860" w:type="dxa"/>
            <w:vAlign w:val="bottom"/>
          </w:tcPr>
          <w:p>
            <w:pPr>
              <w:spacing w:after="0"/>
              <w:rPr>
                <w:sz w:val="15"/>
                <w:szCs w:val="15"/>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w w:val="94"/>
              </w:rPr>
              <w:t>(13,966)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w w:val="90"/>
              </w:rPr>
              <w:t>(13,726)</w:t>
            </w:r>
          </w:p>
        </w:tc>
      </w:tr>
      <w:tr>
        <w:trPr>
          <w:trHeight w:val="26"/>
        </w:trPr>
        <w:tc>
          <w:tcPr>
            <w:tcW w:w="8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Content acquisitions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(1,577)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(1,277)</w:t>
            </w:r>
          </w:p>
        </w:tc>
      </w:tr>
      <w:tr>
        <w:trPr>
          <w:trHeight w:val="19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Payments related to long-term incentives related to acquisitions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7,759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r>
      <w:tr>
        <w:trPr>
          <w:trHeight w:val="217"/>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Free Cash Flow</w:t>
            </w:r>
          </w:p>
        </w:tc>
        <w:tc>
          <w:tcPr>
            <w:tcW w:w="86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28,559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31,740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8" w:lineRule="exact"/>
        <w:rPr>
          <w:sz w:val="20"/>
          <w:szCs w:val="20"/>
          <w:color w:val="auto"/>
        </w:rPr>
      </w:pPr>
    </w:p>
    <w:p>
      <w:pPr>
        <w:jc w:val="both"/>
        <w:ind w:right="100" w:firstLine="318"/>
        <w:spacing w:after="0" w:line="321" w:lineRule="auto"/>
        <w:rPr>
          <w:sz w:val="20"/>
          <w:szCs w:val="20"/>
          <w:color w:val="auto"/>
        </w:rPr>
      </w:pPr>
      <w:r>
        <w:rPr>
          <w:rFonts w:ascii="Arial" w:cs="Arial" w:eastAsia="Arial" w:hAnsi="Arial"/>
          <w:sz w:val="13"/>
          <w:szCs w:val="13"/>
          <w:color w:val="auto"/>
        </w:rPr>
        <w:t>As of June 30, 2020,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are exposed to market risks in the ordinary course of our business, including risks related to foreign currency exchange rate fluctuation, interest rate fluctuation and inflation.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94"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35% for the six months ended June 30, 2020 and 2019.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2020, we estimate that a 10% change in the exchange rate of the U.S. dollar against all foreign currency denominated revenues would result in an approximately 3% impact on our revenue.</w:t>
      </w:r>
    </w:p>
    <w:p>
      <w:pPr>
        <w:spacing w:after="0" w:line="81" w:lineRule="exact"/>
        <w:rPr>
          <w:sz w:val="20"/>
          <w:szCs w:val="20"/>
          <w:color w:val="auto"/>
        </w:rPr>
      </w:pPr>
    </w:p>
    <w:p>
      <w:pPr>
        <w:jc w:val="both"/>
        <w:ind w:right="140" w:firstLine="318"/>
        <w:spacing w:after="0" w:line="262" w:lineRule="auto"/>
        <w:rPr>
          <w:sz w:val="20"/>
          <w:szCs w:val="20"/>
          <w:color w:val="auto"/>
        </w:rPr>
      </w:pPr>
      <w:r>
        <w:rPr>
          <w:rFonts w:ascii="Arial" w:cs="Arial" w:eastAsia="Arial" w:hAnsi="Arial"/>
          <w:sz w:val="14"/>
          <w:szCs w:val="14"/>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historical revenue by currency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0"/>
                <w:szCs w:val="10"/>
                <w:b w:val="1"/>
                <w:bCs w:val="1"/>
                <w:color w:val="auto"/>
              </w:rPr>
              <w:t>Three Months Ended June 30,</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0"/>
                <w:szCs w:val="10"/>
                <w:b w:val="1"/>
                <w:bCs w:val="1"/>
                <w:color w:val="auto"/>
              </w:rPr>
              <w:t>Six Months Ended June 30,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39"/>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2020</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w w:val="98"/>
              </w:rPr>
              <w:t>2019</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w w:val="98"/>
              </w:rPr>
              <w:t>2020</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2019</w:t>
            </w:r>
          </w:p>
        </w:tc>
        <w:tc>
          <w:tcPr>
            <w:tcW w:w="780" w:type="dxa"/>
            <w:vAlign w:val="bottom"/>
            <w:tcBorders>
              <w:bottom w:val="single" w:sz="8" w:color="auto"/>
            </w:tcBorders>
          </w:tcPr>
          <w:p>
            <w:pPr>
              <w:spacing w:after="0"/>
              <w:rPr>
                <w:sz w:val="12"/>
                <w:szCs w:val="12"/>
                <w:color w:val="auto"/>
              </w:rPr>
            </w:pPr>
          </w:p>
        </w:tc>
      </w:tr>
      <w:tr>
        <w:trPr>
          <w:trHeight w:val="112"/>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12" w:lineRule="exact"/>
              <w:rPr>
                <w:sz w:val="20"/>
                <w:szCs w:val="20"/>
                <w:color w:val="auto"/>
              </w:rPr>
            </w:pPr>
            <w:r>
              <w:rPr>
                <w:rFonts w:ascii="Arial" w:cs="Arial" w:eastAsia="Arial" w:hAnsi="Arial"/>
                <w:sz w:val="10"/>
                <w:szCs w:val="10"/>
                <w:b w:val="1"/>
                <w:bCs w:val="1"/>
                <w:color w:val="auto"/>
                <w:w w:val="93"/>
              </w:rPr>
              <w:t>Originating</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12" w:lineRule="exact"/>
              <w:rPr>
                <w:sz w:val="20"/>
                <w:szCs w:val="20"/>
                <w:color w:val="auto"/>
              </w:rPr>
            </w:pPr>
            <w:r>
              <w:rPr>
                <w:rFonts w:ascii="Arial" w:cs="Arial" w:eastAsia="Arial" w:hAnsi="Arial"/>
                <w:sz w:val="10"/>
                <w:szCs w:val="10"/>
                <w:b w:val="1"/>
                <w:bCs w:val="1"/>
                <w:color w:val="auto"/>
                <w:w w:val="93"/>
              </w:rPr>
              <w:t>Originating</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12" w:lineRule="exact"/>
              <w:rPr>
                <w:sz w:val="20"/>
                <w:szCs w:val="20"/>
                <w:color w:val="auto"/>
              </w:rPr>
            </w:pPr>
            <w:r>
              <w:rPr>
                <w:rFonts w:ascii="Arial" w:cs="Arial" w:eastAsia="Arial" w:hAnsi="Arial"/>
                <w:sz w:val="10"/>
                <w:szCs w:val="10"/>
                <w:b w:val="1"/>
                <w:bCs w:val="1"/>
                <w:color w:val="auto"/>
                <w:w w:val="89"/>
              </w:rPr>
              <w:t>Originating</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ind w:right="163"/>
              <w:spacing w:after="0" w:line="112" w:lineRule="exact"/>
              <w:rPr>
                <w:sz w:val="20"/>
                <w:szCs w:val="20"/>
                <w:color w:val="auto"/>
              </w:rPr>
            </w:pPr>
            <w:r>
              <w:rPr>
                <w:rFonts w:ascii="Arial" w:cs="Arial" w:eastAsia="Arial" w:hAnsi="Arial"/>
                <w:sz w:val="10"/>
                <w:szCs w:val="10"/>
                <w:b w:val="1"/>
                <w:bCs w:val="1"/>
                <w:color w:val="auto"/>
              </w:rPr>
              <w:t>Originating</w:t>
            </w:r>
          </w:p>
        </w:tc>
      </w:tr>
      <w:tr>
        <w:trPr>
          <w:trHeight w:val="133"/>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38"/>
              <w:spacing w:after="0"/>
              <w:rPr>
                <w:sz w:val="20"/>
                <w:szCs w:val="20"/>
                <w:color w:val="auto"/>
              </w:rPr>
            </w:pPr>
            <w:r>
              <w:rPr>
                <w:rFonts w:ascii="Arial" w:cs="Arial" w:eastAsia="Arial" w:hAnsi="Arial"/>
                <w:sz w:val="10"/>
                <w:szCs w:val="10"/>
                <w:b w:val="1"/>
                <w:bCs w:val="1"/>
                <w:color w:val="auto"/>
                <w:w w:val="96"/>
              </w:rPr>
              <w:t>U.S. Dollars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Currency</w:t>
            </w:r>
          </w:p>
        </w:tc>
        <w:tc>
          <w:tcPr>
            <w:tcW w:w="120" w:type="dxa"/>
            <w:vAlign w:val="bottom"/>
          </w:tcPr>
          <w:p>
            <w:pPr>
              <w:spacing w:after="0"/>
              <w:rPr>
                <w:sz w:val="11"/>
                <w:szCs w:val="11"/>
                <w:color w:val="auto"/>
              </w:rPr>
            </w:pPr>
          </w:p>
        </w:tc>
        <w:tc>
          <w:tcPr>
            <w:tcW w:w="680" w:type="dxa"/>
            <w:vAlign w:val="bottom"/>
          </w:tcPr>
          <w:p>
            <w:pPr>
              <w:jc w:val="right"/>
              <w:ind w:right="38"/>
              <w:spacing w:after="0"/>
              <w:rPr>
                <w:sz w:val="20"/>
                <w:szCs w:val="20"/>
                <w:color w:val="auto"/>
              </w:rPr>
            </w:pPr>
            <w:r>
              <w:rPr>
                <w:rFonts w:ascii="Arial" w:cs="Arial" w:eastAsia="Arial" w:hAnsi="Arial"/>
                <w:sz w:val="10"/>
                <w:szCs w:val="10"/>
                <w:b w:val="1"/>
                <w:bCs w:val="1"/>
                <w:color w:val="auto"/>
                <w:w w:val="99"/>
              </w:rPr>
              <w:t>U.S. Dollars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Currency</w:t>
            </w:r>
          </w:p>
        </w:tc>
        <w:tc>
          <w:tcPr>
            <w:tcW w:w="140" w:type="dxa"/>
            <w:vAlign w:val="bottom"/>
          </w:tcPr>
          <w:p>
            <w:pPr>
              <w:spacing w:after="0"/>
              <w:rPr>
                <w:sz w:val="11"/>
                <w:szCs w:val="11"/>
                <w:color w:val="auto"/>
              </w:rPr>
            </w:pPr>
          </w:p>
        </w:tc>
        <w:tc>
          <w:tcPr>
            <w:tcW w:w="660" w:type="dxa"/>
            <w:vAlign w:val="bottom"/>
          </w:tcPr>
          <w:p>
            <w:pPr>
              <w:jc w:val="right"/>
              <w:ind w:right="38"/>
              <w:spacing w:after="0"/>
              <w:rPr>
                <w:sz w:val="20"/>
                <w:szCs w:val="20"/>
                <w:color w:val="auto"/>
              </w:rPr>
            </w:pPr>
            <w:r>
              <w:rPr>
                <w:rFonts w:ascii="Arial" w:cs="Arial" w:eastAsia="Arial" w:hAnsi="Arial"/>
                <w:sz w:val="10"/>
                <w:szCs w:val="10"/>
                <w:b w:val="1"/>
                <w:bCs w:val="1"/>
                <w:color w:val="auto"/>
                <w:w w:val="96"/>
              </w:rPr>
              <w:t>U.S. Dollars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Currency</w:t>
            </w:r>
          </w:p>
        </w:tc>
        <w:tc>
          <w:tcPr>
            <w:tcW w:w="120" w:type="dxa"/>
            <w:vAlign w:val="bottom"/>
          </w:tcPr>
          <w:p>
            <w:pPr>
              <w:spacing w:after="0"/>
              <w:rPr>
                <w:sz w:val="11"/>
                <w:szCs w:val="11"/>
                <w:color w:val="auto"/>
              </w:rPr>
            </w:pPr>
          </w:p>
        </w:tc>
        <w:tc>
          <w:tcPr>
            <w:tcW w:w="680" w:type="dxa"/>
            <w:vAlign w:val="bottom"/>
          </w:tcPr>
          <w:p>
            <w:pPr>
              <w:jc w:val="right"/>
              <w:ind w:right="38"/>
              <w:spacing w:after="0"/>
              <w:rPr>
                <w:sz w:val="20"/>
                <w:szCs w:val="20"/>
                <w:color w:val="auto"/>
              </w:rPr>
            </w:pPr>
            <w:r>
              <w:rPr>
                <w:rFonts w:ascii="Arial" w:cs="Arial" w:eastAsia="Arial" w:hAnsi="Arial"/>
                <w:sz w:val="10"/>
                <w:szCs w:val="10"/>
                <w:b w:val="1"/>
                <w:bCs w:val="1"/>
                <w:color w:val="auto"/>
                <w:w w:val="99"/>
              </w:rPr>
              <w:t>U.S. Dollars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03"/>
              <w:spacing w:after="0"/>
              <w:rPr>
                <w:sz w:val="20"/>
                <w:szCs w:val="20"/>
                <w:color w:val="auto"/>
              </w:rPr>
            </w:pPr>
            <w:r>
              <w:rPr>
                <w:rFonts w:ascii="Arial" w:cs="Arial" w:eastAsia="Arial" w:hAnsi="Arial"/>
                <w:sz w:val="10"/>
                <w:szCs w:val="10"/>
                <w:b w:val="1"/>
                <w:bCs w:val="1"/>
                <w:color w:val="auto"/>
              </w:rPr>
              <w:t>Currency</w:t>
            </w:r>
          </w:p>
        </w:tc>
      </w:tr>
      <w:tr>
        <w:trPr>
          <w:trHeight w:val="174"/>
        </w:trPr>
        <w:tc>
          <w:tcPr>
            <w:tcW w:w="3380" w:type="dxa"/>
            <w:vAlign w:val="bottom"/>
          </w:tcPr>
          <w:p>
            <w:pPr>
              <w:ind w:left="20"/>
              <w:spacing w:after="0"/>
              <w:rPr>
                <w:sz w:val="20"/>
                <w:szCs w:val="20"/>
                <w:color w:val="auto"/>
              </w:rPr>
            </w:pPr>
            <w:r>
              <w:rPr>
                <w:rFonts w:ascii="Arial" w:cs="Arial" w:eastAsia="Arial" w:hAnsi="Arial"/>
                <w:sz w:val="13"/>
                <w:szCs w:val="13"/>
                <w:color w:val="auto"/>
              </w:rPr>
              <w:t>Euro</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32,756</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85"/>
              <w:spacing w:after="0"/>
              <w:rPr>
                <w:sz w:val="20"/>
                <w:szCs w:val="20"/>
                <w:color w:val="auto"/>
              </w:rPr>
            </w:pPr>
            <w:r>
              <w:rPr>
                <w:rFonts w:ascii="Arial" w:cs="Arial" w:eastAsia="Arial" w:hAnsi="Arial"/>
                <w:sz w:val="13"/>
                <w:szCs w:val="13"/>
                <w:color w:val="auto"/>
              </w:rPr>
              <w:t>29,717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33,460</w:t>
            </w: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83"/>
              <w:spacing w:after="0"/>
              <w:rPr>
                <w:sz w:val="20"/>
                <w:szCs w:val="20"/>
                <w:color w:val="auto"/>
              </w:rPr>
            </w:pPr>
            <w:r>
              <w:rPr>
                <w:rFonts w:ascii="Arial" w:cs="Arial" w:eastAsia="Arial" w:hAnsi="Arial"/>
                <w:sz w:val="13"/>
                <w:szCs w:val="13"/>
                <w:color w:val="auto"/>
              </w:rPr>
              <w:t>29,467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66,448</w:t>
            </w: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85"/>
              <w:spacing w:after="0"/>
              <w:rPr>
                <w:sz w:val="20"/>
                <w:szCs w:val="20"/>
                <w:color w:val="auto"/>
              </w:rPr>
            </w:pPr>
            <w:r>
              <w:rPr>
                <w:rFonts w:ascii="Arial" w:cs="Arial" w:eastAsia="Arial" w:hAnsi="Arial"/>
                <w:sz w:val="13"/>
                <w:szCs w:val="13"/>
                <w:color w:val="auto"/>
              </w:rPr>
              <w:t>60,095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66,535</w:t>
            </w: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83"/>
              <w:spacing w:after="0"/>
              <w:rPr>
                <w:sz w:val="20"/>
                <w:szCs w:val="20"/>
                <w:color w:val="auto"/>
              </w:rPr>
            </w:pPr>
            <w:r>
              <w:rPr>
                <w:rFonts w:ascii="Arial" w:cs="Arial" w:eastAsia="Arial" w:hAnsi="Arial"/>
                <w:sz w:val="13"/>
                <w:szCs w:val="13"/>
                <w:color w:val="auto"/>
              </w:rPr>
              <w:t>58,138</w:t>
            </w:r>
          </w:p>
        </w:tc>
      </w:tr>
      <w:tr>
        <w:trPr>
          <w:trHeight w:val="26"/>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British pounds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11,274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3"/>
                <w:szCs w:val="13"/>
                <w:color w:val="auto"/>
              </w:rPr>
              <w:t>9,039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11,918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3"/>
                <w:szCs w:val="13"/>
                <w:color w:val="auto"/>
              </w:rPr>
              <w:t>9,191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23,477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3"/>
                <w:szCs w:val="13"/>
                <w:color w:val="auto"/>
              </w:rPr>
              <w:t>18,509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24,032</w:t>
            </w:r>
          </w:p>
        </w:tc>
        <w:tc>
          <w:tcPr>
            <w:tcW w:w="3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3"/>
                <w:szCs w:val="13"/>
                <w:color w:val="auto"/>
              </w:rPr>
              <w:t>18,447</w:t>
            </w:r>
          </w:p>
        </w:tc>
      </w:tr>
      <w:tr>
        <w:trPr>
          <w:trHeight w:val="202"/>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 other non-U.S. currencies</w:t>
            </w:r>
            <w:r>
              <w:rPr>
                <w:rFonts w:ascii="Arial" w:cs="Arial" w:eastAsia="Arial" w:hAnsi="Arial"/>
                <w:sz w:val="16"/>
                <w:szCs w:val="16"/>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23,203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r>
      <w:tr>
        <w:trPr>
          <w:trHeight w:val="172"/>
        </w:trPr>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foreign currency</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55,438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57,130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113,128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114,081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42"/>
        </w:trPr>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dollar</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103,792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104,611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207,387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210,992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0"/>
        </w:trPr>
        <w:tc>
          <w:tcPr>
            <w:tcW w:w="3380" w:type="dxa"/>
            <w:vAlign w:val="bottom"/>
          </w:tcPr>
          <w:p>
            <w:pPr>
              <w:ind w:left="100"/>
              <w:spacing w:after="0"/>
              <w:rPr>
                <w:sz w:val="20"/>
                <w:szCs w:val="20"/>
                <w:color w:val="auto"/>
              </w:rPr>
            </w:pPr>
            <w:r>
              <w:rPr>
                <w:rFonts w:ascii="Arial" w:cs="Arial" w:eastAsia="Arial" w:hAnsi="Arial"/>
                <w:sz w:val="13"/>
                <w:szCs w:val="13"/>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159,230</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161,741</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320,515</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325,073</w:t>
            </w: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33"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no single currency which exceeded 5% of total revenue for any of the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Fluctuation Risk</w:t>
      </w:r>
    </w:p>
    <w:p>
      <w:pPr>
        <w:spacing w:after="0" w:line="94"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did not have any long-term borrowings as of June 30,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94"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94"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the effectiveness of our disclosure controls and procedures as of June 30,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6"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4"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ind w:left="3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2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2019 Form 10-K, and Part II, “Item 1. Risk Factors” in our first quarter 2020 Form 10-Q, which could materially affect our business, financial condition or future results. During the three months ended June 30, 2020, there were no material changes to these risk factors as described in our 2019 Form 10-K and first quarter 2020 Form 10-Q.</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7" w:name="page38"/>
    <w:bookmarkEnd w:id="37"/>
    <w:p>
      <w:pPr>
        <w:ind w:left="30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EXHIBIT INDEX</w:t>
            </w:r>
          </w:p>
        </w:tc>
      </w:tr>
      <w:tr>
        <w:trPr>
          <w:trHeight w:val="363"/>
        </w:trPr>
        <w:tc>
          <w:tcPr>
            <w:tcW w:w="980" w:type="dxa"/>
            <w:vAlign w:val="bottom"/>
          </w:tcPr>
          <w:p>
            <w:pPr>
              <w:ind w:left="240"/>
              <w:spacing w:after="0"/>
              <w:rPr>
                <w:sz w:val="20"/>
                <w:szCs w:val="20"/>
                <w:color w:val="auto"/>
              </w:rPr>
            </w:pPr>
            <w:r>
              <w:rPr>
                <w:rFonts w:ascii="Arial" w:cs="Arial" w:eastAsia="Arial" w:hAnsi="Arial"/>
                <w:sz w:val="11"/>
                <w:szCs w:val="11"/>
                <w:b w:val="1"/>
                <w:bCs w:val="1"/>
                <w:color w:val="auto"/>
              </w:rPr>
              <w:t>Exhibit</w:t>
            </w: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980" w:type="dxa"/>
            <w:vAlign w:val="bottom"/>
          </w:tcPr>
          <w:p>
            <w:pPr>
              <w:ind w:left="220"/>
              <w:spacing w:after="0"/>
              <w:rPr>
                <w:sz w:val="20"/>
                <w:szCs w:val="20"/>
                <w:color w:val="auto"/>
              </w:rPr>
            </w:pPr>
            <w:r>
              <w:rPr>
                <w:rFonts w:ascii="Arial" w:cs="Arial" w:eastAsia="Arial" w:hAnsi="Arial"/>
                <w:sz w:val="11"/>
                <w:szCs w:val="11"/>
                <w:b w:val="1"/>
                <w:bCs w:val="1"/>
                <w:color w:val="auto"/>
              </w:rPr>
              <w:t>Number</w:t>
            </w:r>
          </w:p>
        </w:tc>
        <w:tc>
          <w:tcPr>
            <w:tcW w:w="2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760" w:type="dxa"/>
            <w:vAlign w:val="bottom"/>
            <w:gridSpan w:val="3"/>
          </w:tcPr>
          <w:p>
            <w:pPr>
              <w:ind w:left="500"/>
              <w:spacing w:after="0"/>
              <w:rPr>
                <w:sz w:val="20"/>
                <w:szCs w:val="20"/>
                <w:color w:val="auto"/>
              </w:rPr>
            </w:pPr>
            <w:r>
              <w:rPr>
                <w:rFonts w:ascii="Arial" w:cs="Arial" w:eastAsia="Arial" w:hAnsi="Arial"/>
                <w:sz w:val="11"/>
                <w:szCs w:val="11"/>
                <w:b w:val="1"/>
                <w:bCs w:val="1"/>
                <w:color w:val="auto"/>
              </w:rPr>
              <w:t>Exhibit Description</w:t>
            </w:r>
          </w:p>
        </w:tc>
      </w:tr>
      <w:tr>
        <w:trPr>
          <w:trHeight w:val="184"/>
        </w:trPr>
        <w:tc>
          <w:tcPr>
            <w:tcW w:w="980" w:type="dxa"/>
            <w:vAlign w:val="bottom"/>
          </w:tcPr>
          <w:p>
            <w:pPr>
              <w:spacing w:after="0"/>
              <w:rPr>
                <w:sz w:val="20"/>
                <w:szCs w:val="20"/>
                <w:color w:val="auto"/>
              </w:rPr>
            </w:pPr>
            <w:r>
              <w:rPr>
                <w:rFonts w:ascii="Arial" w:cs="Arial" w:eastAsia="Arial" w:hAnsi="Arial"/>
                <w:sz w:val="13"/>
                <w:szCs w:val="13"/>
                <w:color w:val="auto"/>
              </w:rPr>
              <w:t>10.1#</w:t>
            </w:r>
          </w:p>
        </w:tc>
        <w:tc>
          <w:tcPr>
            <w:tcW w:w="9860" w:type="dxa"/>
            <w:vAlign w:val="bottom"/>
            <w:gridSpan w:val="5"/>
          </w:tcPr>
          <w:p>
            <w:pPr>
              <w:spacing w:after="0"/>
              <w:rPr>
                <w:rFonts w:ascii="Arial" w:cs="Arial" w:eastAsia="Arial" w:hAnsi="Arial"/>
                <w:sz w:val="13"/>
                <w:szCs w:val="13"/>
                <w:u w:val="single" w:color="auto"/>
                <w:color w:val="0000FF"/>
              </w:rPr>
            </w:pPr>
            <w:hyperlink w:anchor="page40">
              <w:r>
                <w:rPr>
                  <w:rFonts w:ascii="Arial" w:cs="Arial" w:eastAsia="Arial" w:hAnsi="Arial"/>
                  <w:sz w:val="13"/>
                  <w:szCs w:val="13"/>
                  <w:u w:val="single" w:color="auto"/>
                  <w:color w:val="0000FF"/>
                </w:rPr>
                <w:t>Offer Letter, dated February 11, 2020, between the Company and Abraham Muchnick</w:t>
              </w:r>
            </w:hyperlink>
          </w:p>
        </w:tc>
      </w:tr>
      <w:tr>
        <w:trPr>
          <w:trHeight w:val="164"/>
        </w:trPr>
        <w:tc>
          <w:tcPr>
            <w:tcW w:w="980" w:type="dxa"/>
            <w:vAlign w:val="bottom"/>
          </w:tcPr>
          <w:p>
            <w:pPr>
              <w:spacing w:after="0" w:line="144" w:lineRule="exact"/>
              <w:rPr>
                <w:sz w:val="20"/>
                <w:szCs w:val="20"/>
                <w:color w:val="auto"/>
              </w:rPr>
            </w:pPr>
            <w:r>
              <w:rPr>
                <w:rFonts w:ascii="Arial" w:cs="Arial" w:eastAsia="Arial" w:hAnsi="Arial"/>
                <w:sz w:val="13"/>
                <w:szCs w:val="13"/>
                <w:color w:val="auto"/>
              </w:rPr>
              <w:t>10.2#</w:t>
            </w:r>
          </w:p>
        </w:tc>
        <w:tc>
          <w:tcPr>
            <w:tcW w:w="9860" w:type="dxa"/>
            <w:vAlign w:val="bottom"/>
            <w:gridSpan w:val="5"/>
          </w:tcPr>
          <w:p>
            <w:pPr>
              <w:spacing w:after="0" w:line="144" w:lineRule="exact"/>
              <w:rPr>
                <w:rFonts w:ascii="Arial" w:cs="Arial" w:eastAsia="Arial" w:hAnsi="Arial"/>
                <w:sz w:val="13"/>
                <w:szCs w:val="13"/>
                <w:color w:val="0000FF"/>
              </w:rPr>
            </w:pPr>
            <w:hyperlink w:anchor="page44">
              <w:r>
                <w:rPr>
                  <w:rFonts w:ascii="Arial" w:cs="Arial" w:eastAsia="Arial" w:hAnsi="Arial"/>
                  <w:sz w:val="13"/>
                  <w:szCs w:val="13"/>
                  <w:u w:val="single" w:color="auto"/>
                  <w:color w:val="0000FF"/>
                </w:rPr>
                <w:t>Employment Agreement, dated November 4, 2019, between the Company and</w:t>
              </w:r>
              <w:r>
                <w:rPr>
                  <w:rFonts w:ascii="Arial" w:cs="Arial" w:eastAsia="Arial" w:hAnsi="Arial"/>
                  <w:sz w:val="13"/>
                  <w:szCs w:val="13"/>
                  <w:color w:val="0000FF"/>
                </w:rPr>
                <w:t xml:space="preserve"> Pietro Silvio</w:t>
              </w:r>
            </w:hyperlink>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80" w:type="dxa"/>
            <w:vAlign w:val="bottom"/>
          </w:tcPr>
          <w:p>
            <w:pPr>
              <w:spacing w:after="0"/>
              <w:rPr>
                <w:sz w:val="20"/>
                <w:szCs w:val="20"/>
                <w:color w:val="auto"/>
              </w:rPr>
            </w:pPr>
            <w:r>
              <w:rPr>
                <w:rFonts w:ascii="Arial" w:cs="Arial" w:eastAsia="Arial" w:hAnsi="Arial"/>
                <w:sz w:val="13"/>
                <w:szCs w:val="13"/>
                <w:color w:val="auto"/>
              </w:rPr>
              <w:t>10.3</w:t>
            </w:r>
          </w:p>
        </w:tc>
        <w:tc>
          <w:tcPr>
            <w:tcW w:w="9860" w:type="dxa"/>
            <w:vAlign w:val="bottom"/>
            <w:gridSpan w:val="5"/>
          </w:tcPr>
          <w:p>
            <w:pPr>
              <w:spacing w:after="0"/>
              <w:rPr>
                <w:rFonts w:ascii="Arial" w:cs="Arial" w:eastAsia="Arial" w:hAnsi="Arial"/>
                <w:sz w:val="13"/>
                <w:szCs w:val="13"/>
                <w:color w:val="0000FF"/>
                <w:w w:val="88"/>
              </w:rPr>
            </w:pPr>
            <w:hyperlink r:id="rId49">
              <w:r>
                <w:rPr>
                  <w:rFonts w:ascii="Arial" w:cs="Arial" w:eastAsia="Arial" w:hAnsi="Arial"/>
                  <w:sz w:val="13"/>
                  <w:szCs w:val="13"/>
                  <w:color w:val="0000FF"/>
                  <w:w w:val="88"/>
                </w:rPr>
                <w:t>Mutual Separation Agreement and General Release, dated March 23, 2020, between the Company and Lou Weiss (incorporated by reference to Exhibit 10.1 to the Company’s Current Report on</w:t>
              </w:r>
            </w:hyperlink>
          </w:p>
        </w:tc>
      </w:tr>
      <w:tr>
        <w:trPr>
          <w:trHeight w:val="107"/>
        </w:trPr>
        <w:tc>
          <w:tcPr>
            <w:tcW w:w="980" w:type="dxa"/>
            <w:vAlign w:val="bottom"/>
          </w:tcPr>
          <w:p>
            <w:pPr>
              <w:spacing w:after="0"/>
              <w:rPr>
                <w:sz w:val="9"/>
                <w:szCs w:val="9"/>
                <w:color w:val="auto"/>
              </w:rPr>
            </w:pPr>
          </w:p>
        </w:tc>
        <w:tc>
          <w:tcPr>
            <w:tcW w:w="9840" w:type="dxa"/>
            <w:vAlign w:val="bottom"/>
            <w:tcBorders>
              <w:top w:val="single" w:sz="8" w:color="0000FF"/>
            </w:tcBorders>
            <w:gridSpan w:val="4"/>
          </w:tcPr>
          <w:p>
            <w:pPr>
              <w:spacing w:after="0" w:line="107" w:lineRule="exact"/>
              <w:rPr>
                <w:rFonts w:ascii="Arial" w:cs="Arial" w:eastAsia="Arial" w:hAnsi="Arial"/>
                <w:sz w:val="12"/>
                <w:szCs w:val="12"/>
                <w:color w:val="0000FF"/>
              </w:rPr>
            </w:pPr>
            <w:hyperlink r:id="rId49">
              <w:r>
                <w:rPr>
                  <w:rFonts w:ascii="Arial" w:cs="Arial" w:eastAsia="Arial" w:hAnsi="Arial"/>
                  <w:sz w:val="12"/>
                  <w:szCs w:val="12"/>
                  <w:color w:val="0000FF"/>
                </w:rPr>
                <w:t>Form 8-K filed on April 15, 2020 (File No. 001-35699))</w:t>
              </w:r>
            </w:hyperlink>
          </w:p>
        </w:tc>
        <w:tc>
          <w:tcPr>
            <w:tcW w:w="20" w:type="dxa"/>
            <w:vAlign w:val="bottom"/>
          </w:tcPr>
          <w:p>
            <w:pPr>
              <w:spacing w:after="0"/>
              <w:rPr>
                <w:sz w:val="9"/>
                <w:szCs w:val="9"/>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r>
      <w:tr>
        <w:trPr>
          <w:trHeight w:val="188"/>
        </w:trPr>
        <w:tc>
          <w:tcPr>
            <w:tcW w:w="980" w:type="dxa"/>
            <w:vAlign w:val="bottom"/>
          </w:tcPr>
          <w:p>
            <w:pPr>
              <w:spacing w:after="0"/>
              <w:rPr>
                <w:sz w:val="20"/>
                <w:szCs w:val="20"/>
                <w:color w:val="auto"/>
              </w:rPr>
            </w:pPr>
            <w:r>
              <w:rPr>
                <w:rFonts w:ascii="Arial" w:cs="Arial" w:eastAsia="Arial" w:hAnsi="Arial"/>
                <w:sz w:val="13"/>
                <w:szCs w:val="13"/>
                <w:color w:val="auto"/>
              </w:rPr>
              <w:t>31.1#</w:t>
            </w:r>
          </w:p>
        </w:tc>
        <w:tc>
          <w:tcPr>
            <w:tcW w:w="9860" w:type="dxa"/>
            <w:vAlign w:val="bottom"/>
            <w:gridSpan w:val="5"/>
          </w:tcPr>
          <w:p>
            <w:pPr>
              <w:spacing w:after="0"/>
              <w:rPr>
                <w:rFonts w:ascii="Arial" w:cs="Arial" w:eastAsia="Arial" w:hAnsi="Arial"/>
                <w:sz w:val="13"/>
                <w:szCs w:val="13"/>
                <w:u w:val="single" w:color="auto"/>
                <w:color w:val="0000FF"/>
              </w:rPr>
            </w:pPr>
            <w:hyperlink w:anchor="page60">
              <w:r>
                <w:rPr>
                  <w:rFonts w:ascii="Arial" w:cs="Arial" w:eastAsia="Arial" w:hAnsi="Arial"/>
                  <w:sz w:val="13"/>
                  <w:szCs w:val="13"/>
                  <w:u w:val="single" w:color="auto"/>
                  <w:color w:val="0000FF"/>
                </w:rPr>
                <w:t>Certification of Chief Executive Officer pursuant to Exchange Act Rules 13a-14(a) and 15d-14(a), as adopted pursuant to Section 302 of the Sarbanes-Oxley Act of 2002</w:t>
              </w:r>
            </w:hyperlink>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31.2#</w:t>
            </w:r>
          </w:p>
        </w:tc>
        <w:tc>
          <w:tcPr>
            <w:tcW w:w="9860" w:type="dxa"/>
            <w:vAlign w:val="bottom"/>
            <w:gridSpan w:val="5"/>
          </w:tcPr>
          <w:p>
            <w:pPr>
              <w:spacing w:after="0"/>
              <w:rPr>
                <w:rFonts w:ascii="Arial" w:cs="Arial" w:eastAsia="Arial" w:hAnsi="Arial"/>
                <w:sz w:val="13"/>
                <w:szCs w:val="13"/>
                <w:u w:val="single" w:color="auto"/>
                <w:color w:val="0000FF"/>
              </w:rPr>
            </w:pPr>
            <w:hyperlink w:anchor="page61">
              <w:r>
                <w:rPr>
                  <w:rFonts w:ascii="Arial" w:cs="Arial" w:eastAsia="Arial" w:hAnsi="Arial"/>
                  <w:sz w:val="13"/>
                  <w:szCs w:val="13"/>
                  <w:u w:val="single" w:color="auto"/>
                  <w:color w:val="0000FF"/>
                </w:rPr>
                <w:t>Certification of Chief Financial Officer pursuant to Exchange Act Rules 13a-14(a) and 15d-14(a), as adopted pursuant to Section 302 of the Sarbanes-Oxley Act of 2002</w:t>
              </w:r>
            </w:hyperlink>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32#</w:t>
            </w:r>
          </w:p>
        </w:tc>
        <w:tc>
          <w:tcPr>
            <w:tcW w:w="9860" w:type="dxa"/>
            <w:vAlign w:val="bottom"/>
            <w:gridSpan w:val="5"/>
          </w:tcPr>
          <w:p>
            <w:pPr>
              <w:spacing w:after="0"/>
              <w:rPr>
                <w:rFonts w:ascii="Arial" w:cs="Arial" w:eastAsia="Arial" w:hAnsi="Arial"/>
                <w:sz w:val="13"/>
                <w:szCs w:val="13"/>
                <w:u w:val="single" w:color="auto"/>
                <w:color w:val="0000FF"/>
                <w:w w:val="98"/>
              </w:rPr>
            </w:pPr>
            <w:hyperlink w:anchor="page62">
              <w:r>
                <w:rPr>
                  <w:rFonts w:ascii="Arial" w:cs="Arial" w:eastAsia="Arial" w:hAnsi="Arial"/>
                  <w:sz w:val="13"/>
                  <w:szCs w:val="13"/>
                  <w:u w:val="single" w:color="auto"/>
                  <w:color w:val="0000FF"/>
                  <w:w w:val="98"/>
                </w:rPr>
                <w:t>Certification of Chief Executive Officer and Chief Financial Officer pursuant to 18 U.S.C. Section 1350, as adopted pursuant to Section 906 of the Sarbanes-Oxley Act of 2002</w:t>
              </w:r>
            </w:hyperlink>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101.INS</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Instance Document - the instance document does not appear in the Interactive Data File because its XBRL tags are embedded within the Inline XBRL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101.SCH</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Taxonomy Extension Schema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101.CAL</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101.DEF</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Taxonomy Extension Definition Linkbase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101.LAB</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101.PRE</w:t>
            </w:r>
          </w:p>
        </w:tc>
        <w:tc>
          <w:tcPr>
            <w:tcW w:w="9860" w:type="dxa"/>
            <w:vAlign w:val="bottom"/>
            <w:gridSpan w:val="5"/>
          </w:tcPr>
          <w:p>
            <w:pPr>
              <w:spacing w:after="0"/>
              <w:rPr>
                <w:sz w:val="20"/>
                <w:szCs w:val="20"/>
                <w:color w:val="auto"/>
              </w:rPr>
            </w:pPr>
            <w:r>
              <w:rPr>
                <w:rFonts w:ascii="Arial" w:cs="Arial" w:eastAsia="Arial" w:hAnsi="Arial"/>
                <w:sz w:val="13"/>
                <w:szCs w:val="13"/>
                <w:color w:val="auto"/>
              </w:rPr>
              <w:t>XBRL Taxonomy Extension Presentation Linkbase Document</w:t>
            </w:r>
          </w:p>
        </w:tc>
      </w:tr>
      <w:tr>
        <w:trPr>
          <w:trHeight w:val="202"/>
        </w:trPr>
        <w:tc>
          <w:tcPr>
            <w:tcW w:w="980" w:type="dxa"/>
            <w:vAlign w:val="bottom"/>
          </w:tcPr>
          <w:p>
            <w:pPr>
              <w:spacing w:after="0"/>
              <w:rPr>
                <w:sz w:val="20"/>
                <w:szCs w:val="20"/>
                <w:color w:val="auto"/>
              </w:rPr>
            </w:pPr>
            <w:r>
              <w:rPr>
                <w:rFonts w:ascii="Arial" w:cs="Arial" w:eastAsia="Arial" w:hAnsi="Arial"/>
                <w:sz w:val="13"/>
                <w:szCs w:val="13"/>
                <w:color w:val="auto"/>
              </w:rPr>
              <w:t>104</w:t>
            </w:r>
          </w:p>
        </w:tc>
        <w:tc>
          <w:tcPr>
            <w:tcW w:w="9860" w:type="dxa"/>
            <w:vAlign w:val="bottom"/>
            <w:gridSpan w:val="5"/>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bl>
    <w:p>
      <w:pPr>
        <w:spacing w:after="0" w:line="10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______________________________________</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120015</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820"/>
          </w:cols>
          <w:pgMar w:left="320" w:top="129" w:right="759" w:bottom="1440" w:gutter="0" w:footer="0" w:header="0"/>
        </w:sectPr>
      </w:pPr>
    </w:p>
    <w:bookmarkStart w:id="38" w:name="page39"/>
    <w:bookmarkEnd w:id="38"/>
    <w:p>
      <w:pPr>
        <w:ind w:left="30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7980" w:type="dxa"/>
            <w:vAlign w:val="bottom"/>
            <w:gridSpan w:val="2"/>
          </w:tcPr>
          <w:p>
            <w:pPr>
              <w:ind w:left="2200"/>
              <w:spacing w:after="0"/>
              <w:rPr>
                <w:sz w:val="20"/>
                <w:szCs w:val="20"/>
                <w:color w:val="auto"/>
              </w:rPr>
            </w:pPr>
            <w:r>
              <w:rPr>
                <w:rFonts w:ascii="Arial" w:cs="Arial" w:eastAsia="Arial" w:hAnsi="Arial"/>
                <w:sz w:val="13"/>
                <w:szCs w:val="13"/>
                <w:b w:val="1"/>
                <w:bCs w:val="1"/>
                <w:color w:val="auto"/>
              </w:rPr>
              <w:t>SHUTTERSTOCK, INC.</w:t>
            </w:r>
          </w:p>
        </w:tc>
      </w:tr>
      <w:tr>
        <w:trPr>
          <w:trHeight w:val="403"/>
        </w:trPr>
        <w:tc>
          <w:tcPr>
            <w:tcW w:w="3260" w:type="dxa"/>
            <w:vAlign w:val="bottom"/>
          </w:tcPr>
          <w:p>
            <w:pPr>
              <w:spacing w:after="0"/>
              <w:rPr>
                <w:sz w:val="20"/>
                <w:szCs w:val="20"/>
                <w:color w:val="auto"/>
              </w:rPr>
            </w:pPr>
            <w:r>
              <w:rPr>
                <w:rFonts w:ascii="Arial" w:cs="Arial" w:eastAsia="Arial" w:hAnsi="Arial"/>
                <w:sz w:val="13"/>
                <w:szCs w:val="13"/>
                <w:color w:val="auto"/>
              </w:rPr>
              <w:t>Dated: July 28, 2020</w:t>
            </w:r>
          </w:p>
        </w:tc>
        <w:tc>
          <w:tcPr>
            <w:tcW w:w="2860" w:type="dxa"/>
            <w:vAlign w:val="bottom"/>
          </w:tcPr>
          <w:p>
            <w:pPr>
              <w:ind w:left="2200"/>
              <w:spacing w:after="0"/>
              <w:rPr>
                <w:sz w:val="20"/>
                <w:szCs w:val="20"/>
                <w:color w:val="auto"/>
              </w:rPr>
            </w:pPr>
            <w:r>
              <w:rPr>
                <w:rFonts w:ascii="Arial" w:cs="Arial" w:eastAsia="Arial" w:hAnsi="Arial"/>
                <w:sz w:val="13"/>
                <w:szCs w:val="13"/>
                <w:color w:val="auto"/>
              </w:rPr>
              <w:t>By:</w:t>
            </w:r>
          </w:p>
        </w:tc>
        <w:tc>
          <w:tcPr>
            <w:tcW w:w="5120" w:type="dxa"/>
            <w:vAlign w:val="bottom"/>
          </w:tcPr>
          <w:p>
            <w:pPr>
              <w:ind w:left="20"/>
              <w:spacing w:after="0"/>
              <w:rPr>
                <w:sz w:val="20"/>
                <w:szCs w:val="20"/>
                <w:color w:val="auto"/>
              </w:rPr>
            </w:pPr>
            <w:r>
              <w:rPr>
                <w:rFonts w:ascii="Arial" w:cs="Arial" w:eastAsia="Arial" w:hAnsi="Arial"/>
                <w:sz w:val="13"/>
                <w:szCs w:val="13"/>
                <w:color w:val="auto"/>
              </w:rPr>
              <w:t>/s/ Jarrod Yahes</w:t>
            </w:r>
          </w:p>
        </w:tc>
      </w:tr>
      <w:tr>
        <w:trPr>
          <w:trHeight w:val="26"/>
        </w:trPr>
        <w:tc>
          <w:tcPr>
            <w:tcW w:w="3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167"/>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Jarrod Yahes</w:t>
            </w:r>
          </w:p>
        </w:tc>
      </w:tr>
      <w:tr>
        <w:trPr>
          <w:trHeight w:val="202"/>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r>
      <w:tr>
        <w:trPr>
          <w:trHeight w:val="202"/>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3"/>
                <w:szCs w:val="13"/>
                <w:i w:val="1"/>
                <w:iCs w:val="1"/>
                <w:color w:val="auto"/>
              </w:rPr>
              <w:t>(Principal Financial Officer)</w:t>
            </w:r>
          </w:p>
        </w:tc>
      </w:tr>
      <w:tr>
        <w:trPr>
          <w:trHeight w:val="403"/>
        </w:trPr>
        <w:tc>
          <w:tcPr>
            <w:tcW w:w="3260" w:type="dxa"/>
            <w:vAlign w:val="bottom"/>
          </w:tcPr>
          <w:p>
            <w:pPr>
              <w:spacing w:after="0"/>
              <w:rPr>
                <w:sz w:val="20"/>
                <w:szCs w:val="20"/>
                <w:color w:val="auto"/>
              </w:rPr>
            </w:pPr>
            <w:r>
              <w:rPr>
                <w:rFonts w:ascii="Arial" w:cs="Arial" w:eastAsia="Arial" w:hAnsi="Arial"/>
                <w:sz w:val="13"/>
                <w:szCs w:val="13"/>
                <w:color w:val="auto"/>
              </w:rPr>
              <w:t>Dated: July 28, 2020</w:t>
            </w:r>
          </w:p>
        </w:tc>
        <w:tc>
          <w:tcPr>
            <w:tcW w:w="2860" w:type="dxa"/>
            <w:vAlign w:val="bottom"/>
          </w:tcPr>
          <w:p>
            <w:pPr>
              <w:ind w:left="2200"/>
              <w:spacing w:after="0"/>
              <w:rPr>
                <w:sz w:val="20"/>
                <w:szCs w:val="20"/>
                <w:color w:val="auto"/>
              </w:rPr>
            </w:pPr>
            <w:r>
              <w:rPr>
                <w:rFonts w:ascii="Arial" w:cs="Arial" w:eastAsia="Arial" w:hAnsi="Arial"/>
                <w:sz w:val="13"/>
                <w:szCs w:val="13"/>
                <w:color w:val="auto"/>
              </w:rPr>
              <w:t>By:</w:t>
            </w:r>
          </w:p>
        </w:tc>
        <w:tc>
          <w:tcPr>
            <w:tcW w:w="5120" w:type="dxa"/>
            <w:vAlign w:val="bottom"/>
          </w:tcPr>
          <w:p>
            <w:pPr>
              <w:ind w:left="20"/>
              <w:spacing w:after="0"/>
              <w:rPr>
                <w:sz w:val="20"/>
                <w:szCs w:val="20"/>
                <w:color w:val="auto"/>
              </w:rPr>
            </w:pPr>
            <w:r>
              <w:rPr>
                <w:rFonts w:ascii="Arial" w:cs="Arial" w:eastAsia="Arial" w:hAnsi="Arial"/>
                <w:sz w:val="13"/>
                <w:szCs w:val="13"/>
                <w:color w:val="auto"/>
              </w:rPr>
              <w:t>/s/ Steven Ciardiello</w:t>
            </w:r>
          </w:p>
        </w:tc>
      </w:tr>
      <w:tr>
        <w:trPr>
          <w:trHeight w:val="26"/>
        </w:trPr>
        <w:tc>
          <w:tcPr>
            <w:tcW w:w="3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167"/>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Steven Ciardiello</w:t>
            </w:r>
          </w:p>
        </w:tc>
      </w:tr>
      <w:tr>
        <w:trPr>
          <w:trHeight w:val="202"/>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3"/>
                <w:szCs w:val="13"/>
                <w:i w:val="1"/>
                <w:iCs w:val="1"/>
                <w:color w:val="auto"/>
              </w:rPr>
              <w:t>Chief Accounting Officer</w:t>
            </w:r>
          </w:p>
        </w:tc>
      </w:tr>
      <w:tr>
        <w:trPr>
          <w:trHeight w:val="202"/>
        </w:trPr>
        <w:tc>
          <w:tcPr>
            <w:tcW w:w="3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3"/>
                <w:szCs w:val="13"/>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29" w:right="33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Empire State Building</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350 Fifth Avenue, 21st Floor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New York, NY 10118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Pietro Silvio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EMPLOYMENT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Dear Peter:</w:t>
      </w:r>
    </w:p>
    <w:p>
      <w:pPr>
        <w:spacing w:after="0" w:line="1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between you (referred to hereinafter as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Shutterstock, Inc., a Delaware corporation, including all direct and indirect subsidiaries and affiliated entities (collectively,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sets forth the terms and conditions that shall govern the period of your employment with the Company (referred to hereinafter as “</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Employment Period</w:t>
      </w:r>
      <w:r>
        <w:rPr>
          <w:rFonts w:ascii="Arial" w:cs="Arial" w:eastAsia="Arial" w:hAnsi="Arial"/>
          <w:sz w:val="17"/>
          <w:szCs w:val="17"/>
          <w:color w:val="auto"/>
        </w:rPr>
        <w:t>”).</w:t>
      </w:r>
    </w:p>
    <w:p>
      <w:pPr>
        <w:spacing w:after="0" w:line="138" w:lineRule="exact"/>
        <w:rPr>
          <w:sz w:val="20"/>
          <w:szCs w:val="20"/>
          <w:color w:val="auto"/>
        </w:rPr>
      </w:pPr>
    </w:p>
    <w:p>
      <w:pPr>
        <w:ind w:left="1020" w:hanging="506"/>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Duties and Scope of Employment</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color w:val="auto"/>
        </w:rPr>
      </w:pPr>
    </w:p>
    <w:p>
      <w:pPr>
        <w:jc w:val="both"/>
        <w:ind w:firstLine="1023"/>
        <w:spacing w:after="0" w:line="253" w:lineRule="auto"/>
        <w:tabs>
          <w:tab w:leader="none" w:pos="1525" w:val="left"/>
        </w:tabs>
        <w:numPr>
          <w:ilvl w:val="1"/>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At-Will Employment</w:t>
      </w:r>
      <w:r>
        <w:rPr>
          <w:rFonts w:ascii="Arial" w:cs="Arial" w:eastAsia="Arial" w:hAnsi="Arial"/>
          <w:sz w:val="17"/>
          <w:szCs w:val="17"/>
          <w:color w:val="auto"/>
        </w:rPr>
        <w:t>. Executive commenced full-time Employment with the Company effective as of June 19, 2017 (the “</w:t>
      </w:r>
      <w:r>
        <w:rPr>
          <w:rFonts w:ascii="Arial" w:cs="Arial" w:eastAsia="Arial" w:hAnsi="Arial"/>
          <w:sz w:val="17"/>
          <w:szCs w:val="17"/>
          <w:b w:val="1"/>
          <w:bCs w:val="1"/>
          <w:i w:val="1"/>
          <w:iCs w:val="1"/>
          <w:color w:val="auto"/>
        </w:rPr>
        <w:t>Effective Start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and the terms of such Employment will be governed by this Agreement. Executive’s Employment with the Company is for no specified period and constitutes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42" w:lineRule="exact"/>
        <w:rPr>
          <w:rFonts w:ascii="Arial" w:cs="Arial" w:eastAsia="Arial" w:hAnsi="Arial"/>
          <w:sz w:val="17"/>
          <w:szCs w:val="17"/>
          <w:color w:val="auto"/>
        </w:rPr>
      </w:pPr>
    </w:p>
    <w:p>
      <w:pPr>
        <w:jc w:val="both"/>
        <w:ind w:firstLine="1023"/>
        <w:spacing w:after="0" w:line="254" w:lineRule="auto"/>
        <w:tabs>
          <w:tab w:leader="none" w:pos="1524" w:val="left"/>
        </w:tabs>
        <w:numPr>
          <w:ilvl w:val="1"/>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Responsibilities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the Company agrees to employ Executive in the position of Chief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Executive will report to the Company’s President &amp; Chief Operating Officer, or to such other person as the Company subsequently may determine (your “</w:t>
      </w:r>
      <w:r>
        <w:rPr>
          <w:rFonts w:ascii="Arial" w:cs="Arial" w:eastAsia="Arial" w:hAnsi="Arial"/>
          <w:sz w:val="17"/>
          <w:szCs w:val="17"/>
          <w:b w:val="1"/>
          <w:bCs w:val="1"/>
          <w:i w:val="1"/>
          <w:iCs w:val="1"/>
          <w:color w:val="auto"/>
        </w:rPr>
        <w:t>Supervisor</w:t>
      </w:r>
      <w:r>
        <w:rPr>
          <w:rFonts w:ascii="Arial" w:cs="Arial" w:eastAsia="Arial" w:hAnsi="Arial"/>
          <w:sz w:val="17"/>
          <w:szCs w:val="17"/>
          <w:color w:val="auto"/>
        </w:rPr>
        <w:t>”). Executive’s employment will be located at the Company’s principal office in New York City, New York. Executive will perform the duties and responsibilities and authority customarily performed and held by an employee in Executive’s position or as otherwise may be assigned or delegated to Executive by Executive’s Supervisor, from time to time.</w:t>
      </w:r>
    </w:p>
    <w:p>
      <w:pPr>
        <w:spacing w:after="0" w:line="143" w:lineRule="exact"/>
        <w:rPr>
          <w:rFonts w:ascii="Arial" w:cs="Arial" w:eastAsia="Arial" w:hAnsi="Arial"/>
          <w:sz w:val="17"/>
          <w:szCs w:val="17"/>
          <w:color w:val="auto"/>
        </w:rPr>
      </w:pPr>
    </w:p>
    <w:p>
      <w:pPr>
        <w:jc w:val="both"/>
        <w:ind w:firstLine="1023"/>
        <w:spacing w:after="0" w:line="285" w:lineRule="auto"/>
        <w:tabs>
          <w:tab w:leader="none" w:pos="1525" w:val="left"/>
        </w:tabs>
        <w:numPr>
          <w:ilvl w:val="1"/>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Obligations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Period, Executive shall perform Executive’s duties faithfully and to the best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ability and will devote Executive’s full business efforts and time to the Company. Notwithstanding the foregoing, Executive will be permitted to (a) with the prior written approval of Executive’s Supervisor (which approval shall not be unreasonably withheld), act or serve as a director, trustee,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19548162.2</w:t>
      </w:r>
    </w:p>
    <w:p>
      <w:pPr>
        <w:sectPr>
          <w:pgSz w:w="11900" w:h="16838" w:orient="portrait"/>
          <w:cols w:equalWidth="0" w:num="1">
            <w:col w:w="11280"/>
          </w:cols>
          <w:pgMar w:left="300" w:top="1148" w:right="319" w:bottom="1440" w:gutter="0" w:footer="0" w:header="0"/>
        </w:sectPr>
      </w:pPr>
    </w:p>
    <w:bookmarkStart w:id="44" w:name="page45"/>
    <w:bookmarkEnd w:id="44"/>
    <w:p>
      <w:pPr>
        <w:jc w:val="both"/>
        <w:spacing w:after="0" w:line="267" w:lineRule="auto"/>
        <w:rPr>
          <w:sz w:val="20"/>
          <w:szCs w:val="20"/>
          <w:color w:val="auto"/>
        </w:rPr>
      </w:pPr>
      <w:r>
        <w:rPr>
          <w:rFonts w:ascii="Arial" w:cs="Arial" w:eastAsia="Arial" w:hAnsi="Arial"/>
          <w:sz w:val="16"/>
          <w:szCs w:val="16"/>
          <w:color w:val="auto"/>
        </w:rPr>
        <w:t>committee member of any non-profit, civic, or charitable organization, as long as such activities are disclosed in writing to the Company’s General Counsel in accordance with the Company’s policies and rules, with a copy of such notice to the Board of Directors, (b) purchase or own less than five percent (5%) of the publicly traded securities of any corporation; provided that, such ownership represents a passive investment and that the Executive is not a controlling person of, or a member of a group that controls, such corporation; and (c) deliver lectures, fulfill speaking engagements, teach at educational institution or manage personal investments; provided that such activities do not individually or in the aggregate interfere with the performance of Executive’s duties under this Agreement or create a potential business or fiduciary conflict. Executive may serve on the board of directors of unaffiliated companies that are not competitive with the business of the Company to the extent such service or participation does not interfere with Executive’s employment or duties under this Agreement and that Executive has advised Executive’s Supervisor and the Board at least thirty (30) days prior to commencing service, and the Executive’s Supervisor and the Board have consented (which consent shall not be unreasonably withheld) to, such additional corporate board service. Executive shall comply with the Company’s policies, procedures and rules, as they may be in effect from time to time during Executive’s Employment.</w:t>
      </w:r>
    </w:p>
    <w:p>
      <w:pPr>
        <w:spacing w:after="0" w:line="135" w:lineRule="exact"/>
        <w:rPr>
          <w:sz w:val="20"/>
          <w:szCs w:val="20"/>
          <w:color w:val="auto"/>
        </w:rPr>
      </w:pPr>
    </w:p>
    <w:p>
      <w:pPr>
        <w:jc w:val="both"/>
        <w:ind w:firstLine="1023"/>
        <w:spacing w:after="0" w:line="270" w:lineRule="auto"/>
        <w:tabs>
          <w:tab w:leader="none" w:pos="1524"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All information learned or developed by the Executive during the course of the Executive’s employment by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subsidiary thereof will be deemed “Confidential Information” under the terms of this Agreement. The Executive will not disclose to any person at any time or use in any way, except as directed by the Company, either during or after the employment of the Executive by the Company, any Confidential Information. The foregoing restrictions shall not apply to information which is or becomes part of the public domain though no act or failure to act by the Executive. In addition to the foregoing, in the process of the Executive’s employment with the Company, or thereafter, under no condition is the Executive to use or disclose to the Company, or incorporate or use in any of Executive’s work for the Company, any confidential information imparted to the Executive or with which Executive may have come into contact while in the employ of Executive’s former employer(s).</w:t>
      </w:r>
    </w:p>
    <w:p>
      <w:pPr>
        <w:spacing w:after="0" w:line="136" w:lineRule="exact"/>
        <w:rPr>
          <w:sz w:val="20"/>
          <w:szCs w:val="20"/>
          <w:color w:val="auto"/>
        </w:rPr>
      </w:pPr>
    </w:p>
    <w:p>
      <w:pPr>
        <w:jc w:val="both"/>
        <w:ind w:firstLine="1368"/>
        <w:spacing w:after="0" w:line="283" w:lineRule="auto"/>
        <w:rPr>
          <w:sz w:val="20"/>
          <w:szCs w:val="20"/>
          <w:color w:val="auto"/>
        </w:rPr>
      </w:pPr>
      <w:r>
        <w:rPr>
          <w:rFonts w:ascii="Arial" w:cs="Arial" w:eastAsia="Arial" w:hAnsi="Arial"/>
          <w:sz w:val="15"/>
          <w:szCs w:val="15"/>
          <w:color w:val="auto"/>
        </w:rPr>
        <w:t>(i)Pursuant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w:t>
      </w:r>
    </w:p>
    <w:p>
      <w:pPr>
        <w:spacing w:after="0" w:line="1" w:lineRule="exact"/>
        <w:rPr>
          <w:sz w:val="20"/>
          <w:szCs w:val="20"/>
          <w:color w:val="auto"/>
        </w:rPr>
      </w:pPr>
    </w:p>
    <w:p>
      <w:pPr>
        <w:ind w:firstLine="5"/>
        <w:spacing w:after="0" w:line="255" w:lineRule="auto"/>
        <w:tabs>
          <w:tab w:leader="none" w:pos="129" w:val="left"/>
        </w:tabs>
        <w:numPr>
          <w:ilvl w:val="0"/>
          <w:numId w:val="10"/>
        </w:numPr>
        <w:rPr>
          <w:rFonts w:ascii="Arial" w:cs="Arial" w:eastAsia="Arial" w:hAnsi="Arial"/>
          <w:sz w:val="17"/>
          <w:szCs w:val="17"/>
          <w:color w:val="auto"/>
        </w:rPr>
      </w:pPr>
      <w:r>
        <w:rPr>
          <w:rFonts w:ascii="Arial" w:cs="Arial" w:eastAsia="Arial" w:hAnsi="Arial"/>
          <w:sz w:val="17"/>
          <w:szCs w:val="17"/>
          <w:color w:val="auto"/>
        </w:rPr>
        <w:t>1833(b) or create liability for disclosures of trade secrets that are expressly allowed by such section. Further, nothing in this Agreement or any other agreement that Executive has with the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52" w:right="319" w:bottom="1440" w:gutter="0" w:footer="0" w:header="0"/>
        </w:sectPr>
      </w:pPr>
    </w:p>
    <w:bookmarkStart w:id="45" w:name="page46"/>
    <w:bookmarkEnd w:id="45"/>
    <w:p>
      <w:pPr>
        <w:spacing w:after="0" w:line="271" w:lineRule="auto"/>
        <w:rPr>
          <w:sz w:val="20"/>
          <w:szCs w:val="20"/>
          <w:color w:val="auto"/>
        </w:rPr>
      </w:pPr>
      <w:r>
        <w:rPr>
          <w:rFonts w:ascii="Arial" w:cs="Arial" w:eastAsia="Arial" w:hAnsi="Arial"/>
          <w:sz w:val="17"/>
          <w:szCs w:val="17"/>
          <w:color w:val="auto"/>
        </w:rPr>
        <w:t>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spacing w:after="0" w:line="127" w:lineRule="exact"/>
        <w:rPr>
          <w:sz w:val="20"/>
          <w:szCs w:val="20"/>
          <w:color w:val="auto"/>
        </w:rPr>
      </w:pPr>
    </w:p>
    <w:p>
      <w:pPr>
        <w:ind w:left="1020" w:hanging="506"/>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and Incentive Compensation</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color w:val="auto"/>
        </w:rPr>
      </w:pPr>
    </w:p>
    <w:p>
      <w:pPr>
        <w:jc w:val="both"/>
        <w:ind w:firstLine="1023"/>
        <w:spacing w:after="0" w:line="274" w:lineRule="auto"/>
        <w:tabs>
          <w:tab w:leader="none" w:pos="1525" w:val="left"/>
        </w:tabs>
        <w:numPr>
          <w:ilvl w:val="1"/>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pay Executive, as compensation for Executive’s services, a base salary at a gross annual rate of $400,000,</w:t>
      </w:r>
      <w:r>
        <w:rPr>
          <w:rFonts w:ascii="Arial" w:cs="Arial" w:eastAsia="Arial" w:hAnsi="Arial"/>
          <w:sz w:val="16"/>
          <w:szCs w:val="16"/>
          <w:b w:val="1"/>
          <w:bCs w:val="1"/>
          <w:color w:val="auto"/>
        </w:rPr>
        <w:t xml:space="preserve"> </w:t>
      </w:r>
      <w:r>
        <w:rPr>
          <w:rFonts w:ascii="Arial" w:cs="Arial" w:eastAsia="Arial" w:hAnsi="Arial"/>
          <w:sz w:val="16"/>
          <w:szCs w:val="16"/>
          <w:color w:val="auto"/>
        </w:rPr>
        <w:t>less all required tax withholdings and other applicable deductions, in accordance with the Company’s standard payroll procedures. Executive’s Base Salary will be subject to review and adjustments by the Compensation Committee of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in its sole discretion, upon recommendation of Executive’s Supervisor and in connection with the Company’s normal performance review process. The annual compensation specified in this subsection (a), together with any modifications to such compensation made from time to time, is referred to in this Agreement as the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jc w:val="both"/>
        <w:ind w:firstLine="1023"/>
        <w:spacing w:after="0" w:line="251" w:lineRule="auto"/>
        <w:tabs>
          <w:tab w:leader="none" w:pos="1524" w:val="left"/>
        </w:tabs>
        <w:numPr>
          <w:ilvl w:val="1"/>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Incentive Bonus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be eligible to earn an annual cash incentive bonus (the “</w:t>
      </w:r>
      <w:r>
        <w:rPr>
          <w:rFonts w:ascii="Arial" w:cs="Arial" w:eastAsia="Arial" w:hAnsi="Arial"/>
          <w:sz w:val="17"/>
          <w:szCs w:val="17"/>
          <w:b w:val="1"/>
          <w:bCs w:val="1"/>
          <w:i w:val="1"/>
          <w:iCs w:val="1"/>
          <w:color w:val="auto"/>
        </w:rPr>
        <w:t>Cash Bonus</w:t>
      </w:r>
      <w:r>
        <w:rPr>
          <w:rFonts w:ascii="Arial" w:cs="Arial" w:eastAsia="Arial" w:hAnsi="Arial"/>
          <w:sz w:val="17"/>
          <w:szCs w:val="17"/>
          <w:color w:val="auto"/>
        </w:rPr>
        <w:t>”), less all required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withholdings and other applicable deductions, each calendar year during the Employment Period based upon the achievement of objective or subjective criteria (collectively, the “</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established by the Company in connection with the Company’s annual short term incentive compensation plan and approved by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any Compensation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or a delegate of either the Board or the Committee (the “</w:t>
      </w:r>
      <w:r>
        <w:rPr>
          <w:rFonts w:ascii="Arial" w:cs="Arial" w:eastAsia="Arial" w:hAnsi="Arial"/>
          <w:sz w:val="17"/>
          <w:szCs w:val="17"/>
          <w:b w:val="1"/>
          <w:bCs w:val="1"/>
          <w:i w:val="1"/>
          <w:iCs w:val="1"/>
          <w:color w:val="auto"/>
        </w:rPr>
        <w:t>Delegate</w:t>
      </w:r>
      <w:r>
        <w:rPr>
          <w:rFonts w:ascii="Arial" w:cs="Arial" w:eastAsia="Arial" w:hAnsi="Arial"/>
          <w:sz w:val="17"/>
          <w:szCs w:val="17"/>
          <w:color w:val="auto"/>
        </w:rPr>
        <w:t>”), as applicable in its sole discretion. The initial target amount for any such Cash Bonus will be 50% of Executive’s Base Salary (the “</w:t>
      </w:r>
      <w:r>
        <w:rPr>
          <w:rFonts w:ascii="Arial" w:cs="Arial" w:eastAsia="Arial" w:hAnsi="Arial"/>
          <w:sz w:val="17"/>
          <w:szCs w:val="17"/>
          <w:b w:val="1"/>
          <w:bCs w:val="1"/>
          <w:i w:val="1"/>
          <w:iCs w:val="1"/>
          <w:color w:val="auto"/>
        </w:rPr>
        <w:t>Target Bonus Percentage</w:t>
      </w:r>
      <w:r>
        <w:rPr>
          <w:rFonts w:ascii="Arial" w:cs="Arial" w:eastAsia="Arial" w:hAnsi="Arial"/>
          <w:sz w:val="17"/>
          <w:szCs w:val="17"/>
          <w:color w:val="auto"/>
        </w:rPr>
        <w:t>”). Executive’s Target Bonus Percentage for any subsequent year may be adjusted, as recommended by Executive’s Supervisor and determined in the sole discretion of the Board, the Committee or the Delegate, as applicable. Executive shall not earn a Cash Bonus unless Executive is employed by the Company on the date when such Cash Bonus is actually paid by the Company. Executive’s Cash Bonus for the first calendar year of service will be pro-rated for a partial year of service.</w:t>
      </w:r>
    </w:p>
    <w:p>
      <w:pPr>
        <w:spacing w:after="0" w:line="144" w:lineRule="exact"/>
        <w:rPr>
          <w:rFonts w:ascii="Arial" w:cs="Arial" w:eastAsia="Arial" w:hAnsi="Arial"/>
          <w:sz w:val="17"/>
          <w:szCs w:val="17"/>
          <w:color w:val="auto"/>
        </w:rPr>
      </w:pPr>
    </w:p>
    <w:p>
      <w:pPr>
        <w:jc w:val="both"/>
        <w:ind w:firstLine="1023"/>
        <w:spacing w:after="0" w:line="269" w:lineRule="auto"/>
        <w:tabs>
          <w:tab w:leader="none" w:pos="1525" w:val="left"/>
        </w:tabs>
        <w:numPr>
          <w:ilvl w:val="1"/>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color w:val="auto"/>
        </w:rPr>
        <w:t>. Subject to the approval of the Board or the Committee, as applicable, the Company shall grant Executive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of the Company’s common stock in an amount equal to the fair market value of $500,000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The number of RSUs granted to Executive will be determined by dividing the fair market value of the RSU Award by the average of the Company’s closing price for a share of our common stock during the 30-day period ending on the date immediately prior to the Grant Date (as defined below), rounded down to the nearest whole number of shares. The RSU Award shall be granted on or after, but in all events by no later than the first business day of the calendar month next following, the Start Date, at the discretion of the Board, the Committee or a Delegate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and shall be settled in shares of Company common stock. The RSU Award will be subject to the terms, definitions and provisions of the Company’s Amended and Restated 2012 Omnibus Equity Incentive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the restricted stock unit agreement by and between Executive and the Company (the “</w:t>
      </w:r>
      <w:r>
        <w:rPr>
          <w:rFonts w:ascii="Arial" w:cs="Arial" w:eastAsia="Arial" w:hAnsi="Arial"/>
          <w:sz w:val="16"/>
          <w:szCs w:val="16"/>
          <w:b w:val="1"/>
          <w:bCs w:val="1"/>
          <w:i w:val="1"/>
          <w:iCs w:val="1"/>
          <w:color w:val="auto"/>
        </w:rPr>
        <w:t>RSU Agreement</w:t>
      </w:r>
      <w:r>
        <w:rPr>
          <w:rFonts w:ascii="Arial" w:cs="Arial" w:eastAsia="Arial" w:hAnsi="Arial"/>
          <w:sz w:val="16"/>
          <w:szCs w:val="16"/>
          <w:color w:val="auto"/>
        </w:rPr>
        <w:t>”), both of which documents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152" w:right="319" w:bottom="1440" w:gutter="0" w:footer="0" w:header="0"/>
        </w:sectPr>
      </w:pPr>
    </w:p>
    <w:bookmarkStart w:id="46" w:name="page47"/>
    <w:bookmarkEnd w:id="46"/>
    <w:p>
      <w:pPr>
        <w:jc w:val="both"/>
        <w:spacing w:after="0" w:line="273" w:lineRule="auto"/>
        <w:rPr>
          <w:sz w:val="20"/>
          <w:szCs w:val="20"/>
          <w:color w:val="auto"/>
        </w:rPr>
      </w:pPr>
      <w:r>
        <w:rPr>
          <w:rFonts w:ascii="Arial" w:cs="Arial" w:eastAsia="Arial" w:hAnsi="Arial"/>
          <w:sz w:val="16"/>
          <w:szCs w:val="16"/>
          <w:color w:val="auto"/>
        </w:rPr>
        <w:t>are incorporated herein by reference. Except as otherwise expressly provided in this Agreement, the RSU Award shall vest and become payable as to thirty-three percent (33%) of the shares subject to the RSU Award on each of the first two (2) anniversaries of the Grant Date and thirty-four (34%) on the third anniversary of the Grant Date, in each case subject to Executive continuing to provide Services (as defined in the Equity Plan) to the Company through the relevant vesting dates. Executive will be eligible for future awards under the Equity Plan, as determined in the sole discretion of the Committee, which award will be subject to the terms and conditions, including any vesting conditions, as set forth in the applicable award agreement.</w:t>
      </w:r>
    </w:p>
    <w:p>
      <w:pPr>
        <w:spacing w:after="0" w:line="127" w:lineRule="exact"/>
        <w:rPr>
          <w:sz w:val="20"/>
          <w:szCs w:val="20"/>
          <w:color w:val="auto"/>
        </w:rPr>
      </w:pPr>
    </w:p>
    <w:p>
      <w:pPr>
        <w:jc w:val="both"/>
        <w:ind w:firstLine="514"/>
        <w:spacing w:after="0" w:line="278" w:lineRule="auto"/>
        <w:tabs>
          <w:tab w:leader="none" w:pos="1061"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color w:val="auto"/>
        </w:rPr>
        <w:t>. The incentive compensation payable to Executive pursuant to this Agreement shall be subject to reduction, cancellation, forfeiture or</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as and to the extent required by the applicable provisions of any law (including without limitation Section 10D of the Securities Exchange Act of 1934, as amended, and the rules and regulations promulgated thereunder), government regulation or stock exchange listing requirement, or clawback policy or provision implemented by the Company pursuant to such law, regulation or listing requirement from time to time.</w:t>
      </w:r>
    </w:p>
    <w:p>
      <w:pPr>
        <w:spacing w:after="0" w:line="123" w:lineRule="exact"/>
        <w:rPr>
          <w:rFonts w:ascii="Arial" w:cs="Arial" w:eastAsia="Arial" w:hAnsi="Arial"/>
          <w:sz w:val="16"/>
          <w:szCs w:val="16"/>
          <w:color w:val="auto"/>
        </w:rPr>
      </w:pPr>
    </w:p>
    <w:p>
      <w:pPr>
        <w:jc w:val="both"/>
        <w:ind w:firstLine="514"/>
        <w:spacing w:after="0" w:line="257" w:lineRule="auto"/>
        <w:tabs>
          <w:tab w:leader="none" w:pos="1019"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Executive shall be eligible to participate in the employee benefit plans maintained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spacing w:after="0" w:line="138" w:lineRule="exact"/>
        <w:rPr>
          <w:rFonts w:ascii="Arial" w:cs="Arial" w:eastAsia="Arial" w:hAnsi="Arial"/>
          <w:sz w:val="17"/>
          <w:szCs w:val="17"/>
          <w:color w:val="auto"/>
        </w:rPr>
      </w:pPr>
    </w:p>
    <w:p>
      <w:pPr>
        <w:jc w:val="both"/>
        <w:ind w:firstLine="514"/>
        <w:spacing w:after="0" w:line="285" w:lineRule="auto"/>
        <w:tabs>
          <w:tab w:leader="none" w:pos="1019"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reimburse Executive for necessary and reasonable business expenses incurred in connection with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duties hereunder. In order to receive any such reimbursement, the Executive must comply with generally applicable policies, practices and procedures of the Company with respect to reimbursement for, and submission of expense reports, receipts or similar documentation of, such expenses.</w:t>
      </w:r>
    </w:p>
    <w:p>
      <w:pPr>
        <w:spacing w:after="0" w:line="119" w:lineRule="exact"/>
        <w:rPr>
          <w:rFonts w:ascii="Arial" w:cs="Arial" w:eastAsia="Arial" w:hAnsi="Arial"/>
          <w:sz w:val="16"/>
          <w:szCs w:val="16"/>
          <w:color w:val="auto"/>
        </w:rPr>
      </w:pPr>
    </w:p>
    <w:p>
      <w:pPr>
        <w:jc w:val="both"/>
        <w:ind w:firstLine="514"/>
        <w:spacing w:after="0" w:line="257" w:lineRule="auto"/>
        <w:tabs>
          <w:tab w:leader="none" w:pos="1019"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Upon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provided in Section 7, upon the termination of Executive’s Employment for any reason,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only be entitled to (i) the benefits accrued or earned in accordance with any applicable Company-provided plans, policies, and arrangements for the period immediately preceding the effective date of the termination of Employment and (ii) such other compensation or benefits from the Company as may be required by law (collectively, the “</w:t>
      </w:r>
      <w:r>
        <w:rPr>
          <w:rFonts w:ascii="Arial" w:cs="Arial" w:eastAsia="Arial" w:hAnsi="Arial"/>
          <w:sz w:val="17"/>
          <w:szCs w:val="17"/>
          <w:b w:val="1"/>
          <w:bCs w:val="1"/>
          <w:i w:val="1"/>
          <w:iCs w:val="1"/>
          <w:color w:val="auto"/>
        </w:rPr>
        <w:t>Accrued Benefits</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1020" w:hanging="506"/>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Benefits.</w:t>
      </w:r>
    </w:p>
    <w:p>
      <w:pPr>
        <w:spacing w:after="0" w:line="175" w:lineRule="exact"/>
        <w:rPr>
          <w:rFonts w:ascii="Arial" w:cs="Arial" w:eastAsia="Arial" w:hAnsi="Arial"/>
          <w:sz w:val="17"/>
          <w:szCs w:val="17"/>
          <w:color w:val="auto"/>
        </w:rPr>
      </w:pPr>
    </w:p>
    <w:p>
      <w:pPr>
        <w:jc w:val="both"/>
        <w:ind w:firstLine="1023"/>
        <w:spacing w:after="0" w:line="285" w:lineRule="auto"/>
        <w:tabs>
          <w:tab w:leader="none" w:pos="1525"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not in Connection with a Change in Control</w:t>
      </w:r>
      <w:r>
        <w:rPr>
          <w:rFonts w:ascii="Arial" w:cs="Arial" w:eastAsia="Arial" w:hAnsi="Arial"/>
          <w:sz w:val="16"/>
          <w:szCs w:val="16"/>
          <w:color w:val="auto"/>
        </w:rPr>
        <w:t>. If the Company terminates Executive’s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 reason other than for Cause, Executive becoming Disabled or Executive’s death at any time other than during the twelve (12)-month period immediately following a Change in Control, then, subject to Section 8, Executive will receive the following severance benefits from the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152" w:right="319" w:bottom="1440" w:gutter="0" w:footer="0" w:header="0"/>
        </w:sectPr>
      </w:pPr>
    </w:p>
    <w:bookmarkStart w:id="47" w:name="page48"/>
    <w:bookmarkEnd w:id="47"/>
    <w:p>
      <w:pPr>
        <w:ind w:left="1380"/>
        <w:spacing w:after="0"/>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Benefits.</w:t>
      </w:r>
    </w:p>
    <w:p>
      <w:pPr>
        <w:spacing w:after="0" w:line="176" w:lineRule="exact"/>
        <w:rPr>
          <w:sz w:val="20"/>
          <w:szCs w:val="20"/>
          <w:color w:val="auto"/>
        </w:rPr>
      </w:pPr>
    </w:p>
    <w:p>
      <w:pPr>
        <w:jc w:val="both"/>
        <w:ind w:firstLine="1321"/>
        <w:spacing w:after="0" w:line="273" w:lineRule="auto"/>
        <w:rPr>
          <w:sz w:val="20"/>
          <w:szCs w:val="20"/>
          <w:color w:val="auto"/>
        </w:rPr>
      </w:pPr>
      <w:r>
        <w:rPr>
          <w:rFonts w:ascii="Arial" w:cs="Arial" w:eastAsia="Arial" w:hAnsi="Arial"/>
          <w:sz w:val="16"/>
          <w:szCs w:val="16"/>
          <w:color w:val="auto"/>
        </w:rPr>
        <w:t>(ii)</w:t>
      </w:r>
      <w:r>
        <w:rPr>
          <w:rFonts w:ascii="Arial" w:cs="Arial" w:eastAsia="Arial" w:hAnsi="Arial"/>
          <w:sz w:val="16"/>
          <w:szCs w:val="16"/>
          <w:u w:val="single" w:color="auto"/>
          <w:color w:val="auto"/>
        </w:rPr>
        <w:t>Severance Payment</w:t>
      </w:r>
      <w:r>
        <w:rPr>
          <w:rFonts w:ascii="Arial" w:cs="Arial" w:eastAsia="Arial" w:hAnsi="Arial"/>
          <w:sz w:val="16"/>
          <w:szCs w:val="16"/>
          <w:color w:val="auto"/>
        </w:rPr>
        <w:t>. Commencing on the sixtieth day after the date of the Executive’s termination of employment, the Company shall continue to pay the Executive the Executive’s Base Salary, at the rate in effect immediately prior to such termination of employment, for the Severance Period, less all required tax withholdings and other applicable deductions, which will be paid in accordance with the Company’s regular payroll procedures; provided, however, that any such salary otherwise payable during the 60-day period immediately following the date of such termination of employment shall be paid to the Executive in the first payroll cycle following the sixtieth day following Executive’s termination of employment.</w:t>
      </w:r>
    </w:p>
    <w:p>
      <w:pPr>
        <w:spacing w:after="0" w:line="131" w:lineRule="exact"/>
        <w:rPr>
          <w:sz w:val="20"/>
          <w:szCs w:val="20"/>
          <w:color w:val="auto"/>
        </w:rPr>
      </w:pPr>
    </w:p>
    <w:p>
      <w:pPr>
        <w:jc w:val="both"/>
        <w:ind w:firstLine="1274"/>
        <w:spacing w:after="0" w:line="286" w:lineRule="auto"/>
        <w:rPr>
          <w:sz w:val="20"/>
          <w:szCs w:val="20"/>
          <w:color w:val="auto"/>
        </w:rPr>
      </w:pPr>
      <w:r>
        <w:rPr>
          <w:rFonts w:ascii="Arial" w:cs="Arial" w:eastAsia="Arial" w:hAnsi="Arial"/>
          <w:sz w:val="15"/>
          <w:szCs w:val="15"/>
          <w:color w:val="auto"/>
        </w:rPr>
        <w:t>(iii)</w:t>
      </w:r>
      <w:r>
        <w:rPr>
          <w:rFonts w:ascii="Arial" w:cs="Arial" w:eastAsia="Arial" w:hAnsi="Arial"/>
          <w:sz w:val="15"/>
          <w:szCs w:val="15"/>
          <w:u w:val="single" w:color="auto"/>
          <w:color w:val="auto"/>
        </w:rPr>
        <w:t>Continued Employee Benefits</w:t>
      </w:r>
      <w:r>
        <w:rPr>
          <w:rFonts w:ascii="Arial" w:cs="Arial" w:eastAsia="Arial" w:hAnsi="Arial"/>
          <w:sz w:val="15"/>
          <w:szCs w:val="15"/>
          <w:color w:val="auto"/>
        </w:rPr>
        <w:t>. If Executive elects continuation coverage pursuant to the Consolidated Omnibus Budget Reconciliation Act of 1985, as amended (“</w:t>
      </w:r>
      <w:r>
        <w:rPr>
          <w:rFonts w:ascii="Arial" w:cs="Arial" w:eastAsia="Arial" w:hAnsi="Arial"/>
          <w:sz w:val="15"/>
          <w:szCs w:val="15"/>
          <w:b w:val="1"/>
          <w:bCs w:val="1"/>
          <w:i w:val="1"/>
          <w:iCs w:val="1"/>
          <w:color w:val="auto"/>
        </w:rPr>
        <w:t>COBRA</w:t>
      </w:r>
      <w:r>
        <w:rPr>
          <w:rFonts w:ascii="Arial" w:cs="Arial" w:eastAsia="Arial" w:hAnsi="Arial"/>
          <w:sz w:val="15"/>
          <w:szCs w:val="15"/>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until the earlier of</w:t>
      </w:r>
    </w:p>
    <w:p>
      <w:pPr>
        <w:spacing w:after="0" w:line="2" w:lineRule="exact"/>
        <w:rPr>
          <w:sz w:val="20"/>
          <w:szCs w:val="20"/>
          <w:color w:val="auto"/>
        </w:rPr>
      </w:pPr>
    </w:p>
    <w:p>
      <w:pPr>
        <w:jc w:val="both"/>
        <w:ind w:firstLine="5"/>
        <w:spacing w:after="0" w:line="300" w:lineRule="auto"/>
        <w:tabs>
          <w:tab w:leader="none" w:pos="295"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14" w:lineRule="exact"/>
        <w:rPr>
          <w:sz w:val="20"/>
          <w:szCs w:val="20"/>
          <w:color w:val="auto"/>
        </w:rPr>
      </w:pPr>
    </w:p>
    <w:p>
      <w:pPr>
        <w:ind w:right="280" w:firstLine="1283"/>
        <w:spacing w:after="0" w:line="283" w:lineRule="auto"/>
        <w:rPr>
          <w:sz w:val="20"/>
          <w:szCs w:val="20"/>
          <w:color w:val="auto"/>
        </w:rPr>
      </w:pPr>
      <w:r>
        <w:rPr>
          <w:rFonts w:ascii="Arial" w:cs="Arial" w:eastAsia="Arial" w:hAnsi="Arial"/>
          <w:sz w:val="16"/>
          <w:szCs w:val="16"/>
          <w:color w:val="auto"/>
        </w:rPr>
        <w:t>(iv)</w:t>
      </w:r>
      <w:r>
        <w:rPr>
          <w:rFonts w:ascii="Arial" w:cs="Arial" w:eastAsia="Arial" w:hAnsi="Arial"/>
          <w:sz w:val="16"/>
          <w:szCs w:val="16"/>
          <w:u w:val="single" w:color="auto"/>
          <w:color w:val="auto"/>
        </w:rPr>
        <w:t>Equity</w:t>
      </w:r>
      <w:r>
        <w:rPr>
          <w:rFonts w:ascii="Arial" w:cs="Arial" w:eastAsia="Arial" w:hAnsi="Arial"/>
          <w:sz w:val="16"/>
          <w:szCs w:val="16"/>
          <w:color w:val="auto"/>
        </w:rPr>
        <w:t>. If the Executive’s termination date is at least twelve (12) months following the Effective Start Date,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w:t>
      </w:r>
    </w:p>
    <w:p>
      <w:pPr>
        <w:spacing w:after="0" w:line="124" w:lineRule="exact"/>
        <w:rPr>
          <w:sz w:val="20"/>
          <w:szCs w:val="20"/>
          <w:color w:val="auto"/>
        </w:rPr>
      </w:pPr>
    </w:p>
    <w:p>
      <w:pPr>
        <w:jc w:val="both"/>
        <w:ind w:firstLine="1330"/>
        <w:spacing w:after="0" w:line="271" w:lineRule="auto"/>
        <w:rPr>
          <w:sz w:val="20"/>
          <w:szCs w:val="20"/>
          <w:color w:val="auto"/>
        </w:rPr>
      </w:pPr>
      <w:r>
        <w:rPr>
          <w:rFonts w:ascii="Arial" w:cs="Arial" w:eastAsia="Arial" w:hAnsi="Arial"/>
          <w:sz w:val="16"/>
          <w:szCs w:val="16"/>
          <w:color w:val="auto"/>
        </w:rPr>
        <w:t>(v)</w:t>
      </w:r>
      <w:r>
        <w:rPr>
          <w:rFonts w:ascii="Arial" w:cs="Arial" w:eastAsia="Arial" w:hAnsi="Arial"/>
          <w:sz w:val="16"/>
          <w:szCs w:val="16"/>
          <w:u w:val="single" w:color="auto"/>
          <w:color w:val="auto"/>
        </w:rPr>
        <w:t>Pro-Rated Bonus Payment</w:t>
      </w:r>
      <w:r>
        <w:rPr>
          <w:rFonts w:ascii="Arial" w:cs="Arial" w:eastAsia="Arial" w:hAnsi="Arial"/>
          <w:sz w:val="16"/>
          <w:szCs w:val="16"/>
          <w:color w:val="auto"/>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if any,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a fraction, the numerator of which is the number of days Executive was in the employ of the Company during the fiscal year including the Termination Date and the denominator of which is 365 (the “</w:t>
      </w:r>
      <w:r>
        <w:rPr>
          <w:rFonts w:ascii="Arial" w:cs="Arial" w:eastAsia="Arial" w:hAnsi="Arial"/>
          <w:sz w:val="16"/>
          <w:szCs w:val="16"/>
          <w:b w:val="1"/>
          <w:bCs w:val="1"/>
          <w:i w:val="1"/>
          <w:iCs w:val="1"/>
          <w:color w:val="auto"/>
        </w:rPr>
        <w:t>Pro-Rated Bonus</w:t>
      </w:r>
      <w:r>
        <w:rPr>
          <w:rFonts w:ascii="Arial" w:cs="Arial" w:eastAsia="Arial" w:hAnsi="Arial"/>
          <w:sz w:val="16"/>
          <w:szCs w:val="16"/>
          <w:color w:val="auto"/>
        </w:rPr>
        <w:t>”). The Pro-Rated Bonus, if any, shall be paid at the same time annual bonuses are paid by the Company to other executives of the Company for the fiscal year in which Executive terminated employment, but no later than March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calendar year following the calendar year in which Executive terminated employment.</w:t>
      </w:r>
    </w:p>
    <w:p>
      <w:pPr>
        <w:spacing w:after="0" w:line="64" w:lineRule="exact"/>
        <w:rPr>
          <w:sz w:val="20"/>
          <w:szCs w:val="20"/>
          <w:color w:val="auto"/>
        </w:rPr>
      </w:pPr>
    </w:p>
    <w:p>
      <w:pPr>
        <w:jc w:val="both"/>
        <w:ind w:firstLine="1023"/>
        <w:spacing w:after="0" w:line="285" w:lineRule="auto"/>
        <w:tabs>
          <w:tab w:leader="none" w:pos="1524"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or Resignation for Good Reason in Connection with a Change in Control</w:t>
      </w:r>
      <w:r>
        <w:rPr>
          <w:rFonts w:ascii="Arial" w:cs="Arial" w:eastAsia="Arial" w:hAnsi="Arial"/>
          <w:sz w:val="16"/>
          <w:szCs w:val="16"/>
          <w:color w:val="auto"/>
        </w:rPr>
        <w:t>. If at the same time of, or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twelve (12)-month period immediately following a Change in Control, (x) the Company terminates Executive’s employment with the Company for a reason other than for Cause, Executive becoming Disabled or Executive’s death, or (y) Executive resigns for Good Reason, then, subject to Section 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152" w:right="31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Executive will receive the following severance benefits from the Company in lieu of the benefits described in Section 7(a) above:</w:t>
      </w:r>
    </w:p>
    <w:p>
      <w:pPr>
        <w:spacing w:after="0" w:line="176"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Benefits.</w:t>
      </w:r>
    </w:p>
    <w:p>
      <w:pPr>
        <w:spacing w:after="0" w:line="176" w:lineRule="exact"/>
        <w:rPr>
          <w:sz w:val="20"/>
          <w:szCs w:val="20"/>
          <w:color w:val="auto"/>
        </w:rPr>
      </w:pPr>
    </w:p>
    <w:p>
      <w:pPr>
        <w:jc w:val="both"/>
        <w:ind w:firstLine="1321"/>
        <w:spacing w:after="0" w:line="259" w:lineRule="auto"/>
        <w:rPr>
          <w:sz w:val="20"/>
          <w:szCs w:val="20"/>
          <w:color w:val="auto"/>
        </w:rPr>
      </w:pPr>
      <w:r>
        <w:rPr>
          <w:rFonts w:ascii="Arial" w:cs="Arial" w:eastAsia="Arial" w:hAnsi="Arial"/>
          <w:sz w:val="17"/>
          <w:szCs w:val="17"/>
          <w:color w:val="auto"/>
        </w:rPr>
        <w:t>(ii)</w:t>
      </w: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 sum severance payment equal to twelve (12) months’ of Executive’s Base Salary, at the rate in effect immediately prior to such termination of employment, less all required tax withholdings and other applicable deductions, which will be paid in the first payroll cycle following the sixtieth day following Executive’s termination of employment.</w:t>
      </w:r>
    </w:p>
    <w:p>
      <w:pPr>
        <w:spacing w:after="0" w:line="142" w:lineRule="exact"/>
        <w:rPr>
          <w:sz w:val="20"/>
          <w:szCs w:val="20"/>
          <w:color w:val="auto"/>
        </w:rPr>
      </w:pPr>
    </w:p>
    <w:p>
      <w:pPr>
        <w:jc w:val="both"/>
        <w:ind w:firstLine="1274"/>
        <w:spacing w:after="0" w:line="251" w:lineRule="auto"/>
        <w:rPr>
          <w:sz w:val="20"/>
          <w:szCs w:val="20"/>
          <w:color w:val="auto"/>
        </w:rPr>
      </w:pPr>
      <w:r>
        <w:rPr>
          <w:rFonts w:ascii="Arial" w:cs="Arial" w:eastAsia="Arial" w:hAnsi="Arial"/>
          <w:sz w:val="17"/>
          <w:szCs w:val="17"/>
          <w:color w:val="auto"/>
        </w:rPr>
        <w:t>(iii)</w:t>
      </w: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50" w:lineRule="exact"/>
        <w:rPr>
          <w:sz w:val="20"/>
          <w:szCs w:val="20"/>
          <w:color w:val="auto"/>
        </w:rPr>
      </w:pPr>
    </w:p>
    <w:p>
      <w:pPr>
        <w:jc w:val="both"/>
        <w:ind w:firstLine="1283"/>
        <w:spacing w:after="0" w:line="303" w:lineRule="auto"/>
        <w:rPr>
          <w:sz w:val="20"/>
          <w:szCs w:val="20"/>
          <w:color w:val="auto"/>
        </w:rPr>
      </w:pPr>
      <w:r>
        <w:rPr>
          <w:rFonts w:ascii="Arial" w:cs="Arial" w:eastAsia="Arial" w:hAnsi="Arial"/>
          <w:sz w:val="16"/>
          <w:szCs w:val="16"/>
          <w:color w:val="auto"/>
        </w:rPr>
        <w:t>(iv)</w:t>
      </w:r>
      <w:r>
        <w:rPr>
          <w:rFonts w:ascii="Arial" w:cs="Arial" w:eastAsia="Arial" w:hAnsi="Arial"/>
          <w:sz w:val="16"/>
          <w:szCs w:val="16"/>
          <w:u w:val="single" w:color="auto"/>
          <w:color w:val="auto"/>
        </w:rPr>
        <w:t>Equity</w:t>
      </w:r>
      <w:r>
        <w:rPr>
          <w:rFonts w:ascii="Arial" w:cs="Arial" w:eastAsia="Arial" w:hAnsi="Arial"/>
          <w:sz w:val="16"/>
          <w:szCs w:val="16"/>
          <w:color w:val="auto"/>
        </w:rPr>
        <w:t>. Unless otherwise set forth in a performance restricted stock unit award agreement, all of Executive’s unvested and outstanding equity awards shall immediately vest and become exercisable as of the date Executive’s Release (as defined in Section 8 herein) actually becomes effective.</w:t>
      </w:r>
    </w:p>
    <w:p>
      <w:pPr>
        <w:spacing w:after="0" w:line="108" w:lineRule="exact"/>
        <w:rPr>
          <w:sz w:val="20"/>
          <w:szCs w:val="20"/>
          <w:color w:val="auto"/>
        </w:rPr>
      </w:pPr>
    </w:p>
    <w:p>
      <w:pPr>
        <w:jc w:val="both"/>
        <w:ind w:firstLine="1330"/>
        <w:spacing w:after="0" w:line="259" w:lineRule="auto"/>
        <w:rPr>
          <w:sz w:val="20"/>
          <w:szCs w:val="20"/>
          <w:color w:val="auto"/>
        </w:rPr>
      </w:pPr>
      <w:r>
        <w:rPr>
          <w:rFonts w:ascii="Arial" w:cs="Arial" w:eastAsia="Arial" w:hAnsi="Arial"/>
          <w:sz w:val="17"/>
          <w:szCs w:val="17"/>
          <w:color w:val="auto"/>
        </w:rPr>
        <w:t>(v)</w:t>
      </w:r>
      <w:r>
        <w:rPr>
          <w:rFonts w:ascii="Arial" w:cs="Arial" w:eastAsia="Arial" w:hAnsi="Arial"/>
          <w:sz w:val="17"/>
          <w:szCs w:val="17"/>
          <w:u w:val="single" w:color="auto"/>
          <w:color w:val="auto"/>
        </w:rPr>
        <w:t>Target Bonus Payment</w:t>
      </w:r>
      <w:r>
        <w:rPr>
          <w:rFonts w:ascii="Arial" w:cs="Arial" w:eastAsia="Arial" w:hAnsi="Arial"/>
          <w:sz w:val="17"/>
          <w:szCs w:val="17"/>
          <w:color w:val="auto"/>
        </w:rPr>
        <w:t>. Executive will receive a lump sum severance payment equal to one hundred percent (100%) of Executive’s full target bonus amount for the fiscal year in effect at the date of such termination of employment (or, if greater, as in effect for the fiscal year in which the Change in Control occurs), less all required tax withholdings and other applicable deductions.</w:t>
      </w:r>
    </w:p>
    <w:p>
      <w:pPr>
        <w:spacing w:after="0" w:line="138" w:lineRule="exact"/>
        <w:rPr>
          <w:sz w:val="20"/>
          <w:szCs w:val="20"/>
          <w:color w:val="auto"/>
        </w:rPr>
      </w:pPr>
    </w:p>
    <w:p>
      <w:pPr>
        <w:jc w:val="both"/>
        <w:ind w:firstLine="1023"/>
        <w:spacing w:after="0" w:line="253" w:lineRule="auto"/>
        <w:tabs>
          <w:tab w:leader="none" w:pos="1525"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Disability; Death; Voluntary Resignation; Termination for Cause</w:t>
      </w:r>
      <w:r>
        <w:rPr>
          <w:rFonts w:ascii="Arial" w:cs="Arial" w:eastAsia="Arial" w:hAnsi="Arial"/>
          <w:sz w:val="17"/>
          <w:szCs w:val="17"/>
          <w:color w:val="auto"/>
        </w:rPr>
        <w:t>. If Executive’s employment with the Company is terminated due to (i)</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becoming Disabled or Executive’s death, (ii) Executive’s voluntary resignation (other than for Good Reason at the time of or during the twelve (12) month period immediately following a Change of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7(c).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152" w:right="319" w:bottom="1440" w:gutter="0" w:footer="0" w:header="0"/>
        </w:sectPr>
      </w:pPr>
    </w:p>
    <w:bookmarkStart w:id="49" w:name="page50"/>
    <w:bookmarkEnd w:id="49"/>
    <w:p>
      <w:pPr>
        <w:jc w:val="both"/>
        <w:ind w:firstLine="1023"/>
        <w:spacing w:after="0" w:line="253" w:lineRule="auto"/>
        <w:tabs>
          <w:tab w:leader="none" w:pos="1524" w:val="left"/>
        </w:tabs>
        <w:numPr>
          <w:ilvl w:val="1"/>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Exclusive Remedy</w:t>
      </w:r>
      <w:r>
        <w:rPr>
          <w:rFonts w:ascii="Arial" w:cs="Arial" w:eastAsia="Arial" w:hAnsi="Arial"/>
          <w:sz w:val="17"/>
          <w:szCs w:val="17"/>
          <w:color w:val="auto"/>
        </w:rPr>
        <w:t>. In the event of a termination of Executive’s employment with the Company, the provisions of this Section 7 are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7 of this Agreement or pursuant to written equity award agreements with the Company.</w:t>
      </w:r>
    </w:p>
    <w:p>
      <w:pPr>
        <w:spacing w:after="0" w:line="142" w:lineRule="exact"/>
        <w:rPr>
          <w:rFonts w:ascii="Arial" w:cs="Arial" w:eastAsia="Arial" w:hAnsi="Arial"/>
          <w:sz w:val="17"/>
          <w:szCs w:val="17"/>
          <w:color w:val="auto"/>
        </w:rPr>
      </w:pPr>
    </w:p>
    <w:p>
      <w:pPr>
        <w:ind w:firstLine="1023"/>
        <w:spacing w:after="0" w:line="276" w:lineRule="auto"/>
        <w:tabs>
          <w:tab w:leader="none" w:pos="1525" w:val="left"/>
        </w:tabs>
        <w:numPr>
          <w:ilvl w:val="1"/>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that Executive may receive from any other source reduce any such payment.</w:t>
      </w:r>
    </w:p>
    <w:p>
      <w:pPr>
        <w:spacing w:after="0" w:line="123" w:lineRule="exact"/>
        <w:rPr>
          <w:rFonts w:ascii="Arial" w:cs="Arial" w:eastAsia="Arial" w:hAnsi="Arial"/>
          <w:sz w:val="17"/>
          <w:szCs w:val="17"/>
          <w:color w:val="auto"/>
        </w:rPr>
      </w:pPr>
    </w:p>
    <w:p>
      <w:pPr>
        <w:ind w:left="1020" w:hanging="506"/>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Receipt of Severance</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firstLine="1023"/>
        <w:spacing w:after="0" w:line="287" w:lineRule="auto"/>
        <w:tabs>
          <w:tab w:leader="none" w:pos="1525" w:val="left"/>
        </w:tabs>
        <w:numPr>
          <w:ilvl w:val="1"/>
          <w:numId w:val="17"/>
        </w:numPr>
        <w:rPr>
          <w:rFonts w:ascii="Arial" w:cs="Arial" w:eastAsia="Arial" w:hAnsi="Arial"/>
          <w:sz w:val="15"/>
          <w:szCs w:val="15"/>
          <w:color w:val="auto"/>
        </w:rPr>
      </w:pPr>
      <w:r>
        <w:rPr>
          <w:rFonts w:ascii="Arial" w:cs="Arial" w:eastAsia="Arial" w:hAnsi="Arial"/>
          <w:sz w:val="15"/>
          <w:szCs w:val="15"/>
          <w:b w:val="1"/>
          <w:bCs w:val="1"/>
          <w:u w:val="single" w:color="auto"/>
          <w:color w:val="auto"/>
        </w:rPr>
        <w:t>Release of Claims Agreement</w:t>
      </w:r>
      <w:r>
        <w:rPr>
          <w:rFonts w:ascii="Arial" w:cs="Arial" w:eastAsia="Arial" w:hAnsi="Arial"/>
          <w:sz w:val="15"/>
          <w:szCs w:val="15"/>
          <w:color w:val="auto"/>
        </w:rPr>
        <w:t>. The receipt of any severance payments or benefits pursuant to Section 7 of this Agreement, other than,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avoidance of doubt, the Accrued Benefits, is subject to Executive signing and not revoking a separation agreement and release of claims in a form acceptable to the Company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which must become effective no later than the sixtieth (60th) day following Executive’s termination of employment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Deadline</w:t>
      </w:r>
      <w:r>
        <w:rPr>
          <w:rFonts w:ascii="Arial" w:cs="Arial" w:eastAsia="Arial" w:hAnsi="Arial"/>
          <w:sz w:val="15"/>
          <w:szCs w:val="15"/>
          <w:color w:val="auto"/>
        </w:rPr>
        <w:t>”), and if not, Executive will forfeit any right to severance payments or benefits under this Agreement. To become effective, the Release must be executed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8(c)(i)) will be paid on the first payroll date to occur during the calendar year following the calendar year in which such termination occurs, or such later time as required by (i) the payment schedule applicable to each payment or benefit as set forth in Section 7, (ii) the date the Release becomes effective, or (iii) Section 8(c)(ii); provided that the first payment shall include all amounts that would have been paid to Executive if payment had commenced on the date of Executive’s termination of employment.</w:t>
      </w:r>
    </w:p>
    <w:p>
      <w:pPr>
        <w:spacing w:after="0" w:line="118" w:lineRule="exact"/>
        <w:rPr>
          <w:rFonts w:ascii="Arial" w:cs="Arial" w:eastAsia="Arial" w:hAnsi="Arial"/>
          <w:sz w:val="15"/>
          <w:szCs w:val="15"/>
          <w:color w:val="auto"/>
        </w:rPr>
      </w:pPr>
    </w:p>
    <w:p>
      <w:pPr>
        <w:ind w:firstLine="1023"/>
        <w:spacing w:after="0" w:line="308" w:lineRule="auto"/>
        <w:tabs>
          <w:tab w:leader="none" w:pos="1524" w:val="left"/>
        </w:tabs>
        <w:numPr>
          <w:ilvl w:val="1"/>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 Agreement</w:t>
      </w:r>
      <w:r>
        <w:rPr>
          <w:rFonts w:ascii="Arial" w:cs="Arial" w:eastAsia="Arial" w:hAnsi="Arial"/>
          <w:sz w:val="16"/>
          <w:szCs w:val="16"/>
          <w:color w:val="auto"/>
        </w:rPr>
        <w:t>. As a condition to employment and to Executive’s receipt of any payments or benefits under Section 7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Executive’s continued compliance with the requirements set for in the Non-Disclosure Agreement (as defined in Section 11(a) below).</w:t>
      </w:r>
    </w:p>
    <w:p>
      <w:pPr>
        <w:spacing w:after="0" w:line="100" w:lineRule="exact"/>
        <w:rPr>
          <w:rFonts w:ascii="Arial" w:cs="Arial" w:eastAsia="Arial" w:hAnsi="Arial"/>
          <w:sz w:val="16"/>
          <w:szCs w:val="16"/>
          <w:color w:val="auto"/>
        </w:rPr>
      </w:pPr>
    </w:p>
    <w:p>
      <w:pPr>
        <w:ind w:left="1540" w:hanging="517"/>
        <w:spacing w:after="0"/>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w:t>
      </w:r>
    </w:p>
    <w:p>
      <w:pPr>
        <w:spacing w:after="0" w:line="180" w:lineRule="exact"/>
        <w:rPr>
          <w:sz w:val="20"/>
          <w:szCs w:val="20"/>
          <w:color w:val="auto"/>
        </w:rPr>
      </w:pPr>
    </w:p>
    <w:p>
      <w:pPr>
        <w:ind w:firstLine="1368"/>
        <w:spacing w:after="0" w:line="271" w:lineRule="auto"/>
        <w:rPr>
          <w:sz w:val="20"/>
          <w:szCs w:val="20"/>
          <w:color w:val="auto"/>
        </w:rPr>
      </w:pPr>
      <w:r>
        <w:rPr>
          <w:rFonts w:ascii="Arial" w:cs="Arial" w:eastAsia="Arial" w:hAnsi="Arial"/>
          <w:sz w:val="17"/>
          <w:szCs w:val="17"/>
          <w:color w:val="auto"/>
        </w:rPr>
        <w:t>(i)Notwithstanding anything to the contrary in this Agreement, no severance pay or benefits to be paid or provided to Executive, if any, pursuant to this Agreement that, when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148" w:right="319" w:bottom="1440" w:gutter="0" w:footer="0" w:header="0"/>
        </w:sectPr>
      </w:pPr>
    </w:p>
    <w:bookmarkStart w:id="50" w:name="page51"/>
    <w:bookmarkEnd w:id="50"/>
    <w:p>
      <w:pPr>
        <w:jc w:val="both"/>
        <w:spacing w:after="0" w:line="295" w:lineRule="auto"/>
        <w:rPr>
          <w:sz w:val="20"/>
          <w:szCs w:val="20"/>
          <w:color w:val="auto"/>
        </w:rPr>
      </w:pPr>
      <w:r>
        <w:rPr>
          <w:rFonts w:ascii="Arial" w:cs="Arial" w:eastAsia="Arial" w:hAnsi="Arial"/>
          <w:sz w:val="15"/>
          <w:szCs w:val="15"/>
          <w:color w:val="auto"/>
        </w:rPr>
        <w:t>considered together with any other severance payments or separation benefits, are considered deferred compensation not exempt under Section 409A (together, the “</w:t>
      </w:r>
      <w:r>
        <w:rPr>
          <w:rFonts w:ascii="Arial" w:cs="Arial" w:eastAsia="Arial" w:hAnsi="Arial"/>
          <w:sz w:val="15"/>
          <w:szCs w:val="15"/>
          <w:b w:val="1"/>
          <w:bCs w:val="1"/>
          <w:i w:val="1"/>
          <w:iCs w:val="1"/>
          <w:color w:val="auto"/>
        </w:rPr>
        <w:t>Deferred Payments</w:t>
      </w:r>
      <w:r>
        <w:rPr>
          <w:rFonts w:ascii="Arial" w:cs="Arial" w:eastAsia="Arial" w:hAnsi="Arial"/>
          <w:sz w:val="15"/>
          <w:szCs w:val="15"/>
          <w:color w:val="auto"/>
        </w:rPr>
        <w:t>”) will be paid or otherwise provided until Executive has a “separation from service” within the meaning of Section 409A.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18" w:lineRule="exact"/>
        <w:rPr>
          <w:sz w:val="20"/>
          <w:szCs w:val="20"/>
          <w:color w:val="auto"/>
        </w:rPr>
      </w:pPr>
    </w:p>
    <w:p>
      <w:pPr>
        <w:jc w:val="both"/>
        <w:ind w:firstLine="1321"/>
        <w:spacing w:after="0" w:line="268" w:lineRule="auto"/>
        <w:rPr>
          <w:sz w:val="20"/>
          <w:szCs w:val="20"/>
          <w:color w:val="auto"/>
        </w:rPr>
      </w:pPr>
      <w:r>
        <w:rPr>
          <w:rFonts w:ascii="Arial" w:cs="Arial" w:eastAsia="Arial" w:hAnsi="Arial"/>
          <w:sz w:val="16"/>
          <w:szCs w:val="16"/>
          <w:color w:val="auto"/>
        </w:rPr>
        <w:t>(ii)Notwithstanding anything to the contrary in this Agreement, if Executive is a “</w:t>
      </w:r>
      <w:r>
        <w:rPr>
          <w:rFonts w:ascii="Arial" w:cs="Arial" w:eastAsia="Arial" w:hAnsi="Arial"/>
          <w:sz w:val="16"/>
          <w:szCs w:val="16"/>
          <w:b w:val="1"/>
          <w:bCs w:val="1"/>
          <w:i w:val="1"/>
          <w:iCs w:val="1"/>
          <w:color w:val="auto"/>
        </w:rPr>
        <w:t>specified employee</w:t>
      </w:r>
      <w:r>
        <w:rPr>
          <w:rFonts w:ascii="Arial" w:cs="Arial" w:eastAsia="Arial" w:hAnsi="Arial"/>
          <w:sz w:val="16"/>
          <w:szCs w:val="16"/>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35" w:lineRule="exact"/>
        <w:rPr>
          <w:sz w:val="20"/>
          <w:szCs w:val="20"/>
          <w:color w:val="auto"/>
        </w:rPr>
      </w:pPr>
    </w:p>
    <w:p>
      <w:pPr>
        <w:jc w:val="both"/>
        <w:ind w:firstLine="1274"/>
        <w:spacing w:after="0" w:line="271" w:lineRule="auto"/>
        <w:rPr>
          <w:sz w:val="20"/>
          <w:szCs w:val="20"/>
          <w:color w:val="auto"/>
        </w:rPr>
      </w:pPr>
      <w:r>
        <w:rPr>
          <w:rFonts w:ascii="Arial" w:cs="Arial" w:eastAsia="Arial" w:hAnsi="Arial"/>
          <w:sz w:val="17"/>
          <w:szCs w:val="17"/>
          <w:color w:val="auto"/>
        </w:rPr>
        <w:t>(iii)Without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31" w:lineRule="exact"/>
        <w:rPr>
          <w:sz w:val="20"/>
          <w:szCs w:val="20"/>
          <w:color w:val="auto"/>
        </w:rPr>
      </w:pPr>
    </w:p>
    <w:p>
      <w:pPr>
        <w:jc w:val="both"/>
        <w:ind w:firstLine="1283"/>
        <w:spacing w:after="0" w:line="255" w:lineRule="auto"/>
        <w:rPr>
          <w:sz w:val="20"/>
          <w:szCs w:val="20"/>
          <w:color w:val="auto"/>
        </w:rPr>
      </w:pPr>
      <w:r>
        <w:rPr>
          <w:rFonts w:ascii="Arial" w:cs="Arial" w:eastAsia="Arial" w:hAnsi="Arial"/>
          <w:sz w:val="17"/>
          <w:szCs w:val="17"/>
          <w:color w:val="auto"/>
        </w:rPr>
        <w:t>(iv)Without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45" w:lineRule="exact"/>
        <w:rPr>
          <w:sz w:val="20"/>
          <w:szCs w:val="20"/>
          <w:color w:val="auto"/>
        </w:rPr>
      </w:pPr>
    </w:p>
    <w:p>
      <w:pPr>
        <w:jc w:val="both"/>
        <w:ind w:firstLine="1330"/>
        <w:spacing w:after="0" w:line="255" w:lineRule="auto"/>
        <w:rPr>
          <w:sz w:val="20"/>
          <w:szCs w:val="20"/>
          <w:color w:val="auto"/>
        </w:rPr>
      </w:pPr>
      <w:r>
        <w:rPr>
          <w:rFonts w:ascii="Arial" w:cs="Arial" w:eastAsia="Arial" w:hAnsi="Arial"/>
          <w:sz w:val="17"/>
          <w:szCs w:val="17"/>
          <w:color w:val="auto"/>
        </w:rPr>
        <w:t>(v)To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152" w:right="31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in any calendar year shall not in any way affect the expenses eligible for reimbursement or in-kind benefits to be provided, in any other calendar year.</w:t>
      </w:r>
    </w:p>
    <w:p>
      <w:pPr>
        <w:spacing w:after="0" w:line="176" w:lineRule="exact"/>
        <w:rPr>
          <w:sz w:val="20"/>
          <w:szCs w:val="20"/>
          <w:color w:val="auto"/>
        </w:rPr>
      </w:pPr>
    </w:p>
    <w:p>
      <w:pPr>
        <w:jc w:val="both"/>
        <w:ind w:firstLine="1283"/>
        <w:spacing w:after="0" w:line="253" w:lineRule="auto"/>
        <w:rPr>
          <w:sz w:val="20"/>
          <w:szCs w:val="20"/>
          <w:color w:val="auto"/>
        </w:rPr>
      </w:pPr>
      <w:r>
        <w:rPr>
          <w:rFonts w:ascii="Arial" w:cs="Arial" w:eastAsia="Arial" w:hAnsi="Arial"/>
          <w:sz w:val="17"/>
          <w:szCs w:val="17"/>
          <w:color w:val="auto"/>
        </w:rPr>
        <w:t>(vi)The payments and benefits provided under Sections 7(a) and 7(b)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43" w:lineRule="exact"/>
        <w:rPr>
          <w:sz w:val="20"/>
          <w:szCs w:val="20"/>
          <w:color w:val="auto"/>
        </w:rPr>
      </w:pPr>
    </w:p>
    <w:p>
      <w:pPr>
        <w:jc w:val="both"/>
        <w:ind w:firstLine="514"/>
        <w:spacing w:after="0" w:line="251" w:lineRule="auto"/>
        <w:tabs>
          <w:tab w:leader="none" w:pos="1019"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Following the Employment Period, regardless of the reason for the termination of Executive’s Employment, the Executive shall give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assistance and cooperation willingly, upon reasonable advance notice, in any matter relating to the Executive’s position with the Company, or the Executive’s expertise or experience as the Company may reasonably request, including but not limited to the Executive’s assistance in transitioning the Executive’s duties and responsibilities, the Executive’s provision of information regarding any Company matters relevant to the Executive’s role, and the Executive’s attendance and truthful testimony where deemed appropriate by the Company, with respect to any investigation or the Company’s defense or prosecution of any existing or future claims or litigations or other proceedings relating to matters in which the Executive was involved or potentially had knowledge by virtue of the Executive’s employment with the Company. When making a request for assistance and/or cooperation in accordance with this Section 9, the Company shall make reasonable efforts to give due consideration to the Executive’s other business or personal commitments and to not materially interfere with the Executive’s services to a subsequent employer.</w:t>
      </w:r>
    </w:p>
    <w:p>
      <w:pPr>
        <w:spacing w:after="0" w:line="144" w:lineRule="exact"/>
        <w:rPr>
          <w:rFonts w:ascii="Arial" w:cs="Arial" w:eastAsia="Arial" w:hAnsi="Arial"/>
          <w:sz w:val="17"/>
          <w:szCs w:val="17"/>
          <w:color w:val="auto"/>
        </w:rPr>
      </w:pPr>
    </w:p>
    <w:p>
      <w:pPr>
        <w:ind w:left="1020" w:hanging="506"/>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175" w:lineRule="exact"/>
        <w:rPr>
          <w:rFonts w:ascii="Arial" w:cs="Arial" w:eastAsia="Arial" w:hAnsi="Arial"/>
          <w:sz w:val="17"/>
          <w:szCs w:val="17"/>
          <w:color w:val="auto"/>
        </w:rPr>
      </w:pPr>
    </w:p>
    <w:p>
      <w:pPr>
        <w:ind w:left="1540" w:hanging="517"/>
        <w:spacing w:after="0"/>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Cause</w:t>
      </w:r>
      <w:r>
        <w:rPr>
          <w:rFonts w:ascii="Arial" w:cs="Arial" w:eastAsia="Arial" w:hAnsi="Arial"/>
          <w:sz w:val="17"/>
          <w:szCs w:val="17"/>
          <w:color w:val="auto"/>
        </w:rPr>
        <w:t>. “Cause” means:</w:t>
      </w:r>
    </w:p>
    <w:p>
      <w:pPr>
        <w:spacing w:after="0" w:line="180" w:lineRule="exact"/>
        <w:rPr>
          <w:sz w:val="20"/>
          <w:szCs w:val="20"/>
          <w:color w:val="auto"/>
        </w:rPr>
      </w:pPr>
    </w:p>
    <w:p>
      <w:pPr>
        <w:ind w:firstLine="1368"/>
        <w:spacing w:after="0" w:line="271" w:lineRule="auto"/>
        <w:rPr>
          <w:sz w:val="20"/>
          <w:szCs w:val="20"/>
          <w:color w:val="auto"/>
        </w:rPr>
      </w:pPr>
      <w:r>
        <w:rPr>
          <w:rFonts w:ascii="Arial" w:cs="Arial" w:eastAsia="Arial" w:hAnsi="Arial"/>
          <w:sz w:val="17"/>
          <w:szCs w:val="17"/>
          <w:color w:val="auto"/>
        </w:rPr>
        <w:t>(i)Executive’s gross negligence or willful misconduct in the performance of his or her duties and responsibilities to the Company or Executive’s violation of any written Company policy;</w:t>
      </w:r>
    </w:p>
    <w:p>
      <w:pPr>
        <w:spacing w:after="0" w:line="131" w:lineRule="exact"/>
        <w:rPr>
          <w:sz w:val="20"/>
          <w:szCs w:val="20"/>
          <w:color w:val="auto"/>
        </w:rPr>
      </w:pPr>
    </w:p>
    <w:p>
      <w:pPr>
        <w:ind w:firstLine="1321"/>
        <w:spacing w:after="0" w:line="271" w:lineRule="auto"/>
        <w:rPr>
          <w:sz w:val="20"/>
          <w:szCs w:val="20"/>
          <w:color w:val="auto"/>
        </w:rPr>
      </w:pPr>
      <w:r>
        <w:rPr>
          <w:rFonts w:ascii="Arial" w:cs="Arial" w:eastAsia="Arial" w:hAnsi="Arial"/>
          <w:sz w:val="17"/>
          <w:szCs w:val="17"/>
          <w:color w:val="auto"/>
        </w:rPr>
        <w:t>(ii)Executive’s commission of any act of fraud, theft, embezzlement, financial dishonesty or any other willful misconduct that has caused or is reasonably expected to result in injury to the Company;</w:t>
      </w:r>
    </w:p>
    <w:p>
      <w:pPr>
        <w:spacing w:after="0" w:line="131" w:lineRule="exact"/>
        <w:rPr>
          <w:sz w:val="20"/>
          <w:szCs w:val="20"/>
          <w:color w:val="auto"/>
        </w:rPr>
      </w:pPr>
    </w:p>
    <w:p>
      <w:pPr>
        <w:ind w:left="1280" w:right="560" w:hanging="8"/>
        <w:spacing w:after="0" w:line="480" w:lineRule="auto"/>
        <w:rPr>
          <w:sz w:val="20"/>
          <w:szCs w:val="20"/>
          <w:color w:val="auto"/>
        </w:rPr>
      </w:pPr>
      <w:r>
        <w:rPr>
          <w:rFonts w:ascii="Arial" w:cs="Arial" w:eastAsia="Arial" w:hAnsi="Arial"/>
          <w:sz w:val="17"/>
          <w:szCs w:val="17"/>
          <w:color w:val="auto"/>
        </w:rPr>
        <w:t>(iii)Executive’s conviction of, or pleading guilty or nolo contendre to, any felony or a lesser crime involving dishonesty or moral turpitude; (iv)Executive’s alcohol abuse or other substance abuse;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00" w:top="1152" w:right="319" w:bottom="1440" w:gutter="0" w:footer="0" w:header="0"/>
        </w:sectPr>
      </w:pPr>
    </w:p>
    <w:bookmarkStart w:id="52" w:name="page53"/>
    <w:bookmarkEnd w:id="52"/>
    <w:p>
      <w:pPr>
        <w:ind w:firstLine="1330"/>
        <w:spacing w:after="0" w:line="340" w:lineRule="auto"/>
        <w:rPr>
          <w:sz w:val="20"/>
          <w:szCs w:val="20"/>
          <w:color w:val="auto"/>
        </w:rPr>
      </w:pPr>
      <w:r>
        <w:rPr>
          <w:rFonts w:ascii="Arial" w:cs="Arial" w:eastAsia="Arial" w:hAnsi="Arial"/>
          <w:sz w:val="15"/>
          <w:szCs w:val="15"/>
          <w:color w:val="auto"/>
        </w:rPr>
        <w:t>(v)Executive’s unauthorized use or disclosure of any proprietary information or trade secrets (other than as explicitly set forth in this Agreement) of the Company or any other party to whom Executive owes an obligation of nondisclosure as a result of his or her relationship with the Company; or</w:t>
      </w:r>
    </w:p>
    <w:p>
      <w:pPr>
        <w:spacing w:after="0" w:line="8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(vi)Executive’s material breach of any of his or her obligations under any written agreement or covenant with the Company.</w:t>
      </w:r>
    </w:p>
    <w:p>
      <w:pPr>
        <w:spacing w:after="0" w:line="172" w:lineRule="exact"/>
        <w:rPr>
          <w:sz w:val="20"/>
          <w:szCs w:val="20"/>
          <w:color w:val="auto"/>
        </w:rPr>
      </w:pPr>
    </w:p>
    <w:p>
      <w:pPr>
        <w:ind w:firstLine="1023"/>
        <w:spacing w:after="0" w:line="308" w:lineRule="auto"/>
        <w:tabs>
          <w:tab w:leader="none" w:pos="1524"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“Change in Control” shall have the meaning ascribed to such term in the Company’s Amended and Restated 2012</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Equity Incentive Plan, provided that any such event constitutes a “change in control event” under Treasury Regulation Section 1.409A-3(i)(5)(i).</w:t>
      </w:r>
    </w:p>
    <w:p>
      <w:pPr>
        <w:spacing w:after="0" w:line="100" w:lineRule="exact"/>
        <w:rPr>
          <w:rFonts w:ascii="Arial" w:cs="Arial" w:eastAsia="Arial" w:hAnsi="Arial"/>
          <w:sz w:val="16"/>
          <w:szCs w:val="16"/>
          <w:color w:val="auto"/>
        </w:rPr>
      </w:pPr>
    </w:p>
    <w:p>
      <w:pPr>
        <w:ind w:left="1540" w:hanging="517"/>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“Code” means the Internal Revenue Code of 1986, as amended.</w:t>
      </w:r>
    </w:p>
    <w:p>
      <w:pPr>
        <w:spacing w:after="0" w:line="175" w:lineRule="exact"/>
        <w:rPr>
          <w:rFonts w:ascii="Arial" w:cs="Arial" w:eastAsia="Arial" w:hAnsi="Arial"/>
          <w:sz w:val="17"/>
          <w:szCs w:val="17"/>
          <w:color w:val="auto"/>
        </w:rPr>
      </w:pPr>
    </w:p>
    <w:p>
      <w:pPr>
        <w:jc w:val="both"/>
        <w:ind w:firstLine="1023"/>
        <w:spacing w:after="0" w:line="262" w:lineRule="auto"/>
        <w:tabs>
          <w:tab w:leader="none" w:pos="1524"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“Disability” or “Disabled” means that Executive is unable to engage in any substantial gainful activity by reason of any medically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determinable physical or mental impairment which can be expected to result in death or which has lasted, or can be expected to last, for a continuous period of not less than one (1) year.</w:t>
      </w:r>
    </w:p>
    <w:p>
      <w:pPr>
        <w:spacing w:after="0" w:line="134" w:lineRule="exact"/>
        <w:rPr>
          <w:rFonts w:ascii="Arial" w:cs="Arial" w:eastAsia="Arial" w:hAnsi="Arial"/>
          <w:sz w:val="17"/>
          <w:szCs w:val="17"/>
          <w:color w:val="auto"/>
        </w:rPr>
      </w:pPr>
    </w:p>
    <w:p>
      <w:pPr>
        <w:ind w:left="1540" w:hanging="517"/>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Good Reason</w:t>
      </w:r>
      <w:r>
        <w:rPr>
          <w:rFonts w:ascii="Arial" w:cs="Arial" w:eastAsia="Arial" w:hAnsi="Arial"/>
          <w:sz w:val="17"/>
          <w:szCs w:val="17"/>
          <w:color w:val="auto"/>
        </w:rPr>
        <w:t>. “Good Reason” means the occurrence, without Executive’s consent, of one or more of the following:</w:t>
      </w:r>
    </w:p>
    <w:p>
      <w:pPr>
        <w:spacing w:after="0" w:line="180" w:lineRule="exact"/>
        <w:rPr>
          <w:sz w:val="20"/>
          <w:szCs w:val="20"/>
          <w:color w:val="auto"/>
        </w:rPr>
      </w:pPr>
    </w:p>
    <w:p>
      <w:pPr>
        <w:jc w:val="both"/>
        <w:ind w:firstLine="1368"/>
        <w:spacing w:after="0" w:line="259" w:lineRule="auto"/>
        <w:rPr>
          <w:sz w:val="20"/>
          <w:szCs w:val="20"/>
          <w:color w:val="auto"/>
        </w:rPr>
      </w:pPr>
      <w:r>
        <w:rPr>
          <w:rFonts w:ascii="Arial" w:cs="Arial" w:eastAsia="Arial" w:hAnsi="Arial"/>
          <w:sz w:val="17"/>
          <w:szCs w:val="17"/>
          <w:color w:val="auto"/>
        </w:rPr>
        <w:t>(i)A material reduction in Executive’s duties, authorities or responsibilities, relative to Executive’s duties, authorities or responsibilities in effect immediately prior to such reduction; provided, however, that not being named the Chief Technology Officer of the acquiring corporation following a Change in Control of the Company will not constitute Good Reason;</w:t>
      </w:r>
    </w:p>
    <w:p>
      <w:pPr>
        <w:spacing w:after="0" w:line="142" w:lineRule="exact"/>
        <w:rPr>
          <w:sz w:val="20"/>
          <w:szCs w:val="20"/>
          <w:color w:val="auto"/>
        </w:rPr>
      </w:pPr>
    </w:p>
    <w:p>
      <w:pPr>
        <w:jc w:val="both"/>
        <w:ind w:firstLine="1321"/>
        <w:spacing w:after="0" w:line="303" w:lineRule="auto"/>
        <w:rPr>
          <w:sz w:val="20"/>
          <w:szCs w:val="20"/>
          <w:color w:val="auto"/>
        </w:rPr>
      </w:pPr>
      <w:r>
        <w:rPr>
          <w:rFonts w:ascii="Arial" w:cs="Arial" w:eastAsia="Arial" w:hAnsi="Arial"/>
          <w:sz w:val="16"/>
          <w:szCs w:val="16"/>
          <w:color w:val="auto"/>
        </w:rPr>
        <w:t>(ii)A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08" w:lineRule="exact"/>
        <w:rPr>
          <w:sz w:val="20"/>
          <w:szCs w:val="20"/>
          <w:color w:val="auto"/>
        </w:rPr>
      </w:pPr>
    </w:p>
    <w:p>
      <w:pPr>
        <w:jc w:val="both"/>
        <w:ind w:firstLine="1274"/>
        <w:spacing w:after="0" w:line="271" w:lineRule="auto"/>
        <w:rPr>
          <w:sz w:val="20"/>
          <w:szCs w:val="20"/>
          <w:color w:val="auto"/>
        </w:rPr>
      </w:pPr>
      <w:r>
        <w:rPr>
          <w:rFonts w:ascii="Arial" w:cs="Arial" w:eastAsia="Arial" w:hAnsi="Arial"/>
          <w:sz w:val="17"/>
          <w:szCs w:val="17"/>
          <w:color w:val="auto"/>
        </w:rPr>
        <w:t>(iii)A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(iv)A material breach by the Company of a material provision of this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each case, only if Executive provides notice in accordance with Section 14(c) to the Company of the existence of the applicable condition described in Section 10(e), specifically identifying the acts or omissions, within thirty (30) days of the Executive’s knowledge of the initial existence of the condition, the Company fails to remedy the condition within thirty (30) days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300" w:top="1152" w:right="31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 xml:space="preserve">thereafter,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within the (30) day period immediately following such failure to remedy, you elect to terminate your Employment.</w:t>
      </w:r>
    </w:p>
    <w:p>
      <w:pPr>
        <w:spacing w:after="0" w:line="172" w:lineRule="exact"/>
        <w:rPr>
          <w:sz w:val="20"/>
          <w:szCs w:val="20"/>
          <w:color w:val="auto"/>
        </w:rPr>
      </w:pPr>
    </w:p>
    <w:p>
      <w:pPr>
        <w:ind w:left="1540" w:hanging="517"/>
        <w:spacing w:after="0"/>
        <w:tabs>
          <w:tab w:leader="none" w:pos="1540" w:val="left"/>
        </w:tabs>
        <w:numPr>
          <w:ilvl w:val="0"/>
          <w:numId w:val="20"/>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 “Section 409A” means Code Section 409A, and the final regulations and any guidance promulgated thereunder or any state law</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equivalent.</w:t>
      </w:r>
    </w:p>
    <w:p>
      <w:pPr>
        <w:spacing w:after="0" w:line="158" w:lineRule="exact"/>
        <w:rPr>
          <w:sz w:val="20"/>
          <w:szCs w:val="20"/>
          <w:color w:val="auto"/>
        </w:rPr>
      </w:pPr>
    </w:p>
    <w:p>
      <w:pPr>
        <w:jc w:val="both"/>
        <w:ind w:firstLine="1023"/>
        <w:spacing w:after="0" w:line="254" w:lineRule="auto"/>
        <w:tabs>
          <w:tab w:leader="none" w:pos="1524" w:val="left"/>
        </w:tabs>
        <w:numPr>
          <w:ilvl w:val="1"/>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Limit</w:t>
      </w:r>
      <w:r>
        <w:rPr>
          <w:rFonts w:ascii="Arial" w:cs="Arial" w:eastAsia="Arial" w:hAnsi="Arial"/>
          <w:sz w:val="17"/>
          <w:szCs w:val="17"/>
          <w:color w:val="auto"/>
        </w:rPr>
        <w:t>. “Section 409A Limit” will mean two (2) times the lesser of: (i) Executive’s annualized compensation based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43" w:lineRule="exact"/>
        <w:rPr>
          <w:rFonts w:ascii="Arial" w:cs="Arial" w:eastAsia="Arial" w:hAnsi="Arial"/>
          <w:sz w:val="17"/>
          <w:szCs w:val="17"/>
          <w:color w:val="auto"/>
        </w:rPr>
      </w:pPr>
    </w:p>
    <w:p>
      <w:pPr>
        <w:ind w:left="1520" w:hanging="497"/>
        <w:spacing w:after="0"/>
        <w:tabs>
          <w:tab w:leader="none" w:pos="1520" w:val="left"/>
        </w:tabs>
        <w:numPr>
          <w:ilvl w:val="1"/>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Severance Period</w:t>
      </w:r>
      <w:r>
        <w:rPr>
          <w:rFonts w:ascii="Arial" w:cs="Arial" w:eastAsia="Arial" w:hAnsi="Arial"/>
          <w:sz w:val="17"/>
          <w:szCs w:val="17"/>
          <w:color w:val="auto"/>
        </w:rPr>
        <w:t>. “Severance Period” shall mean twelve (12) months.</w:t>
      </w:r>
    </w:p>
    <w:p>
      <w:pPr>
        <w:spacing w:after="0" w:line="175" w:lineRule="exact"/>
        <w:rPr>
          <w:rFonts w:ascii="Arial" w:cs="Arial" w:eastAsia="Arial" w:hAnsi="Arial"/>
          <w:sz w:val="17"/>
          <w:szCs w:val="17"/>
          <w:color w:val="auto"/>
        </w:rPr>
      </w:pPr>
    </w:p>
    <w:p>
      <w:pPr>
        <w:ind w:left="1020" w:hanging="506"/>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Pre-Employment Conditions</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color w:val="auto"/>
        </w:rPr>
      </w:pPr>
    </w:p>
    <w:p>
      <w:pPr>
        <w:jc w:val="both"/>
        <w:ind w:firstLine="1023"/>
        <w:spacing w:after="0" w:line="262" w:lineRule="auto"/>
        <w:tabs>
          <w:tab w:leader="none" w:pos="1525" w:val="left"/>
        </w:tabs>
        <w:numPr>
          <w:ilvl w:val="1"/>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Non-Disclosure Agreement</w:t>
      </w:r>
      <w:r>
        <w:rPr>
          <w:rFonts w:ascii="Arial" w:cs="Arial" w:eastAsia="Arial" w:hAnsi="Arial"/>
          <w:sz w:val="17"/>
          <w:szCs w:val="17"/>
          <w:color w:val="auto"/>
        </w:rPr>
        <w:t>. Executive’s acceptance of this offer and Employment with the Company is contingent upon the execution,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to an officer of the Company, of the Company’s non-disclosure agreement (the “</w:t>
      </w:r>
      <w:r>
        <w:rPr>
          <w:rFonts w:ascii="Arial" w:cs="Arial" w:eastAsia="Arial" w:hAnsi="Arial"/>
          <w:sz w:val="17"/>
          <w:szCs w:val="17"/>
          <w:b w:val="1"/>
          <w:bCs w:val="1"/>
          <w:i w:val="1"/>
          <w:iCs w:val="1"/>
          <w:color w:val="auto"/>
        </w:rPr>
        <w:t>Non-Disclosure Agreement</w:t>
      </w:r>
      <w:r>
        <w:rPr>
          <w:rFonts w:ascii="Arial" w:cs="Arial" w:eastAsia="Arial" w:hAnsi="Arial"/>
          <w:sz w:val="17"/>
          <w:szCs w:val="17"/>
          <w:color w:val="auto"/>
        </w:rPr>
        <w:t>”), prior to or on Executive’s Effective Start Date.</w:t>
      </w:r>
    </w:p>
    <w:p>
      <w:pPr>
        <w:spacing w:after="0" w:line="134" w:lineRule="exact"/>
        <w:rPr>
          <w:rFonts w:ascii="Arial" w:cs="Arial" w:eastAsia="Arial" w:hAnsi="Arial"/>
          <w:sz w:val="17"/>
          <w:szCs w:val="17"/>
          <w:color w:val="auto"/>
        </w:rPr>
      </w:pPr>
    </w:p>
    <w:p>
      <w:pPr>
        <w:jc w:val="both"/>
        <w:ind w:firstLine="1023"/>
        <w:spacing w:after="0" w:line="262" w:lineRule="auto"/>
        <w:tabs>
          <w:tab w:leader="none" w:pos="1524" w:val="left"/>
        </w:tabs>
        <w:numPr>
          <w:ilvl w:val="1"/>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Work</w:t>
      </w:r>
      <w:r>
        <w:rPr>
          <w:rFonts w:ascii="Arial" w:cs="Arial" w:eastAsia="Arial" w:hAnsi="Arial"/>
          <w:sz w:val="17"/>
          <w:szCs w:val="17"/>
          <w:color w:val="auto"/>
        </w:rPr>
        <w:t>. For purposes of federal immigration law, you will be required, if you have not already, to provide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documentary evidence of your identity and eligibility for employment in the United States. Such documentation must be provided to us within three (3) business days of the Effective Start Date, or our Employment relationship with you may be terminated.</w:t>
      </w:r>
    </w:p>
    <w:p>
      <w:pPr>
        <w:spacing w:after="0" w:line="134" w:lineRule="exact"/>
        <w:rPr>
          <w:rFonts w:ascii="Arial" w:cs="Arial" w:eastAsia="Arial" w:hAnsi="Arial"/>
          <w:sz w:val="17"/>
          <w:szCs w:val="17"/>
          <w:color w:val="auto"/>
        </w:rPr>
      </w:pPr>
    </w:p>
    <w:p>
      <w:pPr>
        <w:jc w:val="both"/>
        <w:ind w:firstLine="1023"/>
        <w:spacing w:after="0" w:line="254" w:lineRule="auto"/>
        <w:tabs>
          <w:tab w:leader="none" w:pos="1525" w:val="left"/>
        </w:tabs>
        <w:numPr>
          <w:ilvl w:val="1"/>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Verification of Information</w:t>
      </w:r>
      <w:r>
        <w:rPr>
          <w:rFonts w:ascii="Arial" w:cs="Arial" w:eastAsia="Arial" w:hAnsi="Arial"/>
          <w:sz w:val="17"/>
          <w:szCs w:val="17"/>
          <w:color w:val="auto"/>
        </w:rPr>
        <w:t>. This Agreement is also contingent upon the successful verification of the information you provided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during your application process, as well as a general background check performed by the Company to confirm your suitability for Employment. By accepting this Agreement, you warrant that all information provided by you is true and correct to the best of your knowledge, you agree to execute any and all documentation necessary for the Company to conduct a background check and you expressly release the Company from any claim or cause of action arising out of the Company’s verification of such information.</w:t>
      </w:r>
    </w:p>
    <w:p>
      <w:pPr>
        <w:spacing w:after="0" w:line="143" w:lineRule="exact"/>
        <w:rPr>
          <w:rFonts w:ascii="Arial" w:cs="Arial" w:eastAsia="Arial" w:hAnsi="Arial"/>
          <w:sz w:val="17"/>
          <w:szCs w:val="17"/>
          <w:color w:val="auto"/>
        </w:rPr>
      </w:pPr>
    </w:p>
    <w:p>
      <w:pPr>
        <w:ind w:left="1020" w:hanging="506"/>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firstLine="1023"/>
        <w:spacing w:after="0" w:line="313" w:lineRule="auto"/>
        <w:tabs>
          <w:tab w:leader="none" w:pos="1525" w:val="left"/>
        </w:tabs>
        <w:numPr>
          <w:ilvl w:val="1"/>
          <w:numId w:val="22"/>
        </w:numPr>
        <w:rPr>
          <w:rFonts w:ascii="Arial" w:cs="Arial" w:eastAsia="Arial" w:hAnsi="Arial"/>
          <w:sz w:val="15"/>
          <w:szCs w:val="15"/>
          <w:color w:val="auto"/>
        </w:rPr>
      </w:pPr>
      <w:r>
        <w:rPr>
          <w:rFonts w:ascii="Arial" w:cs="Arial" w:eastAsia="Arial" w:hAnsi="Arial"/>
          <w:sz w:val="15"/>
          <w:szCs w:val="15"/>
          <w:b w:val="1"/>
          <w:bCs w:val="1"/>
          <w:u w:val="single" w:color="auto"/>
          <w:color w:val="auto"/>
        </w:rPr>
        <w:t>Arbitration</w:t>
      </w:r>
      <w:r>
        <w:rPr>
          <w:rFonts w:ascii="Arial" w:cs="Arial" w:eastAsia="Arial" w:hAnsi="Arial"/>
          <w:sz w:val="15"/>
          <w:szCs w:val="15"/>
          <w:color w:val="auto"/>
        </w:rPr>
        <w:t>. In consideration of your Employment with the Company, its promise to arbitrate all employment</w:t>
      </w:r>
      <w:r>
        <w:rPr>
          <w:rFonts w:ascii="Arial" w:cs="Arial" w:eastAsia="Arial" w:hAnsi="Arial"/>
          <w:sz w:val="15"/>
          <w:szCs w:val="15"/>
          <w:b w:val="1"/>
          <w:bCs w:val="1"/>
          <w:color w:val="auto"/>
        </w:rPr>
        <w:t>-</w:t>
      </w:r>
      <w:r>
        <w:rPr>
          <w:rFonts w:ascii="Arial" w:cs="Arial" w:eastAsia="Arial" w:hAnsi="Arial"/>
          <w:sz w:val="15"/>
          <w:szCs w:val="15"/>
          <w:color w:val="auto"/>
        </w:rPr>
        <w:t>related disputes, and your</w:t>
      </w:r>
      <w:r>
        <w:rPr>
          <w:rFonts w:ascii="Arial" w:cs="Arial" w:eastAsia="Arial" w:hAnsi="Arial"/>
          <w:sz w:val="15"/>
          <w:szCs w:val="15"/>
          <w:b w:val="1"/>
          <w:bCs w:val="1"/>
          <w:color w:val="auto"/>
        </w:rPr>
        <w:t xml:space="preserve"> </w:t>
      </w:r>
      <w:r>
        <w:rPr>
          <w:rFonts w:ascii="Arial" w:cs="Arial" w:eastAsia="Arial" w:hAnsi="Arial"/>
          <w:sz w:val="15"/>
          <w:szCs w:val="15"/>
          <w:color w:val="auto"/>
        </w:rPr>
        <w:t>receipt of any compensation, pay raises and other benefits paid to you by the Company, at present and in the future, you agree that any and all controversies, claims, or disputes with anyone (including the Company and any employee, officer, director, shareholder or benefit plan of the Company in their capacity as such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80"/>
          </w:cols>
          <w:pgMar w:left="300" w:top="1152" w:right="31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7"/>
          <w:szCs w:val="17"/>
          <w:color w:val="auto"/>
        </w:rPr>
        <w:t>or otherwise) arising out of, relating to, or resulting from your Employment with the Company or termination thereof, including any breach of this Agreement, will be subject to binding arbitration.</w:t>
      </w:r>
    </w:p>
    <w:p>
      <w:pPr>
        <w:spacing w:after="0" w:line="127" w:lineRule="exact"/>
        <w:rPr>
          <w:sz w:val="20"/>
          <w:szCs w:val="20"/>
          <w:color w:val="auto"/>
        </w:rPr>
      </w:pPr>
    </w:p>
    <w:p>
      <w:pPr>
        <w:jc w:val="both"/>
        <w:ind w:firstLine="1023"/>
        <w:spacing w:after="0" w:line="293" w:lineRule="auto"/>
        <w:tabs>
          <w:tab w:leader="none" w:pos="1524" w:val="left"/>
        </w:tabs>
        <w:numPr>
          <w:ilvl w:val="0"/>
          <w:numId w:val="23"/>
        </w:numPr>
        <w:rPr>
          <w:rFonts w:ascii="Arial" w:cs="Arial" w:eastAsia="Arial" w:hAnsi="Arial"/>
          <w:sz w:val="15"/>
          <w:szCs w:val="15"/>
          <w:color w:val="auto"/>
        </w:rPr>
      </w:pPr>
      <w:r>
        <w:rPr>
          <w:rFonts w:ascii="Arial" w:cs="Arial" w:eastAsia="Arial" w:hAnsi="Arial"/>
          <w:sz w:val="15"/>
          <w:szCs w:val="15"/>
          <w:b w:val="1"/>
          <w:bCs w:val="1"/>
          <w:u w:val="single" w:color="auto"/>
          <w:color w:val="auto"/>
        </w:rPr>
        <w:t>Dispute Resolution</w:t>
      </w:r>
      <w:r>
        <w:rPr>
          <w:rFonts w:ascii="Arial" w:cs="Arial" w:eastAsia="Arial" w:hAnsi="Arial"/>
          <w:sz w:val="15"/>
          <w:szCs w:val="15"/>
          <w:color w:val="auto"/>
        </w:rPr>
        <w:t>. Disputes that Executive agrees to arbitrate, and thereby agrees to waive any right to a jury trial, include any statutory</w:t>
      </w:r>
      <w:r>
        <w:rPr>
          <w:rFonts w:ascii="Arial" w:cs="Arial" w:eastAsia="Arial" w:hAnsi="Arial"/>
          <w:sz w:val="15"/>
          <w:szCs w:val="15"/>
          <w:b w:val="1"/>
          <w:bCs w:val="1"/>
          <w:color w:val="auto"/>
        </w:rPr>
        <w:t xml:space="preserve"> </w:t>
      </w:r>
      <w:r>
        <w:rPr>
          <w:rFonts w:ascii="Arial" w:cs="Arial" w:eastAsia="Arial" w:hAnsi="Arial"/>
          <w:sz w:val="15"/>
          <w:szCs w:val="15"/>
          <w:color w:val="auto"/>
        </w:rPr>
        <w:t>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115" w:lineRule="exact"/>
        <w:rPr>
          <w:rFonts w:ascii="Arial" w:cs="Arial" w:eastAsia="Arial" w:hAnsi="Arial"/>
          <w:sz w:val="15"/>
          <w:szCs w:val="15"/>
          <w:color w:val="auto"/>
        </w:rPr>
      </w:pPr>
    </w:p>
    <w:p>
      <w:pPr>
        <w:jc w:val="both"/>
        <w:ind w:firstLine="1023"/>
        <w:spacing w:after="0" w:line="268" w:lineRule="auto"/>
        <w:tabs>
          <w:tab w:leader="none" w:pos="1525"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 Executive agrees that any arbitration will be administered by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determine the scope of any necessary discovery and to decide any motions brought by any party to the arbitration, including motions for summary judgment and/or adjudication, motions to dismiss and demurrers,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apply substantive New York law to any dispute or claim, without reference to the rules of conflict of law. The decision of the arbitrator shall be in writing. Any arbitration under this Agreement shall be conducted in New York County, New York.</w:t>
      </w:r>
    </w:p>
    <w:p>
      <w:pPr>
        <w:spacing w:after="0" w:line="134" w:lineRule="exact"/>
        <w:rPr>
          <w:rFonts w:ascii="Arial" w:cs="Arial" w:eastAsia="Arial" w:hAnsi="Arial"/>
          <w:sz w:val="16"/>
          <w:szCs w:val="16"/>
          <w:color w:val="auto"/>
        </w:rPr>
      </w:pPr>
    </w:p>
    <w:p>
      <w:pPr>
        <w:jc w:val="both"/>
        <w:ind w:firstLine="1023"/>
        <w:spacing w:after="0" w:line="278" w:lineRule="auto"/>
        <w:tabs>
          <w:tab w:leader="none" w:pos="1524"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Remedy</w:t>
      </w:r>
      <w:r>
        <w:rPr>
          <w:rFonts w:ascii="Arial" w:cs="Arial" w:eastAsia="Arial" w:hAnsi="Arial"/>
          <w:sz w:val="16"/>
          <w:szCs w:val="16"/>
          <w:color w:val="auto"/>
        </w:rPr>
        <w:t>. Except as provided by the Act, arbitration shall be the sole, exclusive, and final remedy for any dispute between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w:t>
      </w:r>
      <w:r>
        <w:rPr>
          <w:rFonts w:ascii="Arial" w:cs="Arial" w:eastAsia="Arial" w:hAnsi="Arial"/>
          <w:sz w:val="16"/>
          <w:szCs w:val="16"/>
          <w:b w:val="1"/>
          <w:bCs w:val="1"/>
          <w:color w:val="auto"/>
        </w:rPr>
        <w:t>Accordingly, except as provided by the Act and this Agreement, neither you nor the Company will be permitted to pursue court action regarding</w:t>
      </w:r>
      <w:r>
        <w:rPr>
          <w:rFonts w:ascii="Arial" w:cs="Arial" w:eastAsia="Arial" w:hAnsi="Arial"/>
          <w:sz w:val="16"/>
          <w:szCs w:val="16"/>
          <w:color w:val="auto"/>
        </w:rPr>
        <w:t xml:space="preserve"> </w:t>
      </w:r>
      <w:r>
        <w:rPr>
          <w:rFonts w:ascii="Arial" w:cs="Arial" w:eastAsia="Arial" w:hAnsi="Arial"/>
          <w:sz w:val="16"/>
          <w:szCs w:val="16"/>
          <w:b w:val="1"/>
          <w:bCs w:val="1"/>
          <w:color w:val="auto"/>
        </w:rPr>
        <w:t>claims that are subject to arbitration</w:t>
      </w:r>
      <w:r>
        <w:rPr>
          <w:rFonts w:ascii="Arial" w:cs="Arial" w:eastAsia="Arial" w:hAnsi="Arial"/>
          <w:sz w:val="16"/>
          <w:szCs w:val="16"/>
          <w:color w:val="auto"/>
        </w:rPr>
        <w:t>. Notwithstanding, the arbitrator will not have the authority to disregard or refuse to enforce any lawful Company policy,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arbitrator will not order or require the Company to adopt a policy not otherwise required by law that the Company has not adopted.</w:t>
      </w:r>
    </w:p>
    <w:p>
      <w:pPr>
        <w:spacing w:after="0" w:line="123" w:lineRule="exact"/>
        <w:rPr>
          <w:rFonts w:ascii="Arial" w:cs="Arial" w:eastAsia="Arial" w:hAnsi="Arial"/>
          <w:sz w:val="16"/>
          <w:szCs w:val="16"/>
          <w:color w:val="auto"/>
        </w:rPr>
      </w:pPr>
    </w:p>
    <w:p>
      <w:pPr>
        <w:jc w:val="both"/>
        <w:ind w:firstLine="1023"/>
        <w:spacing w:after="0" w:line="262" w:lineRule="auto"/>
        <w:tabs>
          <w:tab w:leader="none" w:pos="1525"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Administrative Relief</w:t>
      </w:r>
      <w:r>
        <w:rPr>
          <w:rFonts w:ascii="Arial" w:cs="Arial" w:eastAsia="Arial" w:hAnsi="Arial"/>
          <w:sz w:val="17"/>
          <w:szCs w:val="17"/>
          <w:color w:val="auto"/>
        </w:rPr>
        <w:t>. You are not prohibited from pursuing an administrative claim with a local, state, or federal administrative body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 agency that is authorized to enforce or administer laws related to employment, including, but not limited to, the Department of Fair Employment and Housing, the Equal Employment Opportunity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80"/>
          </w:cols>
          <w:pgMar w:left="300" w:top="1152" w:right="31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auto"/>
        </w:rPr>
        <w:t>Commission, the National Labor Relations Board, or the Workers’ Compensation Board. However, you may not pursue court action regarding any such claim, except as permitted by law.</w:t>
      </w:r>
    </w:p>
    <w:p>
      <w:pPr>
        <w:spacing w:after="0" w:line="127" w:lineRule="exact"/>
        <w:rPr>
          <w:sz w:val="20"/>
          <w:szCs w:val="20"/>
          <w:color w:val="auto"/>
        </w:rPr>
      </w:pPr>
    </w:p>
    <w:p>
      <w:pPr>
        <w:jc w:val="both"/>
        <w:ind w:firstLine="1023"/>
        <w:spacing w:after="0" w:line="254" w:lineRule="auto"/>
        <w:tabs>
          <w:tab w:leader="none" w:pos="1528" w:val="left"/>
        </w:tabs>
        <w:numPr>
          <w:ilvl w:val="1"/>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Voluntary Nature of Agreement</w:t>
      </w:r>
      <w:r>
        <w:rPr>
          <w:rFonts w:ascii="Arial" w:cs="Arial" w:eastAsia="Arial" w:hAnsi="Arial"/>
          <w:sz w:val="17"/>
          <w:szCs w:val="17"/>
          <w:color w:val="auto"/>
        </w:rPr>
        <w:t>. You acknowledge and agree that you are executing this Agreement voluntarily and without any duress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Arial" w:cs="Arial" w:eastAsia="Arial" w:hAnsi="Arial"/>
          <w:sz w:val="17"/>
          <w:szCs w:val="17"/>
          <w:b w:val="1"/>
          <w:bCs w:val="1"/>
          <w:i w:val="1"/>
          <w:iCs w:val="1"/>
          <w:color w:val="auto"/>
        </w:rPr>
        <w:t>YOU ARE WAIVING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YOUR RIGHT TO A JURY TRIAL</w:t>
      </w:r>
      <w:r>
        <w:rPr>
          <w:rFonts w:ascii="Arial" w:cs="Arial" w:eastAsia="Arial" w:hAnsi="Arial"/>
          <w:sz w:val="17"/>
          <w:szCs w:val="17"/>
          <w:color w:val="auto"/>
        </w:rPr>
        <w:t>. Finally, you agree that you have been provided an opportunity to seek the advice of an attorney of your choice before signing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w:t>
      </w:r>
    </w:p>
    <w:p>
      <w:pPr>
        <w:spacing w:after="0" w:line="143" w:lineRule="exact"/>
        <w:rPr>
          <w:rFonts w:ascii="Arial" w:cs="Arial" w:eastAsia="Arial" w:hAnsi="Arial"/>
          <w:sz w:val="17"/>
          <w:szCs w:val="17"/>
          <w:color w:val="auto"/>
        </w:rPr>
      </w:pPr>
    </w:p>
    <w:p>
      <w:pPr>
        <w:ind w:left="1020" w:hanging="506"/>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color w:val="auto"/>
        </w:rPr>
      </w:pPr>
    </w:p>
    <w:p>
      <w:pPr>
        <w:jc w:val="both"/>
        <w:ind w:firstLine="1023"/>
        <w:spacing w:after="0" w:line="262" w:lineRule="auto"/>
        <w:tabs>
          <w:tab w:leader="none" w:pos="1525"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any successor (whether direct or indirect and whether by purchase, lease,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consolidation, liquidation or otherwise) to all or substantially all of the Company’s business and/or assets. For all purposes under this Agreement,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successor to the Company’s business or assets that become bound by this Agreement.</w:t>
      </w:r>
    </w:p>
    <w:p>
      <w:pPr>
        <w:spacing w:after="0" w:line="134" w:lineRule="exact"/>
        <w:rPr>
          <w:rFonts w:ascii="Arial" w:cs="Arial" w:eastAsia="Arial" w:hAnsi="Arial"/>
          <w:sz w:val="17"/>
          <w:szCs w:val="17"/>
          <w:color w:val="auto"/>
        </w:rPr>
      </w:pPr>
    </w:p>
    <w:p>
      <w:pPr>
        <w:ind w:firstLine="1023"/>
        <w:spacing w:after="0" w:line="276" w:lineRule="auto"/>
        <w:tabs>
          <w:tab w:leader="none" w:pos="1524"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Your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of Executive’s rights hereunder shall inure to the benefit of, and be enforceable by,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 or legal representatives, executors, administrators, successors, heirs, distributees, devisees and legatees.</w:t>
      </w:r>
    </w:p>
    <w:p>
      <w:pPr>
        <w:spacing w:after="0" w:line="123" w:lineRule="exact"/>
        <w:rPr>
          <w:rFonts w:ascii="Arial" w:cs="Arial" w:eastAsia="Arial" w:hAnsi="Arial"/>
          <w:sz w:val="17"/>
          <w:szCs w:val="17"/>
          <w:color w:val="auto"/>
        </w:rPr>
      </w:pPr>
    </w:p>
    <w:p>
      <w:pPr>
        <w:ind w:left="1020" w:hanging="506"/>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175" w:lineRule="exact"/>
        <w:rPr>
          <w:rFonts w:ascii="Arial" w:cs="Arial" w:eastAsia="Arial" w:hAnsi="Arial"/>
          <w:sz w:val="17"/>
          <w:szCs w:val="17"/>
          <w:color w:val="auto"/>
        </w:rPr>
      </w:pPr>
    </w:p>
    <w:p>
      <w:pPr>
        <w:jc w:val="both"/>
        <w:ind w:firstLine="1023"/>
        <w:spacing w:after="0" w:line="262" w:lineRule="auto"/>
        <w:tabs>
          <w:tab w:leader="none" w:pos="1525"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indemnify Executive to the maximum extent permitted by applicable law and the Company’s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of Incorporation and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34" w:lineRule="exact"/>
        <w:rPr>
          <w:rFonts w:ascii="Arial" w:cs="Arial" w:eastAsia="Arial" w:hAnsi="Arial"/>
          <w:sz w:val="17"/>
          <w:szCs w:val="17"/>
          <w:color w:val="auto"/>
        </w:rPr>
      </w:pPr>
    </w:p>
    <w:p>
      <w:pPr>
        <w:ind w:left="1520" w:hanging="497"/>
        <w:spacing w:after="0"/>
        <w:tabs>
          <w:tab w:leader="none" w:pos="1520"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58" w:lineRule="exact"/>
        <w:rPr>
          <w:rFonts w:ascii="Arial" w:cs="Arial" w:eastAsia="Arial" w:hAnsi="Arial"/>
          <w:sz w:val="16"/>
          <w:szCs w:val="16"/>
          <w:color w:val="auto"/>
        </w:rPr>
      </w:pPr>
    </w:p>
    <w:p>
      <w:pPr>
        <w:ind w:left="1540" w:hanging="517"/>
        <w:spacing w:after="0"/>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w:t>
      </w:r>
    </w:p>
    <w:p>
      <w:pPr>
        <w:spacing w:after="0" w:line="180" w:lineRule="exact"/>
        <w:rPr>
          <w:sz w:val="20"/>
          <w:szCs w:val="20"/>
          <w:color w:val="auto"/>
        </w:rPr>
      </w:pPr>
    </w:p>
    <w:p>
      <w:pPr>
        <w:jc w:val="both"/>
        <w:ind w:firstLine="1368"/>
        <w:spacing w:after="0" w:line="276" w:lineRule="auto"/>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80"/>
          </w:cols>
          <w:pgMar w:left="300" w:top="1152" w:right="319" w:bottom="1440" w:gutter="0" w:footer="0" w:header="0"/>
        </w:sectPr>
      </w:pPr>
    </w:p>
    <w:bookmarkStart w:id="56" w:name="page57"/>
    <w:bookmarkEnd w:id="56"/>
    <w:p>
      <w:pPr>
        <w:jc w:val="both"/>
        <w:ind w:firstLine="1321"/>
        <w:spacing w:after="0" w:line="271" w:lineRule="auto"/>
        <w:rPr>
          <w:sz w:val="20"/>
          <w:szCs w:val="20"/>
          <w:color w:val="auto"/>
        </w:rPr>
      </w:pPr>
      <w:r>
        <w:rPr>
          <w:rFonts w:ascii="Arial" w:cs="Arial" w:eastAsia="Arial" w:hAnsi="Arial"/>
          <w:sz w:val="16"/>
          <w:szCs w:val="16"/>
          <w:color w:val="auto"/>
        </w:rPr>
        <w:t>(ii)</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14(c)(i) of this Agreement. Such notice will indicate the specific termination provision in this Agreement relied upon and will set forth in reasonable detail the facts and circumstances claimed to provide a basis for termination under the provision so indicated.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29" w:lineRule="exact"/>
        <w:rPr>
          <w:sz w:val="20"/>
          <w:szCs w:val="20"/>
          <w:color w:val="auto"/>
        </w:rPr>
      </w:pPr>
    </w:p>
    <w:p>
      <w:pPr>
        <w:jc w:val="both"/>
        <w:ind w:firstLine="1023"/>
        <w:spacing w:after="0" w:line="257" w:lineRule="auto"/>
        <w:tabs>
          <w:tab w:leader="none" w:pos="1524"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Modifications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provision of this Agreement shall be modified, waived or discharged unless the modification, waiver or</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8" w:lineRule="exact"/>
        <w:rPr>
          <w:rFonts w:ascii="Arial" w:cs="Arial" w:eastAsia="Arial" w:hAnsi="Arial"/>
          <w:sz w:val="17"/>
          <w:szCs w:val="17"/>
          <w:color w:val="auto"/>
        </w:rPr>
      </w:pPr>
    </w:p>
    <w:p>
      <w:pPr>
        <w:jc w:val="both"/>
        <w:ind w:firstLine="1023"/>
        <w:spacing w:after="0" w:line="262" w:lineRule="auto"/>
        <w:tabs>
          <w:tab w:leader="none" w:pos="1525"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No other agreements, representations or understandings (whether oral or written and whether express or implied)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expressly set forth in this Agreement have been made or entered into by either party with respect to the subject matter hereof. This Agreement and the Non-Disclosure Agreement contain the entire understanding of the parties with respect to the subject matter hereof.</w:t>
      </w:r>
    </w:p>
    <w:p>
      <w:pPr>
        <w:spacing w:after="0" w:line="134" w:lineRule="exact"/>
        <w:rPr>
          <w:rFonts w:ascii="Arial" w:cs="Arial" w:eastAsia="Arial" w:hAnsi="Arial"/>
          <w:sz w:val="17"/>
          <w:szCs w:val="17"/>
          <w:color w:val="auto"/>
        </w:rPr>
      </w:pPr>
    </w:p>
    <w:p>
      <w:pPr>
        <w:ind w:left="1540" w:hanging="517"/>
        <w:spacing w:after="0"/>
        <w:tabs>
          <w:tab w:leader="none" w:pos="1540" w:val="left"/>
        </w:tabs>
        <w:numPr>
          <w:ilvl w:val="0"/>
          <w:numId w:val="26"/>
        </w:numPr>
        <w:rPr>
          <w:rFonts w:ascii="Arial" w:cs="Arial" w:eastAsia="Arial" w:hAnsi="Arial"/>
          <w:sz w:val="15"/>
          <w:szCs w:val="15"/>
          <w:color w:val="auto"/>
        </w:rPr>
      </w:pPr>
      <w:r>
        <w:rPr>
          <w:rFonts w:ascii="Arial" w:cs="Arial" w:eastAsia="Arial" w:hAnsi="Arial"/>
          <w:sz w:val="15"/>
          <w:szCs w:val="15"/>
          <w:b w:val="1"/>
          <w:bCs w:val="1"/>
          <w:u w:val="single" w:color="auto"/>
          <w:color w:val="auto"/>
        </w:rPr>
        <w:t>Withholding Taxes</w:t>
      </w:r>
      <w:r>
        <w:rPr>
          <w:rFonts w:ascii="Arial" w:cs="Arial" w:eastAsia="Arial" w:hAnsi="Arial"/>
          <w:sz w:val="15"/>
          <w:szCs w:val="15"/>
          <w:b w:val="1"/>
          <w:bCs w:val="1"/>
          <w:color w:val="auto"/>
        </w:rPr>
        <w:t xml:space="preserve">. </w:t>
      </w:r>
      <w:r>
        <w:rPr>
          <w:rFonts w:ascii="Arial" w:cs="Arial" w:eastAsia="Arial" w:hAnsi="Arial"/>
          <w:sz w:val="15"/>
          <w:szCs w:val="15"/>
          <w:color w:val="auto"/>
        </w:rPr>
        <w:t>All payments made under this Agreement shall be subject to reduction to reflect taxes or other charges required to be</w:t>
      </w:r>
    </w:p>
    <w:p>
      <w:pPr>
        <w:spacing w:after="0" w:line="4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withheld by law.</w:t>
      </w:r>
    </w:p>
    <w:p>
      <w:pPr>
        <w:spacing w:after="0" w:line="158" w:lineRule="exact"/>
        <w:rPr>
          <w:rFonts w:ascii="Arial" w:cs="Arial" w:eastAsia="Arial" w:hAnsi="Arial"/>
          <w:sz w:val="15"/>
          <w:szCs w:val="15"/>
          <w:color w:val="auto"/>
        </w:rPr>
      </w:pPr>
    </w:p>
    <w:p>
      <w:pPr>
        <w:ind w:firstLine="1023"/>
        <w:spacing w:after="0" w:line="276" w:lineRule="auto"/>
        <w:tabs>
          <w:tab w:leader="none" w:pos="1524"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accordance with the laws of the State of New York without giving effect to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governing the choice of law.</w:t>
      </w:r>
    </w:p>
    <w:p>
      <w:pPr>
        <w:spacing w:after="0" w:line="123" w:lineRule="exact"/>
        <w:rPr>
          <w:rFonts w:ascii="Arial" w:cs="Arial" w:eastAsia="Arial" w:hAnsi="Arial"/>
          <w:sz w:val="17"/>
          <w:szCs w:val="17"/>
          <w:color w:val="auto"/>
        </w:rPr>
      </w:pPr>
    </w:p>
    <w:p>
      <w:pPr>
        <w:jc w:val="both"/>
        <w:ind w:firstLine="1023"/>
        <w:spacing w:after="0" w:line="293" w:lineRule="auto"/>
        <w:tabs>
          <w:tab w:leader="none" w:pos="1524" w:val="left"/>
        </w:tabs>
        <w:numPr>
          <w:ilvl w:val="0"/>
          <w:numId w:val="26"/>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this Agreement becomes or is deemed invalid, illegal or unenforceable in any applicable jurisdiction by</w:t>
      </w:r>
      <w:r>
        <w:rPr>
          <w:rFonts w:ascii="Arial" w:cs="Arial" w:eastAsia="Arial" w:hAnsi="Arial"/>
          <w:sz w:val="15"/>
          <w:szCs w:val="15"/>
          <w:b w:val="1"/>
          <w:bCs w:val="1"/>
          <w:color w:val="auto"/>
        </w:rPr>
        <w:t xml:space="preserve"> </w:t>
      </w:r>
      <w:r>
        <w:rPr>
          <w:rFonts w:ascii="Arial" w:cs="Arial" w:eastAsia="Arial" w:hAnsi="Arial"/>
          <w:sz w:val="15"/>
          <w:szCs w:val="15"/>
          <w:color w:val="auto"/>
        </w:rPr>
        <w:t>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5"/>
          <w:szCs w:val="15"/>
          <w:b w:val="1"/>
          <w:bCs w:val="1"/>
          <w:i w:val="1"/>
          <w:iCs w:val="1"/>
          <w:color w:val="auto"/>
        </w:rPr>
        <w:t>Law</w:t>
      </w:r>
      <w:r>
        <w:rPr>
          <w:rFonts w:ascii="Arial" w:cs="Arial" w:eastAsia="Arial" w:hAnsi="Arial"/>
          <w:sz w:val="15"/>
          <w:szCs w:val="15"/>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15" w:lineRule="exact"/>
        <w:rPr>
          <w:rFonts w:ascii="Arial" w:cs="Arial" w:eastAsia="Arial" w:hAnsi="Arial"/>
          <w:sz w:val="15"/>
          <w:szCs w:val="15"/>
          <w:color w:val="auto"/>
        </w:rPr>
      </w:pPr>
    </w:p>
    <w:p>
      <w:pPr>
        <w:ind w:firstLine="1023"/>
        <w:spacing w:after="0" w:line="276" w:lineRule="auto"/>
        <w:tabs>
          <w:tab w:leader="none" w:pos="1518"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No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of your rights and obligations hereunder are personal to you and may not be transferred or assigned</w:t>
      </w:r>
      <w:r>
        <w:rPr>
          <w:rFonts w:ascii="Arial" w:cs="Arial" w:eastAsia="Arial" w:hAnsi="Arial"/>
          <w:sz w:val="17"/>
          <w:szCs w:val="17"/>
          <w:b w:val="1"/>
          <w:bCs w:val="1"/>
          <w:color w:val="auto"/>
        </w:rPr>
        <w:t xml:space="preserve"> </w:t>
      </w:r>
      <w:r>
        <w:rPr>
          <w:rFonts w:ascii="Arial" w:cs="Arial" w:eastAsia="Arial" w:hAnsi="Arial"/>
          <w:sz w:val="17"/>
          <w:szCs w:val="17"/>
          <w:color w:val="auto"/>
        </w:rPr>
        <w:t>by you at any time. The Company may assign its rights under this Agreement to any entity that assumes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-1046480</wp:posOffset>
            </wp:positionV>
            <wp:extent cx="406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80"/>
          </w:cols>
          <w:pgMar w:left="300" w:top="1152" w:right="31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obligations hereunder in connection with any sale or transfer to such entity of all or a substantial portion of the Company’s assets.</w:t>
      </w:r>
    </w:p>
    <w:p>
      <w:pPr>
        <w:spacing w:after="0" w:line="172" w:lineRule="exact"/>
        <w:rPr>
          <w:sz w:val="20"/>
          <w:szCs w:val="20"/>
          <w:color w:val="auto"/>
        </w:rPr>
      </w:pPr>
    </w:p>
    <w:p>
      <w:pPr>
        <w:jc w:val="both"/>
        <w:ind w:firstLine="1023"/>
        <w:spacing w:after="0" w:line="262" w:lineRule="auto"/>
        <w:tabs>
          <w:tab w:leader="none" w:pos="1518"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 You acknowledge that you have had the opportunity to discuss this matter with and obtain advice from your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have had sufficient time to, and have carefully read and fully understand all the provisions of this Agreement, and are knowingly and voluntarily entering into this Agreement.</w:t>
      </w:r>
    </w:p>
    <w:p>
      <w:pPr>
        <w:spacing w:after="0" w:line="134" w:lineRule="exact"/>
        <w:rPr>
          <w:rFonts w:ascii="Arial" w:cs="Arial" w:eastAsia="Arial" w:hAnsi="Arial"/>
          <w:sz w:val="17"/>
          <w:szCs w:val="17"/>
          <w:color w:val="auto"/>
        </w:rPr>
      </w:pPr>
    </w:p>
    <w:p>
      <w:pPr>
        <w:ind w:firstLine="1023"/>
        <w:spacing w:after="0" w:line="276" w:lineRule="auto"/>
        <w:tabs>
          <w:tab w:leader="none" w:pos="1524"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two or more counterparts, each of which shall be deemed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one and the same instrument.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80"/>
          </w:cols>
          <w:pgMar w:left="300" w:top="1152" w:right="319" w:bottom="1440" w:gutter="0" w:footer="0" w:header="0"/>
        </w:sectPr>
      </w:pPr>
    </w:p>
    <w:bookmarkStart w:id="58" w:name="page59"/>
    <w:bookmarkEnd w:id="58"/>
    <w:p>
      <w:pPr>
        <w:spacing w:after="0" w:line="271" w:lineRule="auto"/>
        <w:rPr>
          <w:sz w:val="20"/>
          <w:szCs w:val="20"/>
          <w:color w:val="auto"/>
        </w:rPr>
      </w:pPr>
      <w:r>
        <w:rPr>
          <w:rFonts w:ascii="Arial" w:cs="Arial" w:eastAsia="Arial" w:hAnsi="Arial"/>
          <w:sz w:val="17"/>
          <w:szCs w:val="17"/>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Very truly yours,</w:t>
      </w:r>
    </w:p>
    <w:p>
      <w:pPr>
        <w:spacing w:after="0" w:line="342"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SHUTTERSTOCK, INC.</w:t>
      </w:r>
    </w:p>
    <w:p>
      <w:pPr>
        <w:spacing w:after="0" w:line="350"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Lisa Nadler</w:t>
      </w:r>
    </w:p>
    <w:p>
      <w:pPr>
        <w:spacing w:after="0" w:line="20"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(Signature)</w:t>
      </w:r>
    </w:p>
    <w:p>
      <w:pPr>
        <w:spacing w:after="0" w:line="162"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Lisa Nadler</w:t>
      </w:r>
    </w:p>
    <w:p>
      <w:pPr>
        <w:spacing w:after="0" w:line="176"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Chief Human Resources Officer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 AND AGREED: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Pietro Silvio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Pietro Silvio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November 14, 2019</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80"/>
          </w:cols>
          <w:pgMar w:left="300" w:top="1152"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OR 15d-14(a)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I, Stan Pavlovsky, certify that:</w:t>
      </w:r>
    </w:p>
    <w:p>
      <w:pPr>
        <w:spacing w:after="0" w:line="148" w:lineRule="exact"/>
        <w:rPr>
          <w:sz w:val="20"/>
          <w:szCs w:val="20"/>
          <w:color w:val="auto"/>
        </w:rPr>
      </w:pPr>
    </w:p>
    <w:p>
      <w:pPr>
        <w:ind w:left="680" w:hanging="420"/>
        <w:spacing w:after="0"/>
        <w:tabs>
          <w:tab w:leader="none" w:pos="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Shutterstock, Inc.;</w:t>
      </w:r>
    </w:p>
    <w:p>
      <w:pPr>
        <w:spacing w:after="0" w:line="147" w:lineRule="exact"/>
        <w:rPr>
          <w:rFonts w:ascii="Arial" w:cs="Arial" w:eastAsia="Arial" w:hAnsi="Arial"/>
          <w:sz w:val="13"/>
          <w:szCs w:val="13"/>
          <w:color w:val="auto"/>
        </w:rPr>
      </w:pPr>
    </w:p>
    <w:p>
      <w:pPr>
        <w:ind w:left="260" w:right="160"/>
        <w:spacing w:after="0" w:line="257" w:lineRule="auto"/>
        <w:tabs>
          <w:tab w:leader="none" w:pos="674"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3"/>
          <w:szCs w:val="13"/>
          <w:color w:val="auto"/>
        </w:rPr>
      </w:pPr>
    </w:p>
    <w:p>
      <w:pPr>
        <w:ind w:left="260" w:right="160"/>
        <w:spacing w:after="0" w:line="257" w:lineRule="auto"/>
        <w:tabs>
          <w:tab w:leader="none" w:pos="674"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3"/>
          <w:szCs w:val="13"/>
          <w:color w:val="auto"/>
        </w:rPr>
      </w:pPr>
    </w:p>
    <w:p>
      <w:pPr>
        <w:ind w:left="260" w:right="320"/>
        <w:spacing w:after="0" w:line="257" w:lineRule="auto"/>
        <w:tabs>
          <w:tab w:leader="none" w:pos="671"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3"/>
          <w:szCs w:val="13"/>
          <w:color w:val="auto"/>
        </w:rPr>
      </w:pPr>
    </w:p>
    <w:p>
      <w:pPr>
        <w:ind w:left="520" w:right="180" w:hanging="6"/>
        <w:spacing w:after="0" w:line="257" w:lineRule="auto"/>
        <w:tabs>
          <w:tab w:leader="none" w:pos="927" w:val="left"/>
        </w:tabs>
        <w:numPr>
          <w:ilvl w:val="1"/>
          <w:numId w:val="2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3"/>
          <w:szCs w:val="13"/>
          <w:color w:val="auto"/>
        </w:rPr>
      </w:pPr>
    </w:p>
    <w:p>
      <w:pPr>
        <w:ind w:left="520" w:right="400" w:hanging="6"/>
        <w:spacing w:after="0" w:line="299" w:lineRule="auto"/>
        <w:tabs>
          <w:tab w:leader="none" w:pos="934" w:val="left"/>
        </w:tabs>
        <w:numPr>
          <w:ilvl w:val="1"/>
          <w:numId w:val="2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2"/>
          <w:szCs w:val="12"/>
          <w:color w:val="auto"/>
        </w:rPr>
      </w:pPr>
    </w:p>
    <w:p>
      <w:pPr>
        <w:ind w:left="520" w:right="180" w:hanging="6"/>
        <w:spacing w:after="0" w:line="257" w:lineRule="auto"/>
        <w:tabs>
          <w:tab w:leader="none" w:pos="927" w:val="left"/>
        </w:tabs>
        <w:numPr>
          <w:ilvl w:val="1"/>
          <w:numId w:val="2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3"/>
          <w:szCs w:val="13"/>
          <w:color w:val="auto"/>
        </w:rPr>
      </w:pPr>
    </w:p>
    <w:p>
      <w:pPr>
        <w:ind w:left="520" w:right="240" w:hanging="6"/>
        <w:spacing w:after="0" w:line="257" w:lineRule="auto"/>
        <w:tabs>
          <w:tab w:leader="none" w:pos="934"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3"/>
          <w:szCs w:val="13"/>
          <w:color w:val="auto"/>
        </w:rPr>
      </w:pPr>
    </w:p>
    <w:p>
      <w:pPr>
        <w:ind w:left="260" w:right="500"/>
        <w:spacing w:after="0" w:line="257" w:lineRule="auto"/>
        <w:tabs>
          <w:tab w:leader="none" w:pos="671"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3"/>
          <w:szCs w:val="13"/>
          <w:color w:val="auto"/>
        </w:rPr>
      </w:pPr>
    </w:p>
    <w:p>
      <w:pPr>
        <w:ind w:left="520" w:right="120" w:hanging="6"/>
        <w:spacing w:after="0" w:line="257" w:lineRule="auto"/>
        <w:tabs>
          <w:tab w:leader="none" w:pos="92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3"/>
          <w:szCs w:val="13"/>
          <w:color w:val="auto"/>
        </w:rPr>
      </w:pPr>
    </w:p>
    <w:p>
      <w:pPr>
        <w:ind w:left="920" w:hanging="406"/>
        <w:spacing w:after="0"/>
        <w:tabs>
          <w:tab w:leader="none" w:pos="92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700" w:val="left"/>
          <w:tab w:leader="none" w:pos="6140" w:val="left"/>
        </w:tabs>
        <w:rPr>
          <w:sz w:val="20"/>
          <w:szCs w:val="20"/>
          <w:color w:val="auto"/>
        </w:rPr>
      </w:pPr>
      <w:r>
        <w:rPr>
          <w:rFonts w:ascii="Arial" w:cs="Arial" w:eastAsia="Arial" w:hAnsi="Arial"/>
          <w:sz w:val="13"/>
          <w:szCs w:val="13"/>
          <w:color w:val="auto"/>
        </w:rPr>
        <w:t>Date: July 28,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24130</wp:posOffset>
            </wp:positionV>
            <wp:extent cx="32543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Stan Pavlovsky</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Chief Executive Officer</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734"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OR 15d-14(a)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I, Jarrod Yahes, certify that:</w:t>
      </w:r>
    </w:p>
    <w:p>
      <w:pPr>
        <w:spacing w:after="0" w:line="148" w:lineRule="exact"/>
        <w:rPr>
          <w:sz w:val="20"/>
          <w:szCs w:val="20"/>
          <w:color w:val="auto"/>
        </w:rPr>
      </w:pPr>
    </w:p>
    <w:p>
      <w:pPr>
        <w:ind w:left="680" w:hanging="420"/>
        <w:spacing w:after="0"/>
        <w:tabs>
          <w:tab w:leader="none" w:pos="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Shutterstock, Inc.;</w:t>
      </w:r>
    </w:p>
    <w:p>
      <w:pPr>
        <w:spacing w:after="0" w:line="147" w:lineRule="exact"/>
        <w:rPr>
          <w:rFonts w:ascii="Arial" w:cs="Arial" w:eastAsia="Arial" w:hAnsi="Arial"/>
          <w:sz w:val="13"/>
          <w:szCs w:val="13"/>
          <w:color w:val="auto"/>
        </w:rPr>
      </w:pPr>
    </w:p>
    <w:p>
      <w:pPr>
        <w:ind w:left="260" w:right="160"/>
        <w:spacing w:after="0" w:line="257" w:lineRule="auto"/>
        <w:tabs>
          <w:tab w:leader="none" w:pos="674"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3"/>
          <w:szCs w:val="13"/>
          <w:color w:val="auto"/>
        </w:rPr>
      </w:pPr>
    </w:p>
    <w:p>
      <w:pPr>
        <w:ind w:left="260" w:right="160"/>
        <w:spacing w:after="0" w:line="257" w:lineRule="auto"/>
        <w:tabs>
          <w:tab w:leader="none" w:pos="674"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3"/>
          <w:szCs w:val="13"/>
          <w:color w:val="auto"/>
        </w:rPr>
      </w:pPr>
    </w:p>
    <w:p>
      <w:pPr>
        <w:ind w:left="260" w:right="320"/>
        <w:spacing w:after="0" w:line="257" w:lineRule="auto"/>
        <w:tabs>
          <w:tab w:leader="none" w:pos="67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3"/>
          <w:szCs w:val="13"/>
          <w:color w:val="auto"/>
        </w:rPr>
      </w:pPr>
    </w:p>
    <w:p>
      <w:pPr>
        <w:ind w:left="520" w:right="180" w:hanging="6"/>
        <w:spacing w:after="0" w:line="257" w:lineRule="auto"/>
        <w:tabs>
          <w:tab w:leader="none" w:pos="927" w:val="left"/>
        </w:tabs>
        <w:numPr>
          <w:ilvl w:val="1"/>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3"/>
          <w:szCs w:val="13"/>
          <w:color w:val="auto"/>
        </w:rPr>
      </w:pPr>
    </w:p>
    <w:p>
      <w:pPr>
        <w:ind w:left="520" w:right="400" w:hanging="6"/>
        <w:spacing w:after="0" w:line="299" w:lineRule="auto"/>
        <w:tabs>
          <w:tab w:leader="none" w:pos="934" w:val="left"/>
        </w:tabs>
        <w:numPr>
          <w:ilvl w:val="1"/>
          <w:numId w:val="2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2"/>
          <w:szCs w:val="12"/>
          <w:color w:val="auto"/>
        </w:rPr>
      </w:pPr>
    </w:p>
    <w:p>
      <w:pPr>
        <w:ind w:left="520" w:right="180" w:hanging="6"/>
        <w:spacing w:after="0" w:line="257" w:lineRule="auto"/>
        <w:tabs>
          <w:tab w:leader="none" w:pos="927" w:val="left"/>
        </w:tabs>
        <w:numPr>
          <w:ilvl w:val="1"/>
          <w:numId w:val="2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3"/>
          <w:szCs w:val="13"/>
          <w:color w:val="auto"/>
        </w:rPr>
      </w:pPr>
    </w:p>
    <w:p>
      <w:pPr>
        <w:ind w:left="520" w:right="240" w:hanging="6"/>
        <w:spacing w:after="0" w:line="257" w:lineRule="auto"/>
        <w:tabs>
          <w:tab w:leader="none" w:pos="934"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3"/>
          <w:szCs w:val="13"/>
          <w:color w:val="auto"/>
        </w:rPr>
      </w:pPr>
    </w:p>
    <w:p>
      <w:pPr>
        <w:ind w:left="260" w:right="500"/>
        <w:spacing w:after="0" w:line="257" w:lineRule="auto"/>
        <w:tabs>
          <w:tab w:leader="none" w:pos="67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3"/>
          <w:szCs w:val="13"/>
          <w:color w:val="auto"/>
        </w:rPr>
      </w:pPr>
    </w:p>
    <w:p>
      <w:pPr>
        <w:ind w:left="520" w:right="120" w:hanging="6"/>
        <w:spacing w:after="0" w:line="257" w:lineRule="auto"/>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3"/>
          <w:szCs w:val="13"/>
          <w:color w:val="auto"/>
        </w:rPr>
      </w:pPr>
    </w:p>
    <w:p>
      <w:pPr>
        <w:ind w:left="920" w:hanging="406"/>
        <w:spacing w:after="0"/>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820" w:val="left"/>
          <w:tab w:leader="none" w:pos="6260" w:val="left"/>
        </w:tabs>
        <w:rPr>
          <w:sz w:val="20"/>
          <w:szCs w:val="20"/>
          <w:color w:val="auto"/>
        </w:rPr>
      </w:pPr>
      <w:r>
        <w:rPr>
          <w:rFonts w:ascii="Arial" w:cs="Arial" w:eastAsia="Arial" w:hAnsi="Arial"/>
          <w:sz w:val="13"/>
          <w:szCs w:val="13"/>
          <w:color w:val="auto"/>
        </w:rPr>
        <w:t>Date: July 28,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0"/>
          <w:szCs w:val="10"/>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24130</wp:posOffset>
            </wp:positionV>
            <wp:extent cx="31800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3"/>
          <w:szCs w:val="13"/>
          <w:color w:val="auto"/>
        </w:rPr>
        <w:t>Jarrod Yahes</w:t>
      </w:r>
    </w:p>
    <w:p>
      <w:pPr>
        <w:spacing w:after="0" w:line="52" w:lineRule="exact"/>
        <w:rPr>
          <w:sz w:val="20"/>
          <w:szCs w:val="20"/>
          <w:color w:val="auto"/>
        </w:rPr>
      </w:pPr>
    </w:p>
    <w:p>
      <w:pPr>
        <w:ind w:left="6280"/>
        <w:spacing w:after="0"/>
        <w:rPr>
          <w:sz w:val="20"/>
          <w:szCs w:val="20"/>
          <w:color w:val="auto"/>
        </w:rPr>
      </w:pPr>
      <w:r>
        <w:rPr>
          <w:rFonts w:ascii="Arial" w:cs="Arial" w:eastAsia="Arial" w:hAnsi="Arial"/>
          <w:sz w:val="13"/>
          <w:szCs w:val="13"/>
          <w:color w:val="auto"/>
        </w:rPr>
        <w:t>Chief Financial Officer</w:t>
      </w:r>
    </w:p>
    <w:p>
      <w:pPr>
        <w:spacing w:after="0" w:line="52" w:lineRule="exact"/>
        <w:rPr>
          <w:sz w:val="20"/>
          <w:szCs w:val="20"/>
          <w:color w:val="auto"/>
        </w:rPr>
      </w:pPr>
    </w:p>
    <w:p>
      <w:pPr>
        <w:ind w:left="6280"/>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733"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138"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In connection with the Quarterly Report on Form 10-Q of Shutterstock, Inc., for the quarterly period ended June 30, 2020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7" w:lineRule="exact"/>
        <w:rPr>
          <w:sz w:val="20"/>
          <w:szCs w:val="20"/>
          <w:color w:val="auto"/>
        </w:rPr>
      </w:pPr>
    </w:p>
    <w:p>
      <w:pPr>
        <w:ind w:left="20"/>
        <w:spacing w:after="0"/>
        <w:tabs>
          <w:tab w:leader="none" w:pos="5700" w:val="left"/>
          <w:tab w:leader="none" w:pos="6140" w:val="left"/>
        </w:tabs>
        <w:rPr>
          <w:sz w:val="20"/>
          <w:szCs w:val="20"/>
          <w:color w:val="auto"/>
        </w:rPr>
      </w:pPr>
      <w:r>
        <w:rPr>
          <w:rFonts w:ascii="Arial" w:cs="Arial" w:eastAsia="Arial" w:hAnsi="Arial"/>
          <w:sz w:val="13"/>
          <w:szCs w:val="13"/>
          <w:color w:val="auto"/>
        </w:rPr>
        <w:t>Date: July 28,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24130</wp:posOffset>
            </wp:positionV>
            <wp:extent cx="32543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Stan Pavlovsky</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Chief Executive Officer</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i w:val="1"/>
          <w:iCs w:val="1"/>
          <w:color w:val="auto"/>
        </w:rPr>
        <w:t>(Principal Executive Officer)</w:t>
      </w:r>
    </w:p>
    <w:p>
      <w:pPr>
        <w:spacing w:after="0" w:line="264"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In connection with the Quarterly Report on Form 10-Q of Shutterstock, Inc., for the quarterly period ended June 30, 2020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7" w:lineRule="exact"/>
        <w:rPr>
          <w:sz w:val="20"/>
          <w:szCs w:val="20"/>
          <w:color w:val="auto"/>
        </w:rPr>
      </w:pPr>
    </w:p>
    <w:p>
      <w:pPr>
        <w:ind w:left="20"/>
        <w:spacing w:after="0"/>
        <w:tabs>
          <w:tab w:leader="none" w:pos="5700" w:val="left"/>
          <w:tab w:leader="none" w:pos="6140" w:val="left"/>
        </w:tabs>
        <w:rPr>
          <w:sz w:val="20"/>
          <w:szCs w:val="20"/>
          <w:color w:val="auto"/>
        </w:rPr>
      </w:pPr>
      <w:r>
        <w:rPr>
          <w:rFonts w:ascii="Arial" w:cs="Arial" w:eastAsia="Arial" w:hAnsi="Arial"/>
          <w:sz w:val="13"/>
          <w:szCs w:val="13"/>
          <w:color w:val="auto"/>
        </w:rPr>
        <w:t>Date: July 28,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0"/>
          <w:szCs w:val="10"/>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24130</wp:posOffset>
            </wp:positionV>
            <wp:extent cx="32543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Jarrod Yahes</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Chief Financial Officer</w:t>
      </w:r>
    </w:p>
    <w:p>
      <w:pPr>
        <w:spacing w:after="0" w:line="52" w:lineRule="exact"/>
        <w:rPr>
          <w:sz w:val="20"/>
          <w:szCs w:val="20"/>
          <w:color w:val="auto"/>
        </w:rPr>
      </w:pPr>
    </w:p>
    <w:p>
      <w:pPr>
        <w:ind w:left="6160"/>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7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lvl w:ilvl="1">
      <w:lvlJc w:val="left"/>
      <w:lvlText w:val="(%2)"/>
      <w:numFmt w:val="lowerLetter"/>
      <w:start w:val="1"/>
    </w:lvl>
  </w:abstractNum>
  <w:abstractNum w:abstractNumId="8">
    <w:nsid w:val="7C83E458"/>
    <w:multiLevelType w:val="hybridMultilevel"/>
    <w:lvl w:ilvl="0">
      <w:lvlJc w:val="left"/>
      <w:lvlText w:val="(%1)"/>
      <w:numFmt w:val="lowerLetter"/>
      <w:start w:val="4"/>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2"/>
    </w:lvl>
    <w:lvl w:ilvl="1">
      <w:lvlJc w:val="left"/>
      <w:lvlText w:val="(%2)"/>
      <w:numFmt w:val="lowerLetter"/>
      <w:start w:val="1"/>
    </w:lvl>
  </w:abstractNum>
  <w:abstractNum w:abstractNumId="11">
    <w:nsid w:val="436C6125"/>
    <w:multiLevelType w:val="hybridMultilevel"/>
    <w:lvl w:ilvl="0">
      <w:lvlJc w:val="left"/>
      <w:lvlText w:val="%1."/>
      <w:numFmt w:val="decimal"/>
      <w:start w:val="3"/>
    </w:lvl>
    <w:lvl w:ilvl="1">
      <w:lvlJc w:val="left"/>
      <w:lvlText w:val="(%2)"/>
      <w:numFmt w:val="lowerLetter"/>
      <w:start w:val="1"/>
    </w:lvl>
  </w:abstractNum>
  <w:abstractNum w:abstractNumId="12">
    <w:nsid w:val="628C895D"/>
    <w:multiLevelType w:val="hybridMultilevel"/>
    <w:lvl w:ilvl="0">
      <w:lvlJc w:val="left"/>
      <w:lvlText w:val="(%1)"/>
      <w:numFmt w:val="upp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1"/>
      <w:numFmt w:val="decimal"/>
      <w:start w:val="1"/>
    </w:lvl>
    <w:lvl w:ilvl="1">
      <w:lvlJc w:val="left"/>
      <w:lvlText w:val="(%2)"/>
      <w:numFmt w:val="lowerLetter"/>
      <w:start w:val="4"/>
    </w:lvl>
  </w:abstractNum>
  <w:abstractNum w:abstractNumId="16">
    <w:nsid w:val="2D1D5AE9"/>
    <w:multiLevelType w:val="hybridMultilevel"/>
    <w:lvl w:ilvl="0">
      <w:lvlJc w:val="left"/>
      <w:lvlText w:val="%1."/>
      <w:numFmt w:val="decimal"/>
      <w:start w:val="8"/>
    </w:lvl>
    <w:lvl w:ilvl="1">
      <w:lvlJc w:val="left"/>
      <w:lvlText w:val="(%2)"/>
      <w:numFmt w:val="lowerLetter"/>
      <w:start w:val="1"/>
    </w:lvl>
  </w:abstractNum>
  <w:abstractNum w:abstractNumId="17">
    <w:nsid w:val="6763845E"/>
    <w:multiLevelType w:val="hybridMultilevel"/>
    <w:lvl w:ilvl="0">
      <w:lvlJc w:val="left"/>
      <w:lvlText w:val="%1."/>
      <w:numFmt w:val="decimal"/>
      <w:start w:val="9"/>
    </w:lvl>
    <w:lvl w:ilvl="1">
      <w:lvlJc w:val="left"/>
      <w:lvlText w:val="(%2)"/>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Letter"/>
      <w:start w:val="6"/>
    </w:lvl>
  </w:abstractNum>
  <w:abstractNum w:abstractNumId="20">
    <w:nsid w:val="79838CB2"/>
    <w:multiLevelType w:val="hybridMultilevel"/>
    <w:lvl w:ilvl="0">
      <w:lvlJc w:val="left"/>
      <w:lvlText w:val="%1"/>
      <w:numFmt w:val="decimal"/>
      <w:start w:val="1"/>
    </w:lvl>
    <w:lvl w:ilvl="1">
      <w:lvlJc w:val="left"/>
      <w:lvlText w:val="(%2)"/>
      <w:numFmt w:val="lowerLetter"/>
      <w:start w:val="7"/>
    </w:lvl>
  </w:abstractNum>
  <w:abstractNum w:abstractNumId="21">
    <w:nsid w:val="4353D0CD"/>
    <w:multiLevelType w:val="hybridMultilevel"/>
    <w:lvl w:ilvl="0">
      <w:lvlJc w:val="left"/>
      <w:lvlText w:val="%1."/>
      <w:numFmt w:val="decimal"/>
      <w:start w:val="11"/>
    </w:lvl>
    <w:lvl w:ilvl="1">
      <w:lvlJc w:val="left"/>
      <w:lvlText w:val="(%2)"/>
      <w:numFmt w:val="lowerLetter"/>
      <w:start w:val="1"/>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decimal"/>
      <w:start w:val="1"/>
    </w:lvl>
    <w:lvl w:ilvl="1">
      <w:lvlJc w:val="left"/>
      <w:lvlText w:val="(%2)"/>
      <w:numFmt w:val="lowerLetter"/>
      <w:start w:val="6"/>
    </w:lvl>
  </w:abstractNum>
  <w:abstractNum w:abstractNumId="24">
    <w:nsid w:val="54E49EB4"/>
    <w:multiLevelType w:val="hybridMultilevel"/>
    <w:lvl w:ilvl="0">
      <w:lvlJc w:val="left"/>
      <w:lvlText w:val="%1."/>
      <w:numFmt w:val="decimal"/>
      <w:start w:val="13"/>
    </w:lvl>
    <w:lvl w:ilvl="1">
      <w:lvlJc w:val="left"/>
      <w:lvlText w:val="(%2)"/>
      <w:numFmt w:val="lowerLetter"/>
      <w:start w:val="1"/>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lowerLetter"/>
      <w:start w:val="10"/>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49" Type="http://schemas.openxmlformats.org/officeDocument/2006/relationships/hyperlink" Target="http://www.sec.gov/Archives/edgar/data/1549346/000154934620000014/lweisssepar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2020-07-28T07:29:20Z</dcterms:created>
  <dcterms:modified xsi:type="dcterms:W3CDTF">2020-07-28T07:29:20Z</dcterms:modified>
</cp:coreProperties>
</file>