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10,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350 Fifth Avenue, 20</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 Amended and Restated 2022 Omnibus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Jarrod Yahes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jc w:val="center"/>
        <w:spacing w:after="0" w:line="184" w:lineRule="auto"/>
        <w:rPr>
          <w:sz w:val="20"/>
          <w:szCs w:val="20"/>
          <w:color w:val="auto"/>
        </w:rPr>
      </w:pPr>
      <w:r>
        <w:rPr>
          <w:rFonts w:ascii="Times New Roman" w:cs="Times New Roman" w:eastAsia="Times New Roman" w:hAnsi="Times New Roman"/>
          <w:sz w:val="16"/>
          <w:szCs w:val="16"/>
          <w:b w:val="1"/>
          <w:bCs w:val="1"/>
          <w:color w:val="auto"/>
        </w:rPr>
        <w:t>350 Fifth Avenue,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C. Petillo-Décossard,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Maia R. Gez,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10020-1095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819-8200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18, 2022, Shutterstock, Inc. (the “Company”) filed a registration statement on Form S-8 (File No. 333-268480) (the “Initial Registration Statement”) with the Securities and Exchange Commission (the “SEC”) to register 4,000,000 shares of common stock, par value $0.01 per share, of the Company (the “Common Stock”) under the Company’s 2022 Omnibus Equity Incentive Plan (the “2022 Plan”).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6, 2024, the Company held its 2024 Annual Meeting of Stockholders, at which stockholders approved an amendment to the 2022 Plan (as amended, the “Amended and Restated 2022 Plan”) that increased the number of shares of Common Stock available for issuance by 3,500,000 shares. The Company is filing this registration statement on Form S-8 (this “Registration Statement”) for the purpose of registering the 3,500,000 additional shares of Common Stock authorized for issuance under the Amended and Restated 2022 Plan, plus an additional 750,000 shares that may be recycled for future awards pursuant to the provisions of the Amended and Restated 2022 Plan. Pursuant to Rule 416(a) under the Securities Act of 1933, as amended (the “Securities Act”), this Registration Statement also includes an indeterminate number of additional shares of Common Stock that may become issuable under the Amended and Restated 2022 Plan by reason of anti-dilution and other adjustments.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hereby incorporates by reference the contents of the Initial Registration Statement, and the information required by Part II is omitted, except as supplemented by the information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jc w:val="both"/>
        <w:ind w:firstLine="8"/>
        <w:spacing w:after="0" w:line="253" w:lineRule="auto"/>
        <w:tabs>
          <w:tab w:leader="none" w:pos="1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Rule 428 under the Securities Act,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previously filed with the SEC are incorporated by reference in this registration statement:</w:t>
      </w:r>
    </w:p>
    <w:p>
      <w:pPr>
        <w:spacing w:after="0" w:line="225" w:lineRule="exact"/>
        <w:rPr>
          <w:sz w:val="20"/>
          <w:szCs w:val="20"/>
          <w:color w:val="auto"/>
        </w:rPr>
      </w:pPr>
    </w:p>
    <w:p>
      <w:pPr>
        <w:jc w:val="both"/>
        <w:ind w:firstLine="656"/>
        <w:spacing w:after="0" w:line="266" w:lineRule="auto"/>
        <w:tabs>
          <w:tab w:leader="none" w:pos="90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filed with the SEC on February 26, 2024 (the “Annual Report”), including the portions of the Company’s </w:t>
      </w:r>
      <w:hyperlink r:id="rId16">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filed with the SEC on April 26, 2024, that are incorporated by reference in the Annual Report;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7">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2, 2024;</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18">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(with respect to Items 1.01, 8.01 and Exhibit 2.1 under Item 9.01 only) and </w:t>
      </w:r>
      <w:hyperlink r:id="rId20">
        <w:r>
          <w:rPr>
            <w:rFonts w:ascii="Times New Roman" w:cs="Times New Roman" w:eastAsia="Times New Roman" w:hAnsi="Times New Roman"/>
            <w:sz w:val="18"/>
            <w:szCs w:val="18"/>
            <w:u w:val="single" w:color="auto"/>
            <w:color w:val="0000EE"/>
          </w:rPr>
          <w:t>June 7, 2024</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Common Stock contained in the Registration Statement on </w:t>
      </w:r>
      <w:hyperlink r:id="rId21">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xml:space="preserve">, dated September 27, 2012, filed with the SEC by the Company to register such securities under the Exchange Act, and any amendment or report filed for the purpose of updating this information (including </w:t>
      </w:r>
      <w:hyperlink r:id="rId22">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Annual Report on Form 10-K for the fiscal year ended December 31, 2023).</w:t>
      </w:r>
    </w:p>
    <w:p>
      <w:pPr>
        <w:spacing w:after="0" w:line="176"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with the SEC. 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Company indicates in the report or filing containing such information that the information is to be considered “filed” under the Exchange Act or is to be incorporated by reference in this Registration Statement.</w:t>
      </w:r>
    </w:p>
    <w:p>
      <w:pPr>
        <w:spacing w:after="0" w:line="189"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prior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 Any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5"/>
        </w:trPr>
        <w:tc>
          <w:tcPr>
            <w:tcW w:w="600" w:type="dxa"/>
            <w:vAlign w:val="bottom"/>
            <w:tcBorders>
              <w:top w:val="single" w:sz="8" w:color="auto"/>
              <w:bottom w:val="single" w:sz="8" w:color="auto"/>
            </w:tcBorders>
            <w:gridSpan w:val="5"/>
            <w:vMerge w:val="restart"/>
            <w:shd w:val="clear" w:color="auto" w:fill="CCEEFF"/>
          </w:tcPr>
          <w:p>
            <w:pPr>
              <w:jc w:val="center"/>
              <w:ind w:left="290"/>
              <w:spacing w:after="0" w:line="176"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80" w:type="dxa"/>
            <w:vAlign w:val="bottom"/>
            <w:tcBorders>
              <w:top w:val="single" w:sz="8" w:color="auto"/>
              <w:bottom w:val="single" w:sz="8" w:color="0000EE"/>
            </w:tcBorders>
            <w:gridSpan w:val="4"/>
            <w:shd w:val="clear" w:color="auto" w:fill="CCEEFF"/>
          </w:tcPr>
          <w:p>
            <w:pPr>
              <w:jc w:val="right"/>
              <w:spacing w:after="0" w:line="115" w:lineRule="exact"/>
              <w:rPr>
                <w:rFonts w:ascii="Times New Roman" w:cs="Times New Roman" w:eastAsia="Times New Roman" w:hAnsi="Times New Roman"/>
                <w:sz w:val="13"/>
                <w:szCs w:val="13"/>
                <w:color w:val="0000EE"/>
              </w:rPr>
            </w:pPr>
            <w:hyperlink r:id="rId24">
              <w:r>
                <w:rPr>
                  <w:rFonts w:ascii="Times New Roman" w:cs="Times New Roman" w:eastAsia="Times New Roman" w:hAnsi="Times New Roman"/>
                  <w:sz w:val="13"/>
                  <w:szCs w:val="13"/>
                  <w:color w:val="0000EE"/>
                </w:rPr>
                <w:t>(1)</w:t>
              </w:r>
            </w:hyperlink>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3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00" w:type="dxa"/>
            <w:vAlign w:val="bottom"/>
            <w:tcBorders>
              <w:top w:val="single" w:sz="8" w:color="auto"/>
              <w:bottom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41"/>
        </w:trPr>
        <w:tc>
          <w:tcPr>
            <w:tcW w:w="600" w:type="dxa"/>
            <w:vAlign w:val="bottom"/>
            <w:gridSpan w:val="5"/>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2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0" w:type="dxa"/>
            <w:vAlign w:val="bottom"/>
            <w:tcBorders>
              <w:bottom w:val="single" w:sz="8" w:color="CCEEFF"/>
            </w:tcBorders>
            <w:gridSpan w:val="5"/>
            <w:vMerge w:val="restart"/>
            <w:shd w:val="clear" w:color="auto" w:fill="CCEEFF"/>
          </w:tcPr>
          <w:p>
            <w:pPr>
              <w:jc w:val="center"/>
              <w:ind w:left="290"/>
              <w:spacing w:after="0" w:line="176" w:lineRule="exact"/>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80" w:type="dxa"/>
            <w:vAlign w:val="bottom"/>
            <w:tcBorders>
              <w:bottom w:val="single" w:sz="8" w:color="0000EE"/>
            </w:tcBorders>
            <w:gridSpan w:val="4"/>
            <w:shd w:val="clear" w:color="auto" w:fill="CCEEFF"/>
          </w:tcPr>
          <w:p>
            <w:pPr>
              <w:jc w:val="right"/>
              <w:spacing w:after="0" w:line="115" w:lineRule="exact"/>
              <w:rPr>
                <w:rFonts w:ascii="Times New Roman" w:cs="Times New Roman" w:eastAsia="Times New Roman" w:hAnsi="Times New Roman"/>
                <w:sz w:val="13"/>
                <w:szCs w:val="13"/>
                <w:color w:val="0000EE"/>
              </w:rPr>
            </w:pPr>
            <w:hyperlink r:id="rId25">
              <w:r>
                <w:rPr>
                  <w:rFonts w:ascii="Times New Roman" w:cs="Times New Roman" w:eastAsia="Times New Roman" w:hAnsi="Times New Roman"/>
                  <w:sz w:val="13"/>
                  <w:szCs w:val="13"/>
                  <w:color w:val="0000EE"/>
                </w:rPr>
                <w:t>(2)</w:t>
              </w:r>
            </w:hyperlink>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32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0" w:type="dxa"/>
            <w:vAlign w:val="bottom"/>
            <w:tcBorders>
              <w:bottom w:val="single" w:sz="8" w:color="CCEEFF"/>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41"/>
        </w:trPr>
        <w:tc>
          <w:tcPr>
            <w:tcW w:w="600" w:type="dxa"/>
            <w:vAlign w:val="bottom"/>
            <w:gridSpan w:val="5"/>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2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7"/>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Opinion of White &amp; Case LLP</w:t>
            </w: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40" w:type="dxa"/>
            <w:vAlign w:val="bottom"/>
            <w:tcBorders>
              <w:bottom w:val="single" w:sz="8" w:color="CCEEFF"/>
            </w:tcBorders>
            <w:gridSpan w:val="6"/>
            <w:vMerge w:val="restart"/>
            <w:shd w:val="clear" w:color="auto" w:fill="CCEEFF"/>
          </w:tcPr>
          <w:p>
            <w:pPr>
              <w:jc w:val="center"/>
              <w:ind w:left="250"/>
              <w:spacing w:after="0" w:line="176"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Borders>
              <w:bottom w:val="single" w:sz="8" w:color="0000EE"/>
            </w:tcBorders>
            <w:gridSpan w:val="4"/>
            <w:shd w:val="clear" w:color="auto" w:fill="CCEEFF"/>
          </w:tcPr>
          <w:p>
            <w:pPr>
              <w:jc w:val="right"/>
              <w:spacing w:after="0" w:line="115" w:lineRule="exact"/>
              <w:rPr>
                <w:rFonts w:ascii="Times New Roman" w:cs="Times New Roman" w:eastAsia="Times New Roman" w:hAnsi="Times New Roman"/>
                <w:sz w:val="13"/>
                <w:szCs w:val="13"/>
                <w:color w:val="0000EE"/>
              </w:rPr>
            </w:pPr>
            <w:hyperlink r:id="rId26">
              <w:r>
                <w:rPr>
                  <w:rFonts w:ascii="Times New Roman" w:cs="Times New Roman" w:eastAsia="Times New Roman" w:hAnsi="Times New Roman"/>
                  <w:sz w:val="13"/>
                  <w:szCs w:val="13"/>
                  <w:color w:val="0000EE"/>
                </w:rPr>
                <w:t>(3)</w:t>
              </w:r>
            </w:hyperlink>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0" w:type="dxa"/>
            <w:vAlign w:val="bottom"/>
            <w:tcBorders>
              <w:bottom w:val="single" w:sz="8" w:color="CCEEFF"/>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&amp; Restated Shutterstock, Inc. 2022 Omnibus Equity Incentive Plan</w:t>
            </w:r>
          </w:p>
        </w:tc>
        <w:tc>
          <w:tcPr>
            <w:tcW w:w="0" w:type="dxa"/>
            <w:vAlign w:val="bottom"/>
          </w:tcPr>
          <w:p>
            <w:pPr>
              <w:spacing w:after="0"/>
              <w:rPr>
                <w:sz w:val="1"/>
                <w:szCs w:val="1"/>
                <w:color w:val="auto"/>
              </w:rPr>
            </w:pPr>
          </w:p>
        </w:tc>
      </w:tr>
      <w:tr>
        <w:trPr>
          <w:trHeight w:val="41"/>
        </w:trPr>
        <w:tc>
          <w:tcPr>
            <w:tcW w:w="640" w:type="dxa"/>
            <w:vAlign w:val="bottom"/>
            <w:gridSpan w:val="6"/>
            <w:vMerge w:val="continue"/>
            <w:shd w:val="clear" w:color="auto" w:fill="CCEEFF"/>
          </w:tcPr>
          <w:p>
            <w:pPr>
              <w:spacing w:after="0"/>
              <w:rPr>
                <w:sz w:val="3"/>
                <w:szCs w:val="3"/>
                <w:color w:val="auto"/>
              </w:rPr>
            </w:pPr>
          </w:p>
        </w:tc>
        <w:tc>
          <w:tcPr>
            <w:tcW w:w="100" w:type="dxa"/>
            <w:vAlign w:val="bottom"/>
            <w:gridSpan w:val="2"/>
            <w:shd w:val="clear" w:color="auto" w:fill="CCEEFF"/>
          </w:tcPr>
          <w:p>
            <w:pPr>
              <w:spacing w:after="0"/>
              <w:rPr>
                <w:sz w:val="3"/>
                <w:szCs w:val="3"/>
                <w:color w:val="auto"/>
              </w:rPr>
            </w:pPr>
          </w:p>
        </w:tc>
        <w:tc>
          <w:tcPr>
            <w:tcW w:w="80" w:type="dxa"/>
            <w:vAlign w:val="bottom"/>
            <w:gridSpan w:val="2"/>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9"/>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9"/>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Consent of White &amp; Case LLP (included as part of Exhibit 5.1)</w:t>
            </w: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gridSpan w:val="9"/>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60" w:hanging="820"/>
        <w:spacing w:after="0"/>
        <w:tabs>
          <w:tab w:leader="none" w:pos="1260" w:val="left"/>
        </w:tabs>
        <w:numPr>
          <w:ilvl w:val="1"/>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25" w:lineRule="exact"/>
        <w:rPr>
          <w:rFonts w:ascii="Times New Roman" w:cs="Times New Roman" w:eastAsia="Times New Roman" w:hAnsi="Times New Roman"/>
          <w:sz w:val="18"/>
          <w:szCs w:val="18"/>
          <w:u w:val="single" w:color="auto"/>
          <w:color w:val="0000EE"/>
        </w:rPr>
      </w:pPr>
    </w:p>
    <w:p>
      <w:pPr>
        <w:ind w:left="340" w:right="2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the Company’s Annual Report on Form 10-K filed with the Securities and Exchange Commission on February 26, 2024 (File No. 001-35669) and incorporated herein by reference.</w:t>
      </w:r>
    </w:p>
    <w:p>
      <w:pPr>
        <w:spacing w:after="0" w:line="16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3.2 to the Company’s Annual Report on Form 10-K filed with the Securities and Exchange Commission on February 26, 2024 (File No. 001-35669) and incorporated herein by reference.</w:t>
      </w:r>
    </w:p>
    <w:p>
      <w:pPr>
        <w:spacing w:after="0" w:line="16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the Company’s Current Report on Form 8-K filed with the Securities and Exchange Commission on June 7, 2024 (File No. 001-35669)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-1393825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10, 2024.</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Paul Hennessy and Steve Ciardiello, and each of them, as his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Hennessy</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Hennessy</w:t>
            </w:r>
          </w:p>
        </w:tc>
        <w:tc>
          <w:tcPr>
            <w:tcW w:w="120" w:type="dxa"/>
            <w:vAlign w:val="bottom"/>
          </w:tcPr>
          <w:p>
            <w:pPr>
              <w:spacing w:after="0"/>
              <w:rPr>
                <w:sz w:val="17"/>
                <w:szCs w:val="17"/>
                <w:color w:val="auto"/>
              </w:rPr>
            </w:pPr>
          </w:p>
        </w:tc>
        <w:tc>
          <w:tcPr>
            <w:tcW w:w="40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and Director</w:t>
            </w:r>
          </w:p>
        </w:tc>
        <w:tc>
          <w:tcPr>
            <w:tcW w:w="2920" w:type="dxa"/>
            <w:vAlign w:val="bottom"/>
          </w:tcPr>
          <w:p>
            <w:pPr>
              <w:spacing w:after="0"/>
              <w:rPr>
                <w:sz w:val="17"/>
                <w:szCs w:val="17"/>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20" w:type="dxa"/>
            <w:vAlign w:val="bottom"/>
          </w:tcPr>
          <w:p>
            <w:pPr>
              <w:spacing w:after="0"/>
              <w:rPr>
                <w:sz w:val="20"/>
                <w:szCs w:val="20"/>
                <w:color w:val="auto"/>
              </w:rPr>
            </w:pPr>
          </w:p>
        </w:tc>
      </w:tr>
      <w:tr>
        <w:trPr>
          <w:trHeight w:val="43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Jarrod Yahes</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Ciardiello</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Steve Ciardiello</w:t>
            </w:r>
          </w:p>
        </w:tc>
        <w:tc>
          <w:tcPr>
            <w:tcW w:w="120" w:type="dxa"/>
            <w:vAlign w:val="bottom"/>
          </w:tcPr>
          <w:p>
            <w:pPr>
              <w:spacing w:after="0"/>
              <w:rPr>
                <w:sz w:val="20"/>
                <w:szCs w:val="20"/>
                <w:color w:val="auto"/>
              </w:rPr>
            </w:pPr>
          </w:p>
        </w:tc>
        <w:tc>
          <w:tcPr>
            <w:tcW w:w="4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Oringer</w:t>
            </w:r>
          </w:p>
        </w:tc>
        <w:tc>
          <w:tcPr>
            <w:tcW w:w="120" w:type="dxa"/>
            <w:vAlign w:val="bottom"/>
          </w:tcPr>
          <w:p>
            <w:pPr>
              <w:spacing w:after="0"/>
              <w:rPr>
                <w:sz w:val="24"/>
                <w:szCs w:val="24"/>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Founder and Executive Chairman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120" w:type="dxa"/>
            <w:vAlign w:val="bottom"/>
          </w:tcPr>
          <w:p>
            <w:pPr>
              <w:spacing w:after="0"/>
              <w:rPr>
                <w:sz w:val="20"/>
                <w:szCs w:val="20"/>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the Board</w:t>
            </w: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Rachna Bhasin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Rachna Bhasin</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Dierdre Bigley</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Dierdre Bigley</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Evans</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Thomas R. Evans</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Alfonse Upshaw</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Alfonse Upshaw</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15"/>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-119380</wp:posOffset>
            </wp:positionV>
            <wp:extent cx="1628775" cy="2391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628775" cy="239141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182" w:lineRule="auto"/>
        <w:rPr>
          <w:sz w:val="20"/>
          <w:szCs w:val="20"/>
          <w:color w:val="auto"/>
        </w:rPr>
      </w:pPr>
      <w:r>
        <w:rPr>
          <w:rFonts w:ascii="Times New Roman" w:cs="Times New Roman" w:eastAsia="Times New Roman" w:hAnsi="Times New Roman"/>
          <w:sz w:val="17"/>
          <w:szCs w:val="17"/>
          <w:color w:val="auto"/>
        </w:rPr>
        <w:t>350 Fifth Avenue,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 Shutterstock, Inc. -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Shutterstock, Inc., a corporation organized under the laws of Delaware (the “Company”), in connection with the preparation and filing by the Company with the Securities and Exchange Commission (the “Commission”) of a registration statement on Form S-8 (the “Registration Statement”) on the date hereof, relating to the registration under the Securities Act of 1933, as amended (the “Securities Act”), of 4,250,000 shares of the Company’s common stock, par value $0.01 per share (the “Shares”), for issuance under the Company’s Amended and Restated 2022 Omnibus Equity Incentive Plan (the “Amended and Restated 2022 Plan”).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76"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Certificate of Incorporation, certified by the Secretary of the Company;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certified by the Secretary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Resolutions of the Board of Directors of the Company relating to the Amended and Restated 2022 Plan, adopted on April 22, 2024, certified by the Secretary of the Company;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assumptions, and subject to the qualifications set forth in this opinion letter, having considered such questions of law as we have deemed necessary as a basis for the opinion expressed below, we are of the opinion that the Shares reserved for issuance pursuant to the Amended and Restated 2022 Plan, as referenced above, have been duly authorized for issuance and sale pursuant to the Amended and Restated 2022 Plan by all necessary corporate action of the Company, and when issued as provided under the Amended and Restated 2022 Plan, they will be validly issued, fully paid and non-assessable.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5.1 to the Registration Statement. In giving this consent,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KP:MG:SH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Shutterstock, Inc. of our report dated February 26, 2024 relating to the financial statements and the effectiveness of internal control over financial reporting, which appears in Shutterstock, Inc.’s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Exhibit 107</w:t>
            </w:r>
          </w:p>
        </w:tc>
      </w:tr>
      <w:tr>
        <w:trPr>
          <w:trHeight w:val="432"/>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color w:val="auto"/>
                <w:w w:val="99"/>
              </w:rPr>
              <w:t>(Form Type)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Shutterstock, Inc.</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0" w:type="dxa"/>
            <w:vAlign w:val="bottom"/>
            <w:gridSpan w:val="15"/>
          </w:tcPr>
          <w:p>
            <w:pPr>
              <w:jc w:val="center"/>
              <w:ind w:left="1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6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 1 – Newly Registered Securities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0" w:type="dxa"/>
            <w:vAlign w:val="bottom"/>
          </w:tcPr>
          <w:p>
            <w:pPr>
              <w:spacing w:after="0"/>
              <w:rPr>
                <w:sz w:val="18"/>
                <w:szCs w:val="18"/>
                <w:color w:val="auto"/>
              </w:rPr>
            </w:pPr>
          </w:p>
        </w:tc>
        <w:tc>
          <w:tcPr>
            <w:tcW w:w="1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9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Pr>
          <w:p>
            <w:pPr>
              <w:spacing w:after="0"/>
              <w:rPr>
                <w:sz w:val="21"/>
                <w:szCs w:val="21"/>
                <w:color w:val="auto"/>
              </w:rPr>
            </w:pPr>
          </w:p>
        </w:tc>
        <w:tc>
          <w:tcPr>
            <w:tcW w:w="1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 Unit(2)</w:t>
            </w:r>
          </w:p>
        </w:tc>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8"/>
        </w:trPr>
        <w:tc>
          <w:tcPr>
            <w:tcW w:w="1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$0.01</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6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4,250,000(3) $</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38.54</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163,795,000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$147.60 per $1,000,000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24,176.14</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163,795,000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$147.60 per $1,000,000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w:t>
            </w:r>
            <w:r>
              <w:rPr>
                <w:rFonts w:ascii="Times New Roman" w:cs="Times New Roman" w:eastAsia="Times New Roman" w:hAnsi="Times New Roman"/>
                <w:sz w:val="18"/>
                <w:szCs w:val="18"/>
                <w:u w:val="single" w:color="auto"/>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Offsets(4)</w:t>
            </w: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w:t>
            </w:r>
            <w:r>
              <w:rPr>
                <w:rFonts w:ascii="Times New Roman" w:cs="Times New Roman" w:eastAsia="Times New Roman" w:hAnsi="Times New Roman"/>
                <w:sz w:val="18"/>
                <w:szCs w:val="18"/>
                <w:u w:val="single" w:color="auto"/>
                <w:color w:val="auto"/>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340" w:right="10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common stock, par value $0.01 per share (“Common Stock”), that may become issuable under the terms of the Registrant’s Amended and Restated 2022 Omnibus Equity Incentive Plan (the “Amended and Restated 2022 Plan”) by reason of any share split, share dividend, recapitalization or other similar transaction effected without the Registrant’s receipt of consideration which results in an increase in the number of the outstanding shares of Common Stock.</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under the Securities Act, based on the average of the high and low sales prices of the Common Stock on the New York Stock Exchange on June 7,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reserved for issuance under the Amended and Restated 2022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 to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07"/>
    </w:lvl>
  </w:abstractNum>
  <w:abstractNum w:abstractNumId="3">
    <w:nsid w:val="46E87CCD"/>
    <w:multiLevelType w:val="hybridMultilevel"/>
    <w:lvl w:ilvl="0">
      <w:lvlJc w:val="left"/>
      <w:lvlText w:val="(%1)"/>
      <w:numFmt w:val="decimal"/>
      <w:start w:val="1"/>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e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15" Type="http://schemas.openxmlformats.org/officeDocument/2006/relationships/hyperlink" Target="https://www.sec.gov/ix?doc=/Archives/edgar/data/1549346/000154934624000007/sstk-20231231.htm" TargetMode="External"/><Relationship Id="rId16" Type="http://schemas.openxmlformats.org/officeDocument/2006/relationships/hyperlink" Target="https://www.sec.gov/ix?doc=/Archives/edgar/data/1549346/000114036124022471/ny20019232x1_def14a.htm" TargetMode="External"/><Relationship Id="rId17" Type="http://schemas.openxmlformats.org/officeDocument/2006/relationships/hyperlink" Target="https://www.sec.gov/ix?doc=/Archives/edgar/data/1549346/000154934624000012/sstk-20240331.htm" TargetMode="External"/><Relationship Id="rId18" Type="http://schemas.openxmlformats.org/officeDocument/2006/relationships/hyperlink" Target="https://www.sec.gov/ix?doc=/Archives/edgar/data/0001549346/000154934624000009/sstk-20240422.htm" TargetMode="External"/><Relationship Id="rId19" Type="http://schemas.openxmlformats.org/officeDocument/2006/relationships/hyperlink" Target="https://www.sec.gov/ix?doc=/Archives/edgar/data/0001549346/000114036124023881/ny20028287x1_8k.htm" TargetMode="External"/><Relationship Id="rId20" Type="http://schemas.openxmlformats.org/officeDocument/2006/relationships/hyperlink" Target="https://www.sec.gov/Archives/edgar/data/1549346/000154934624000015/sstk-20240606.htm" TargetMode="External"/><Relationship Id="rId21" Type="http://schemas.openxmlformats.org/officeDocument/2006/relationships/hyperlink" Target="https://www.sec.gov/Archives/edgar/data/1549346/000110465912065731/a12-11073_78a12b.htm" TargetMode="External"/><Relationship Id="rId22" Type="http://schemas.openxmlformats.org/officeDocument/2006/relationships/hyperlink" Target="https://www.sec.gov/Archives/edgar/data/1549346/000154934620000007/a201910kexhibit4descri.htm" TargetMode="External"/><Relationship Id="rId24" Type="http://schemas.openxmlformats.org/officeDocument/2006/relationships/hyperlink" Target="https://www.sec.gov/Archives/edgar/data/1549346/000104746912006975/a2209974zex-3_2.htm" TargetMode="External"/><Relationship Id="rId25" Type="http://schemas.openxmlformats.org/officeDocument/2006/relationships/hyperlink" Target="https://www.sec.gov/Archives/edgar/data/1549346/000104746912009122/a2211147zex-3_4.htm" TargetMode="External"/><Relationship Id="rId26" Type="http://schemas.openxmlformats.org/officeDocument/2006/relationships/hyperlink" Target="https://www.sec.gov/Archives/edgar/data/1549346/000154934624000015/sstkamendedrestated2022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2024-06-10T16:06:19Z</dcterms:created>
  <dcterms:modified xsi:type="dcterms:W3CDTF">2024-06-10T16:06:19Z</dcterms:modified>
</cp:coreProperties>
</file>