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213995</wp:posOffset>
            </wp:positionH>
            <wp:positionV relativeFrom="paragraph">
              <wp:posOffset>422910</wp:posOffset>
            </wp:positionV>
            <wp:extent cx="69869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905" cy="698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386080</wp:posOffset>
            </wp:positionV>
            <wp:extent cx="6986905"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905" cy="14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59"/>
        <w:spacing w:after="0" w:line="237" w:lineRule="auto"/>
        <w:rPr>
          <w:sz w:val="20"/>
          <w:szCs w:val="20"/>
          <w:color w:val="auto"/>
        </w:rPr>
      </w:pPr>
      <w:r>
        <w:rPr>
          <w:rFonts w:ascii="Arial" w:cs="Arial" w:eastAsia="Arial" w:hAnsi="Arial"/>
          <w:sz w:val="14"/>
          <w:szCs w:val="14"/>
          <w:b w:val="1"/>
          <w:bCs w:val="1"/>
          <w:color w:val="auto"/>
        </w:rPr>
        <w:t>Washington, D.C. 20549</w:t>
      </w:r>
    </w:p>
    <w:p>
      <w:pPr>
        <w:ind w:left="3380"/>
        <w:spacing w:after="0"/>
        <w:rPr>
          <w:sz w:val="20"/>
          <w:szCs w:val="20"/>
          <w:color w:val="auto"/>
        </w:rPr>
      </w:pPr>
      <w:r>
        <w:rPr>
          <w:rFonts w:ascii="Arial" w:cs="Arial" w:eastAsia="Arial" w:hAnsi="Arial"/>
          <w:sz w:val="9"/>
          <w:szCs w:val="9"/>
          <w:color w:val="auto"/>
        </w:rPr>
        <w:t>__________________________________________________________________________________________________</w:t>
      </w:r>
    </w:p>
    <w:p>
      <w:pPr>
        <w:jc w:val="center"/>
        <w:ind w:right="-59"/>
        <w:spacing w:after="0"/>
        <w:rPr>
          <w:sz w:val="20"/>
          <w:szCs w:val="20"/>
          <w:color w:val="auto"/>
        </w:rPr>
      </w:pPr>
      <w:r>
        <w:rPr>
          <w:rFonts w:ascii="Arial" w:cs="Arial" w:eastAsia="Arial" w:hAnsi="Arial"/>
          <w:sz w:val="25"/>
          <w:szCs w:val="25"/>
          <w:b w:val="1"/>
          <w:bCs w:val="1"/>
          <w:color w:val="auto"/>
        </w:rPr>
        <w:t>FORM 10-Q</w:t>
      </w:r>
    </w:p>
    <w:p>
      <w:pPr>
        <w:ind w:left="3340"/>
        <w:spacing w:after="0"/>
        <w:rPr>
          <w:sz w:val="20"/>
          <w:szCs w:val="20"/>
          <w:color w:val="auto"/>
        </w:rPr>
      </w:pPr>
      <w:r>
        <w:rPr>
          <w:rFonts w:ascii="Arial" w:cs="Arial" w:eastAsia="Arial" w:hAnsi="Arial"/>
          <w:sz w:val="9"/>
          <w:szCs w:val="9"/>
          <w:color w:val="auto"/>
        </w:rPr>
        <w:t>___________________________________________________________________________________________________</w:t>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8" w:lineRule="exact"/>
        <w:rPr>
          <w:sz w:val="24"/>
          <w:szCs w:val="24"/>
          <w:color w:val="auto"/>
        </w:rPr>
      </w:pPr>
    </w:p>
    <w:p>
      <w:pPr>
        <w:ind w:left="2380" w:hanging="221"/>
        <w:spacing w:after="0"/>
        <w:tabs>
          <w:tab w:leader="none" w:pos="238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44" w:lineRule="exact"/>
        <w:rPr>
          <w:rFonts w:ascii="MS PGothic" w:cs="MS PGothic" w:eastAsia="MS PGothic" w:hAnsi="MS PGothic"/>
          <w:sz w:val="13"/>
          <w:szCs w:val="13"/>
          <w:color w:val="auto"/>
        </w:rPr>
      </w:pPr>
    </w:p>
    <w:p>
      <w:pPr>
        <w:ind w:left="4320"/>
        <w:spacing w:after="0"/>
        <w:rPr>
          <w:rFonts w:ascii="MS PGothic" w:cs="MS PGothic" w:eastAsia="MS PGothic" w:hAnsi="MS PGothic"/>
          <w:sz w:val="13"/>
          <w:szCs w:val="13"/>
          <w:color w:val="auto"/>
        </w:rPr>
      </w:pPr>
      <w:r>
        <w:rPr>
          <w:rFonts w:ascii="Arial" w:cs="Arial" w:eastAsia="Arial" w:hAnsi="Arial"/>
          <w:sz w:val="15"/>
          <w:szCs w:val="15"/>
          <w:b w:val="1"/>
          <w:bCs w:val="1"/>
          <w:color w:val="auto"/>
        </w:rPr>
        <w:t>For the quarterly period ended June 30, 2021</w:t>
      </w:r>
    </w:p>
    <w:p>
      <w:pPr>
        <w:spacing w:after="0" w:line="57" w:lineRule="exact"/>
        <w:rPr>
          <w:sz w:val="24"/>
          <w:szCs w:val="24"/>
          <w:color w:val="auto"/>
        </w:rPr>
      </w:pPr>
    </w:p>
    <w:p>
      <w:pPr>
        <w:jc w:val="center"/>
        <w:ind w:right="-399"/>
        <w:spacing w:after="0"/>
        <w:rPr>
          <w:sz w:val="20"/>
          <w:szCs w:val="20"/>
          <w:color w:val="auto"/>
        </w:rPr>
      </w:pPr>
      <w:r>
        <w:rPr>
          <w:rFonts w:ascii="Arial" w:cs="Arial" w:eastAsia="Arial" w:hAnsi="Arial"/>
          <w:sz w:val="15"/>
          <w:szCs w:val="15"/>
          <w:b w:val="1"/>
          <w:bCs w:val="1"/>
          <w:color w:val="auto"/>
        </w:rPr>
        <w:t>or</w:t>
      </w:r>
    </w:p>
    <w:p>
      <w:pPr>
        <w:spacing w:after="0" w:line="60" w:lineRule="exact"/>
        <w:rPr>
          <w:sz w:val="24"/>
          <w:szCs w:val="24"/>
          <w:color w:val="auto"/>
        </w:rPr>
      </w:pPr>
    </w:p>
    <w:p>
      <w:pPr>
        <w:ind w:left="2500" w:hanging="432"/>
        <w:spacing w:after="0"/>
        <w:tabs>
          <w:tab w:leader="none" w:pos="250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55" w:lineRule="exact"/>
        <w:rPr>
          <w:sz w:val="24"/>
          <w:szCs w:val="24"/>
          <w:color w:val="auto"/>
        </w:rPr>
      </w:pPr>
    </w:p>
    <w:p>
      <w:pPr>
        <w:ind w:left="4380"/>
        <w:spacing w:after="0"/>
        <w:tabs>
          <w:tab w:leader="none" w:pos="672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7" w:lineRule="exact"/>
        <w:rPr>
          <w:sz w:val="24"/>
          <w:szCs w:val="24"/>
          <w:color w:val="auto"/>
        </w:rPr>
      </w:pPr>
    </w:p>
    <w:p>
      <w:pPr>
        <w:jc w:val="center"/>
        <w:ind w:right="-399"/>
        <w:spacing w:after="0"/>
        <w:rPr>
          <w:sz w:val="20"/>
          <w:szCs w:val="20"/>
          <w:color w:val="auto"/>
        </w:rPr>
      </w:pPr>
      <w:r>
        <w:rPr>
          <w:rFonts w:ascii="Arial" w:cs="Arial" w:eastAsia="Arial" w:hAnsi="Arial"/>
          <w:sz w:val="15"/>
          <w:szCs w:val="15"/>
          <w:b w:val="1"/>
          <w:bCs w:val="1"/>
          <w:color w:val="auto"/>
        </w:rPr>
        <w:t>Commission File Number: 001-35669</w:t>
      </w:r>
    </w:p>
    <w:p>
      <w:pPr>
        <w:spacing w:after="0" w:line="56" w:lineRule="exact"/>
        <w:rPr>
          <w:sz w:val="24"/>
          <w:szCs w:val="24"/>
          <w:color w:val="auto"/>
        </w:rPr>
      </w:pPr>
    </w:p>
    <w:p>
      <w:pPr>
        <w:ind w:left="3700"/>
        <w:spacing w:after="0"/>
        <w:rPr>
          <w:sz w:val="20"/>
          <w:szCs w:val="20"/>
          <w:color w:val="auto"/>
        </w:rPr>
      </w:pPr>
      <w:r>
        <w:rPr>
          <w:rFonts w:ascii="Arial" w:cs="Arial" w:eastAsia="Arial" w:hAnsi="Arial"/>
          <w:sz w:val="12"/>
          <w:szCs w:val="12"/>
          <w:color w:val="auto"/>
        </w:rPr>
        <w:t>_____________________________________________________________________</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SHUTTERSTOCK, INC.</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(Exact name of registrant as specified in its charter)</w:t>
      </w:r>
    </w:p>
    <w:p>
      <w:pPr>
        <w:spacing w:after="0" w:line="10" w:lineRule="exact"/>
        <w:rPr>
          <w:sz w:val="24"/>
          <w:szCs w:val="24"/>
          <w:color w:val="auto"/>
        </w:rPr>
      </w:pPr>
    </w:p>
    <w:p>
      <w:pPr>
        <w:ind w:left="3680"/>
        <w:spacing w:after="0"/>
        <w:rPr>
          <w:sz w:val="20"/>
          <w:szCs w:val="20"/>
          <w:color w:val="auto"/>
        </w:rPr>
      </w:pPr>
      <w:r>
        <w:rPr>
          <w:rFonts w:ascii="Arial" w:cs="Arial" w:eastAsia="Arial" w:hAnsi="Arial"/>
          <w:sz w:val="15"/>
          <w:szCs w:val="15"/>
          <w:color w:val="auto"/>
        </w:rPr>
        <w:t>________________________________________________________</w:t>
      </w:r>
    </w:p>
    <w:p>
      <w:pPr>
        <w:sectPr>
          <w:pgSz w:w="11900" w:h="16838" w:orient="portrait"/>
          <w:cols w:equalWidth="0" w:num="1">
            <w:col w:w="11180"/>
          </w:cols>
          <w:pgMar w:left="320" w:top="221" w:right="399" w:bottom="1440" w:gutter="0" w:footer="0" w:header="0"/>
        </w:sectPr>
      </w:pPr>
    </w:p>
    <w:p>
      <w:pPr>
        <w:spacing w:after="0" w:line="45" w:lineRule="exact"/>
        <w:rPr>
          <w:sz w:val="24"/>
          <w:szCs w:val="24"/>
          <w:color w:val="auto"/>
        </w:rPr>
      </w:pPr>
    </w:p>
    <w:p>
      <w:pPr>
        <w:ind w:left="260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80-0812659</w:t>
      </w:r>
    </w:p>
    <w:p>
      <w:pPr>
        <w:spacing w:after="0" w:line="77" w:lineRule="exact"/>
        <w:rPr>
          <w:sz w:val="24"/>
          <w:szCs w:val="24"/>
          <w:color w:val="auto"/>
        </w:rPr>
      </w:pPr>
    </w:p>
    <w:p>
      <w:pPr>
        <w:sectPr>
          <w:pgSz w:w="11900" w:h="16838" w:orient="portrait"/>
          <w:cols w:equalWidth="0" w:num="2">
            <w:col w:w="7660" w:space="720"/>
            <w:col w:w="2800"/>
          </w:cols>
          <w:pgMar w:left="320" w:top="221" w:right="399" w:bottom="1440" w:gutter="0" w:footer="0" w:header="0"/>
          <w:type w:val="continuous"/>
        </w:sectPr>
      </w:pPr>
    </w:p>
    <w:p>
      <w:pPr>
        <w:ind w:left="1420"/>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(I.R.S. Employer Identification No.)</w:t>
      </w:r>
    </w:p>
    <w:p>
      <w:pPr>
        <w:spacing w:after="0" w:line="141" w:lineRule="exact"/>
        <w:rPr>
          <w:sz w:val="24"/>
          <w:szCs w:val="24"/>
          <w:color w:val="auto"/>
        </w:rPr>
      </w:pPr>
    </w:p>
    <w:p>
      <w:pPr>
        <w:sectPr>
          <w:pgSz w:w="11900" w:h="16838" w:orient="portrait"/>
          <w:cols w:equalWidth="0" w:num="2">
            <w:col w:w="7100" w:space="720"/>
            <w:col w:w="3360"/>
          </w:cols>
          <w:pgMar w:left="320" w:top="221" w:right="399" w:bottom="1440" w:gutter="0" w:footer="0" w:header="0"/>
          <w:type w:val="continuous"/>
        </w:sectPr>
      </w:pPr>
    </w:p>
    <w:p>
      <w:pPr>
        <w:jc w:val="center"/>
        <w:ind w:left="340"/>
        <w:spacing w:after="0"/>
        <w:rPr>
          <w:sz w:val="20"/>
          <w:szCs w:val="20"/>
          <w:color w:val="auto"/>
        </w:rPr>
      </w:pPr>
      <w:r>
        <w:rPr>
          <w:rFonts w:ascii="Arial" w:cs="Arial" w:eastAsia="Arial" w:hAnsi="Arial"/>
          <w:sz w:val="14"/>
          <w:szCs w:val="14"/>
          <w:b w:val="1"/>
          <w:bCs w:val="1"/>
          <w:color w:val="auto"/>
        </w:rPr>
        <w:t>350 Fifth Avenue, 21st Floor</w:t>
      </w:r>
    </w:p>
    <w:p>
      <w:pPr>
        <w:spacing w:after="0" w:line="16" w:lineRule="exact"/>
        <w:rPr>
          <w:sz w:val="24"/>
          <w:szCs w:val="24"/>
          <w:color w:val="auto"/>
        </w:rPr>
      </w:pPr>
    </w:p>
    <w:p>
      <w:pPr>
        <w:jc w:val="center"/>
        <w:ind w:left="340"/>
        <w:spacing w:after="0"/>
        <w:rPr>
          <w:sz w:val="20"/>
          <w:szCs w:val="20"/>
          <w:color w:val="auto"/>
        </w:rPr>
      </w:pPr>
      <w:r>
        <w:rPr>
          <w:rFonts w:ascii="Arial" w:cs="Arial" w:eastAsia="Arial" w:hAnsi="Arial"/>
          <w:sz w:val="14"/>
          <w:szCs w:val="14"/>
          <w:b w:val="1"/>
          <w:bCs w:val="1"/>
          <w:color w:val="auto"/>
        </w:rPr>
        <w:t>New York, NY 10118</w:t>
      </w:r>
    </w:p>
    <w:p>
      <w:pPr>
        <w:jc w:val="center"/>
        <w:ind w:left="340"/>
        <w:spacing w:after="0"/>
        <w:rPr>
          <w:sz w:val="20"/>
          <w:szCs w:val="20"/>
          <w:color w:val="auto"/>
        </w:rPr>
      </w:pPr>
      <w:r>
        <w:rPr>
          <w:rFonts w:ascii="Arial" w:cs="Arial" w:eastAsia="Arial" w:hAnsi="Arial"/>
          <w:sz w:val="11"/>
          <w:szCs w:val="11"/>
          <w:color w:val="auto"/>
        </w:rPr>
        <w:t>(Address of principal executive offices, including zip code)</w:t>
      </w:r>
    </w:p>
    <w:p>
      <w:pPr>
        <w:spacing w:after="0" w:line="66" w:lineRule="exact"/>
        <w:rPr>
          <w:sz w:val="24"/>
          <w:szCs w:val="24"/>
          <w:color w:val="auto"/>
        </w:rPr>
      </w:pPr>
    </w:p>
    <w:p>
      <w:pPr>
        <w:jc w:val="center"/>
        <w:ind w:left="340"/>
        <w:spacing w:after="0"/>
        <w:rPr>
          <w:sz w:val="20"/>
          <w:szCs w:val="20"/>
          <w:color w:val="auto"/>
        </w:rPr>
      </w:pPr>
      <w:r>
        <w:rPr>
          <w:rFonts w:ascii="Arial" w:cs="Arial" w:eastAsia="Arial" w:hAnsi="Arial"/>
          <w:sz w:val="14"/>
          <w:szCs w:val="14"/>
          <w:color w:val="auto"/>
        </w:rPr>
        <w:t>(</w:t>
      </w:r>
      <w:r>
        <w:rPr>
          <w:rFonts w:ascii="Arial" w:cs="Arial" w:eastAsia="Arial" w:hAnsi="Arial"/>
          <w:sz w:val="15"/>
          <w:szCs w:val="15"/>
          <w:color w:val="auto"/>
        </w:rPr>
        <w:t>646</w:t>
      </w:r>
      <w:r>
        <w:rPr>
          <w:rFonts w:ascii="Arial" w:cs="Arial" w:eastAsia="Arial" w:hAnsi="Arial"/>
          <w:sz w:val="14"/>
          <w:szCs w:val="14"/>
          <w:color w:val="auto"/>
        </w:rPr>
        <w:t xml:space="preserve">) </w:t>
      </w:r>
      <w:r>
        <w:rPr>
          <w:rFonts w:ascii="Arial" w:cs="Arial" w:eastAsia="Arial" w:hAnsi="Arial"/>
          <w:sz w:val="15"/>
          <w:szCs w:val="15"/>
          <w:color w:val="auto"/>
        </w:rPr>
        <w:t>710-3417</w:t>
      </w:r>
    </w:p>
    <w:p>
      <w:pPr>
        <w:spacing w:after="0" w:line="22" w:lineRule="exact"/>
        <w:rPr>
          <w:sz w:val="24"/>
          <w:szCs w:val="24"/>
          <w:color w:val="auto"/>
        </w:rPr>
      </w:pPr>
    </w:p>
    <w:p>
      <w:pPr>
        <w:jc w:val="center"/>
        <w:ind w:left="340"/>
        <w:spacing w:after="0"/>
        <w:rPr>
          <w:sz w:val="20"/>
          <w:szCs w:val="20"/>
          <w:color w:val="auto"/>
        </w:rPr>
      </w:pPr>
      <w:r>
        <w:rPr>
          <w:rFonts w:ascii="Arial" w:cs="Arial" w:eastAsia="Arial" w:hAnsi="Arial"/>
          <w:sz w:val="13"/>
          <w:szCs w:val="13"/>
          <w:color w:val="auto"/>
        </w:rPr>
        <w:t>(Registrant’s telephone number, including area code)</w:t>
      </w:r>
    </w:p>
    <w:p>
      <w:pPr>
        <w:spacing w:after="0" w:line="49" w:lineRule="exact"/>
        <w:rPr>
          <w:sz w:val="24"/>
          <w:szCs w:val="24"/>
          <w:color w:val="auto"/>
        </w:rPr>
      </w:pPr>
    </w:p>
    <w:p>
      <w:pPr>
        <w:jc w:val="center"/>
        <w:ind w:left="340"/>
        <w:spacing w:after="0"/>
        <w:rPr>
          <w:sz w:val="20"/>
          <w:szCs w:val="20"/>
          <w:color w:val="auto"/>
        </w:rPr>
      </w:pPr>
      <w:r>
        <w:rPr>
          <w:rFonts w:ascii="Arial" w:cs="Arial" w:eastAsia="Arial" w:hAnsi="Arial"/>
          <w:sz w:val="14"/>
          <w:szCs w:val="14"/>
          <w:color w:val="auto"/>
        </w:rPr>
        <w:t>Not applicable</w:t>
      </w:r>
    </w:p>
    <w:p>
      <w:pPr>
        <w:sectPr>
          <w:pgSz w:w="11900" w:h="16838" w:orient="portrait"/>
          <w:cols w:equalWidth="0" w:num="1">
            <w:col w:w="11180"/>
          </w:cols>
          <w:pgMar w:left="320" w:top="221" w:right="399" w:bottom="1440" w:gutter="0" w:footer="0" w:header="0"/>
          <w:type w:val="continuous"/>
        </w:sectPr>
      </w:pPr>
    </w:p>
    <w:p>
      <w:pPr>
        <w:spacing w:after="0" w:line="7" w:lineRule="exact"/>
        <w:rPr>
          <w:sz w:val="24"/>
          <w:szCs w:val="24"/>
          <w:color w:val="auto"/>
        </w:rPr>
      </w:pPr>
    </w:p>
    <w:p>
      <w:pPr>
        <w:jc w:val="center"/>
        <w:ind w:right="-39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ind w:left="3280"/>
        <w:spacing w:after="0"/>
        <w:rPr>
          <w:sz w:val="20"/>
          <w:szCs w:val="20"/>
          <w:color w:val="auto"/>
        </w:rPr>
      </w:pPr>
      <w:r>
        <w:rPr>
          <w:rFonts w:ascii="Arial" w:cs="Arial" w:eastAsia="Arial" w:hAnsi="Arial"/>
          <w:sz w:val="9"/>
          <w:szCs w:val="9"/>
          <w:color w:val="auto"/>
        </w:rPr>
        <w:t>______________________________________________________________________________________________________________</w:t>
      </w:r>
    </w:p>
    <w:p>
      <w:pPr>
        <w:spacing w:after="0" w:line="198" w:lineRule="exact"/>
        <w:rPr>
          <w:sz w:val="24"/>
          <w:szCs w:val="24"/>
          <w:color w:val="auto"/>
        </w:rPr>
      </w:pPr>
    </w:p>
    <w:p>
      <w:pPr>
        <w:ind w:left="404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48" w:lineRule="exact"/>
        <w:rPr>
          <w:sz w:val="24"/>
          <w:szCs w:val="24"/>
          <w:color w:val="auto"/>
        </w:rPr>
      </w:pPr>
    </w:p>
    <w:tbl>
      <w:tblPr>
        <w:tblLayout w:type="fixed"/>
        <w:tblInd w:w="720" w:type="dxa"/>
        <w:tblCellMar>
          <w:top w:w="0" w:type="dxa"/>
          <w:left w:w="0" w:type="dxa"/>
          <w:bottom w:w="0" w:type="dxa"/>
          <w:right w:w="0" w:type="dxa"/>
        </w:tblCellMar>
      </w:tblPr>
      <w:tr>
        <w:trPr>
          <w:trHeight w:val="176"/>
        </w:trPr>
        <w:tc>
          <w:tcPr>
            <w:tcW w:w="4000" w:type="dxa"/>
            <w:vAlign w:val="bottom"/>
            <w:tcBorders>
              <w:bottom w:val="single" w:sz="8" w:color="auto"/>
            </w:tcBorders>
          </w:tcPr>
          <w:p>
            <w:pPr>
              <w:jc w:val="center"/>
              <w:ind w:left="419"/>
              <w:spacing w:after="0"/>
              <w:rPr>
                <w:sz w:val="20"/>
                <w:szCs w:val="20"/>
                <w:color w:val="auto"/>
              </w:rPr>
            </w:pPr>
            <w:r>
              <w:rPr>
                <w:rFonts w:ascii="Arial" w:cs="Arial" w:eastAsia="Arial" w:hAnsi="Arial"/>
                <w:sz w:val="12"/>
                <w:szCs w:val="12"/>
                <w:b w:val="1"/>
                <w:bCs w:val="1"/>
                <w:color w:val="auto"/>
                <w:w w:val="88"/>
              </w:rPr>
              <w:t>Title of each class</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Trading Symbol(s)</w:t>
            </w:r>
          </w:p>
        </w:tc>
        <w:tc>
          <w:tcPr>
            <w:tcW w:w="3580" w:type="dxa"/>
            <w:vAlign w:val="bottom"/>
            <w:tcBorders>
              <w:bottom w:val="single" w:sz="8" w:color="auto"/>
            </w:tcBorders>
          </w:tcPr>
          <w:p>
            <w:pPr>
              <w:jc w:val="center"/>
              <w:ind w:right="19"/>
              <w:spacing w:after="0"/>
              <w:rPr>
                <w:sz w:val="20"/>
                <w:szCs w:val="20"/>
                <w:color w:val="auto"/>
              </w:rPr>
            </w:pPr>
            <w:r>
              <w:rPr>
                <w:rFonts w:ascii="Arial" w:cs="Arial" w:eastAsia="Arial" w:hAnsi="Arial"/>
                <w:sz w:val="12"/>
                <w:szCs w:val="12"/>
                <w:b w:val="1"/>
                <w:bCs w:val="1"/>
                <w:color w:val="auto"/>
                <w:w w:val="89"/>
              </w:rPr>
              <w:t>Name of each exchange on which registered</w:t>
            </w:r>
          </w:p>
        </w:tc>
      </w:tr>
      <w:tr>
        <w:trPr>
          <w:trHeight w:val="159"/>
        </w:trPr>
        <w:tc>
          <w:tcPr>
            <w:tcW w:w="4000" w:type="dxa"/>
            <w:vAlign w:val="bottom"/>
          </w:tcPr>
          <w:p>
            <w:pPr>
              <w:jc w:val="center"/>
              <w:ind w:left="419"/>
              <w:spacing w:after="0"/>
              <w:rPr>
                <w:sz w:val="20"/>
                <w:szCs w:val="20"/>
                <w:color w:val="auto"/>
              </w:rPr>
            </w:pPr>
            <w:r>
              <w:rPr>
                <w:rFonts w:ascii="Arial" w:cs="Arial" w:eastAsia="Arial" w:hAnsi="Arial"/>
                <w:sz w:val="12"/>
                <w:szCs w:val="12"/>
                <w:b w:val="1"/>
                <w:bCs w:val="1"/>
                <w:color w:val="auto"/>
                <w:w w:val="92"/>
              </w:rPr>
              <w:t>Common Stock, $0.01 par value per share</w:t>
            </w:r>
          </w:p>
        </w:tc>
        <w:tc>
          <w:tcPr>
            <w:tcW w:w="2240" w:type="dxa"/>
            <w:vAlign w:val="bottom"/>
          </w:tcPr>
          <w:p>
            <w:pPr>
              <w:jc w:val="center"/>
              <w:ind w:left="19"/>
              <w:spacing w:after="0"/>
              <w:rPr>
                <w:sz w:val="20"/>
                <w:szCs w:val="20"/>
                <w:color w:val="auto"/>
              </w:rPr>
            </w:pPr>
            <w:r>
              <w:rPr>
                <w:rFonts w:ascii="Arial" w:cs="Arial" w:eastAsia="Arial" w:hAnsi="Arial"/>
                <w:sz w:val="12"/>
                <w:szCs w:val="12"/>
                <w:b w:val="1"/>
                <w:bCs w:val="1"/>
                <w:color w:val="auto"/>
                <w:w w:val="99"/>
              </w:rPr>
              <w:t>SSTK</w:t>
            </w:r>
          </w:p>
        </w:tc>
        <w:tc>
          <w:tcPr>
            <w:tcW w:w="3580" w:type="dxa"/>
            <w:vAlign w:val="bottom"/>
          </w:tcPr>
          <w:p>
            <w:pPr>
              <w:jc w:val="center"/>
              <w:ind w:right="19"/>
              <w:spacing w:after="0"/>
              <w:rPr>
                <w:sz w:val="20"/>
                <w:szCs w:val="20"/>
                <w:color w:val="auto"/>
              </w:rPr>
            </w:pPr>
            <w:r>
              <w:rPr>
                <w:rFonts w:ascii="Arial" w:cs="Arial" w:eastAsia="Arial" w:hAnsi="Arial"/>
                <w:sz w:val="12"/>
                <w:szCs w:val="12"/>
                <w:b w:val="1"/>
                <w:bCs w:val="1"/>
                <w:color w:val="auto"/>
                <w:w w:val="91"/>
              </w:rPr>
              <w:t>New York Stock Exchange</w:t>
            </w:r>
          </w:p>
        </w:tc>
      </w:tr>
    </w:tbl>
    <w:p>
      <w:pPr>
        <w:spacing w:after="0" w:line="91" w:lineRule="exact"/>
        <w:rPr>
          <w:sz w:val="24"/>
          <w:szCs w:val="24"/>
          <w:color w:val="auto"/>
        </w:rPr>
      </w:pPr>
    </w:p>
    <w:p>
      <w:pPr>
        <w:ind w:right="200" w:firstLine="345"/>
        <w:spacing w:after="0" w:line="16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8" w:lineRule="exact"/>
        <w:rPr>
          <w:sz w:val="24"/>
          <w:szCs w:val="24"/>
          <w:color w:val="auto"/>
        </w:rPr>
      </w:pPr>
    </w:p>
    <w:p>
      <w:pPr>
        <w:ind w:right="160" w:firstLine="345"/>
        <w:spacing w:after="0" w:line="16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8" w:lineRule="exact"/>
        <w:rPr>
          <w:sz w:val="24"/>
          <w:szCs w:val="24"/>
          <w:color w:val="auto"/>
        </w:rPr>
      </w:pPr>
    </w:p>
    <w:p>
      <w:pPr>
        <w:ind w:firstLine="345"/>
        <w:spacing w:after="0" w:line="26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1540" w:type="dxa"/>
        <w:tblCellMar>
          <w:top w:w="0" w:type="dxa"/>
          <w:left w:w="0" w:type="dxa"/>
          <w:bottom w:w="0" w:type="dxa"/>
          <w:right w:w="0" w:type="dxa"/>
        </w:tblCellMar>
      </w:tblPr>
      <w:tr>
        <w:trPr>
          <w:trHeight w:val="195"/>
        </w:trPr>
        <w:tc>
          <w:tcPr>
            <w:tcW w:w="1440" w:type="dxa"/>
            <w:vAlign w:val="bottom"/>
          </w:tcPr>
          <w:p>
            <w:pPr>
              <w:jc w:val="right"/>
              <w:ind w:right="195"/>
              <w:spacing w:after="0"/>
              <w:rPr>
                <w:sz w:val="20"/>
                <w:szCs w:val="20"/>
                <w:color w:val="auto"/>
              </w:rPr>
            </w:pPr>
            <w:r>
              <w:rPr>
                <w:rFonts w:ascii="Arial" w:cs="Arial" w:eastAsia="Arial" w:hAnsi="Arial"/>
                <w:sz w:val="13"/>
                <w:szCs w:val="13"/>
                <w:color w:val="auto"/>
                <w:w w:val="90"/>
              </w:rPr>
              <w:t>Large accelerated filer</w:t>
            </w:r>
          </w:p>
        </w:tc>
        <w:tc>
          <w:tcPr>
            <w:tcW w:w="26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3940" w:type="dxa"/>
            <w:vAlign w:val="bottom"/>
          </w:tcPr>
          <w:p>
            <w:pPr>
              <w:jc w:val="right"/>
              <w:ind w:right="195"/>
              <w:spacing w:after="0"/>
              <w:rPr>
                <w:sz w:val="20"/>
                <w:szCs w:val="20"/>
                <w:color w:val="auto"/>
              </w:rPr>
            </w:pPr>
            <w:r>
              <w:rPr>
                <w:rFonts w:ascii="Arial" w:cs="Arial" w:eastAsia="Arial" w:hAnsi="Arial"/>
                <w:sz w:val="13"/>
                <w:szCs w:val="13"/>
                <w:color w:val="auto"/>
              </w:rPr>
              <w:t>Accelerated filer</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5"/>
        </w:trPr>
        <w:tc>
          <w:tcPr>
            <w:tcW w:w="1440" w:type="dxa"/>
            <w:vAlign w:val="bottom"/>
          </w:tcPr>
          <w:p>
            <w:pPr>
              <w:jc w:val="right"/>
              <w:ind w:right="195"/>
              <w:spacing w:after="0"/>
              <w:rPr>
                <w:sz w:val="20"/>
                <w:szCs w:val="20"/>
                <w:color w:val="auto"/>
              </w:rPr>
            </w:pPr>
            <w:r>
              <w:rPr>
                <w:rFonts w:ascii="Arial" w:cs="Arial" w:eastAsia="Arial" w:hAnsi="Arial"/>
                <w:sz w:val="13"/>
                <w:szCs w:val="13"/>
                <w:color w:val="auto"/>
                <w:w w:val="96"/>
              </w:rPr>
              <w:t>Non-accelerated filer</w:t>
            </w:r>
          </w:p>
        </w:tc>
        <w:tc>
          <w:tcPr>
            <w:tcW w:w="26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3940" w:type="dxa"/>
            <w:vAlign w:val="bottom"/>
          </w:tcPr>
          <w:p>
            <w:pPr>
              <w:jc w:val="right"/>
              <w:ind w:right="195"/>
              <w:spacing w:after="0"/>
              <w:rPr>
                <w:sz w:val="20"/>
                <w:szCs w:val="20"/>
                <w:color w:val="auto"/>
              </w:rPr>
            </w:pPr>
            <w:r>
              <w:rPr>
                <w:rFonts w:ascii="Arial" w:cs="Arial" w:eastAsia="Arial" w:hAnsi="Arial"/>
                <w:sz w:val="13"/>
                <w:szCs w:val="13"/>
                <w:color w:val="auto"/>
              </w:rPr>
              <w:t>Smaller reporting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940" w:type="dxa"/>
            <w:vAlign w:val="bottom"/>
          </w:tcPr>
          <w:p>
            <w:pPr>
              <w:jc w:val="right"/>
              <w:ind w:right="195"/>
              <w:spacing w:after="0"/>
              <w:rPr>
                <w:sz w:val="20"/>
                <w:szCs w:val="20"/>
                <w:color w:val="auto"/>
              </w:rPr>
            </w:pPr>
            <w:r>
              <w:rPr>
                <w:rFonts w:ascii="Arial" w:cs="Arial" w:eastAsia="Arial" w:hAnsi="Arial"/>
                <w:sz w:val="13"/>
                <w:szCs w:val="13"/>
                <w:color w:val="auto"/>
              </w:rPr>
              <w:t>Emerging growth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9" w:lineRule="exact"/>
        <w:rPr>
          <w:sz w:val="24"/>
          <w:szCs w:val="24"/>
          <w:color w:val="auto"/>
        </w:rPr>
      </w:pPr>
    </w:p>
    <w:p>
      <w:pPr>
        <w:ind w:left="360" w:right="260" w:firstLine="345"/>
        <w:spacing w:after="0" w:line="23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700" w:right="160"/>
        <w:spacing w:after="0" w:line="18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168" w:lineRule="exact"/>
        <w:rPr>
          <w:sz w:val="24"/>
          <w:szCs w:val="24"/>
          <w:color w:val="auto"/>
        </w:rPr>
      </w:pPr>
    </w:p>
    <w:p>
      <w:pPr>
        <w:ind w:left="340"/>
        <w:spacing w:after="0"/>
        <w:rPr>
          <w:sz w:val="20"/>
          <w:szCs w:val="20"/>
          <w:color w:val="auto"/>
        </w:rPr>
      </w:pPr>
      <w:r>
        <w:rPr>
          <w:rFonts w:ascii="Arial" w:cs="Arial" w:eastAsia="Arial" w:hAnsi="Arial"/>
          <w:sz w:val="15"/>
          <w:szCs w:val="15"/>
          <w:color w:val="auto"/>
        </w:rPr>
        <w:t>As of July 23, 2021, 36,622,833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38035"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146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28575</wp:posOffset>
            </wp:positionV>
            <wp:extent cx="713803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03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399"/>
        <w:spacing w:after="0"/>
        <w:rPr>
          <w:sz w:val="20"/>
          <w:szCs w:val="20"/>
          <w:color w:val="auto"/>
        </w:rPr>
      </w:pPr>
      <w:r>
        <w:rPr>
          <w:rFonts w:ascii="Arial" w:cs="Arial" w:eastAsia="Arial" w:hAnsi="Arial"/>
          <w:sz w:val="15"/>
          <w:szCs w:val="15"/>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180"/>
          </w:cols>
          <w:pgMar w:left="320" w:top="221" w:right="399" w:bottom="1440" w:gutter="0" w:footer="0" w:header="0"/>
          <w:type w:val="continuous"/>
        </w:sectPr>
      </w:pPr>
    </w:p>
    <w:bookmarkStart w:id="1" w:name="page2"/>
    <w:bookmarkEnd w:id="1"/>
    <w:p>
      <w:pPr>
        <w:ind w:left="32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40" w:type="dxa"/>
            <w:vAlign w:val="bottom"/>
            <w:gridSpan w:val="2"/>
          </w:tcPr>
          <w:p>
            <w:pPr>
              <w:jc w:val="center"/>
              <w:ind w:right="3560"/>
              <w:spacing w:after="0"/>
              <w:rPr>
                <w:sz w:val="20"/>
                <w:szCs w:val="20"/>
                <w:color w:val="auto"/>
              </w:rPr>
            </w:pPr>
            <w:r>
              <w:rPr>
                <w:rFonts w:ascii="Arial" w:cs="Arial" w:eastAsia="Arial" w:hAnsi="Arial"/>
                <w:sz w:val="15"/>
                <w:szCs w:val="15"/>
                <w:b w:val="1"/>
                <w:bCs w:val="1"/>
                <w:color w:val="auto"/>
                <w:w w:val="92"/>
              </w:rPr>
              <w:t>Shutterstock, Inc.</w:t>
            </w:r>
          </w:p>
        </w:tc>
        <w:tc>
          <w:tcPr>
            <w:tcW w:w="920" w:type="dxa"/>
            <w:vAlign w:val="bottom"/>
          </w:tcPr>
          <w:p>
            <w:pPr>
              <w:spacing w:after="0"/>
              <w:rPr>
                <w:sz w:val="15"/>
                <w:szCs w:val="15"/>
                <w:color w:val="auto"/>
              </w:rPr>
            </w:pPr>
          </w:p>
        </w:tc>
      </w:tr>
      <w:tr>
        <w:trPr>
          <w:trHeight w:val="184"/>
        </w:trPr>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40" w:type="dxa"/>
            <w:vAlign w:val="bottom"/>
            <w:gridSpan w:val="2"/>
          </w:tcPr>
          <w:p>
            <w:pPr>
              <w:jc w:val="center"/>
              <w:ind w:right="3560"/>
              <w:spacing w:after="0"/>
              <w:rPr>
                <w:sz w:val="20"/>
                <w:szCs w:val="20"/>
                <w:color w:val="auto"/>
              </w:rPr>
            </w:pPr>
            <w:r>
              <w:rPr>
                <w:rFonts w:ascii="Arial" w:cs="Arial" w:eastAsia="Arial" w:hAnsi="Arial"/>
                <w:sz w:val="15"/>
                <w:szCs w:val="15"/>
                <w:b w:val="1"/>
                <w:bCs w:val="1"/>
                <w:color w:val="auto"/>
              </w:rPr>
              <w:t>FORM 10-Q</w:t>
            </w:r>
          </w:p>
        </w:tc>
        <w:tc>
          <w:tcPr>
            <w:tcW w:w="920" w:type="dxa"/>
            <w:vAlign w:val="bottom"/>
          </w:tcPr>
          <w:p>
            <w:pPr>
              <w:spacing w:after="0"/>
              <w:rPr>
                <w:sz w:val="15"/>
                <w:szCs w:val="15"/>
                <w:color w:val="auto"/>
              </w:rPr>
            </w:pPr>
          </w:p>
        </w:tc>
      </w:tr>
      <w:tr>
        <w:trPr>
          <w:trHeight w:val="184"/>
        </w:trPr>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40" w:type="dxa"/>
            <w:vAlign w:val="bottom"/>
            <w:gridSpan w:val="2"/>
          </w:tcPr>
          <w:p>
            <w:pPr>
              <w:ind w:left="540"/>
              <w:spacing w:after="0"/>
              <w:rPr>
                <w:sz w:val="20"/>
                <w:szCs w:val="20"/>
                <w:color w:val="auto"/>
              </w:rPr>
            </w:pPr>
            <w:r>
              <w:rPr>
                <w:rFonts w:ascii="Arial" w:cs="Arial" w:eastAsia="Arial" w:hAnsi="Arial"/>
                <w:sz w:val="15"/>
                <w:szCs w:val="15"/>
                <w:b w:val="1"/>
                <w:bCs w:val="1"/>
                <w:color w:val="auto"/>
              </w:rPr>
              <w:t>Table of Contents</w:t>
            </w:r>
          </w:p>
        </w:tc>
        <w:tc>
          <w:tcPr>
            <w:tcW w:w="920" w:type="dxa"/>
            <w:vAlign w:val="bottom"/>
          </w:tcPr>
          <w:p>
            <w:pPr>
              <w:spacing w:after="0"/>
              <w:rPr>
                <w:sz w:val="15"/>
                <w:szCs w:val="15"/>
                <w:color w:val="auto"/>
              </w:rPr>
            </w:pPr>
          </w:p>
        </w:tc>
      </w:tr>
      <w:tr>
        <w:trPr>
          <w:trHeight w:val="199"/>
        </w:trPr>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20" w:type="dxa"/>
            <w:vAlign w:val="bottom"/>
            <w:gridSpan w:val="3"/>
          </w:tcPr>
          <w:p>
            <w:pPr>
              <w:jc w:val="center"/>
              <w:ind w:right="3180"/>
              <w:spacing w:after="0"/>
              <w:rPr>
                <w:sz w:val="20"/>
                <w:szCs w:val="20"/>
                <w:color w:val="auto"/>
              </w:rPr>
            </w:pPr>
            <w:r>
              <w:rPr>
                <w:rFonts w:ascii="Arial" w:cs="Arial" w:eastAsia="Arial" w:hAnsi="Arial"/>
                <w:sz w:val="15"/>
                <w:szCs w:val="15"/>
                <w:b w:val="1"/>
                <w:bCs w:val="1"/>
                <w:color w:val="auto"/>
                <w:w w:val="93"/>
              </w:rPr>
              <w:t>For the Quarterly Period Ended June 30, 2021</w:t>
            </w:r>
          </w:p>
        </w:tc>
        <w:tc>
          <w:tcPr>
            <w:tcW w:w="920" w:type="dxa"/>
            <w:vAlign w:val="bottom"/>
          </w:tcPr>
          <w:p>
            <w:pPr>
              <w:spacing w:after="0"/>
              <w:rPr>
                <w:sz w:val="17"/>
                <w:szCs w:val="17"/>
                <w:color w:val="auto"/>
              </w:rPr>
            </w:pPr>
          </w:p>
        </w:tc>
      </w:tr>
      <w:tr>
        <w:trPr>
          <w:trHeight w:val="175"/>
        </w:trPr>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2"/>
                <w:szCs w:val="12"/>
                <w:b w:val="1"/>
                <w:bCs w:val="1"/>
                <w:color w:val="auto"/>
              </w:rPr>
              <w:t>Page No.</w:t>
            </w:r>
          </w:p>
        </w:tc>
      </w:tr>
      <w:tr>
        <w:trPr>
          <w:trHeight w:val="184"/>
        </w:trPr>
        <w:tc>
          <w:tcPr>
            <w:tcW w:w="10300" w:type="dxa"/>
            <w:vAlign w:val="bottom"/>
            <w:gridSpan w:val="23"/>
          </w:tcPr>
          <w:p>
            <w:pPr>
              <w:spacing w:after="0"/>
              <w:rPr>
                <w:rFonts w:ascii="Arial" w:cs="Arial" w:eastAsia="Arial" w:hAnsi="Arial"/>
                <w:sz w:val="14"/>
                <w:szCs w:val="14"/>
                <w:b w:val="1"/>
                <w:bCs w:val="1"/>
                <w:color w:val="0000FF"/>
              </w:rPr>
            </w:pPr>
            <w:hyperlink w:anchor="page3">
              <w:r>
                <w:rPr>
                  <w:rFonts w:ascii="Arial" w:cs="Arial" w:eastAsia="Arial" w:hAnsi="Arial"/>
                  <w:sz w:val="14"/>
                  <w:szCs w:val="14"/>
                  <w:b w:val="1"/>
                  <w:bCs w:val="1"/>
                  <w:color w:val="0000FF"/>
                </w:rPr>
                <w:t>PART I. FINANCIAL INFORMATION</w:t>
              </w:r>
            </w:hyperlink>
          </w:p>
        </w:tc>
        <w:tc>
          <w:tcPr>
            <w:tcW w:w="920" w:type="dxa"/>
            <w:vAlign w:val="bottom"/>
          </w:tcPr>
          <w:p>
            <w:pPr>
              <w:spacing w:after="0"/>
              <w:rPr>
                <w:sz w:val="15"/>
                <w:szCs w:val="15"/>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860" w:type="dxa"/>
            <w:vAlign w:val="bottom"/>
            <w:gridSpan w:val="5"/>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Item 1.</w:t>
              </w:r>
            </w:hyperlink>
          </w:p>
        </w:tc>
        <w:tc>
          <w:tcPr>
            <w:tcW w:w="9440" w:type="dxa"/>
            <w:vAlign w:val="bottom"/>
            <w:gridSpan w:val="18"/>
          </w:tcPr>
          <w:p>
            <w:pPr>
              <w:ind w:left="260"/>
              <w:spacing w:after="0"/>
              <w:rPr>
                <w:rFonts w:ascii="Arial" w:cs="Arial" w:eastAsia="Arial" w:hAnsi="Arial"/>
                <w:sz w:val="14"/>
                <w:szCs w:val="14"/>
                <w:color w:val="0000FF"/>
              </w:rPr>
            </w:pPr>
            <w:hyperlink w:anchor="page4">
              <w:r>
                <w:rPr>
                  <w:rFonts w:ascii="Arial" w:cs="Arial" w:eastAsia="Arial" w:hAnsi="Arial"/>
                  <w:sz w:val="14"/>
                  <w:szCs w:val="14"/>
                  <w:color w:val="0000FF"/>
                </w:rPr>
                <w:t>Financial Statements (Unaudited)</w:t>
              </w:r>
            </w:hyperlink>
          </w:p>
        </w:tc>
        <w:tc>
          <w:tcPr>
            <w:tcW w:w="920" w:type="dxa"/>
            <w:vAlign w:val="bottom"/>
          </w:tcPr>
          <w:p>
            <w:pPr>
              <w:jc w:val="right"/>
              <w:spacing w:after="0"/>
              <w:rPr>
                <w:rFonts w:ascii="Arial" w:cs="Arial" w:eastAsia="Arial" w:hAnsi="Arial"/>
                <w:sz w:val="14"/>
                <w:szCs w:val="14"/>
                <w:color w:val="0000FF"/>
              </w:rPr>
            </w:pPr>
            <w:hyperlink w:anchor="page4">
              <w:r>
                <w:rPr>
                  <w:rFonts w:ascii="Arial" w:cs="Arial" w:eastAsia="Arial" w:hAnsi="Arial"/>
                  <w:sz w:val="14"/>
                  <w:szCs w:val="14"/>
                  <w:color w:val="0000FF"/>
                </w:rPr>
                <w:t>4</w:t>
              </w:r>
            </w:hyperlink>
          </w:p>
        </w:tc>
      </w:tr>
      <w:tr>
        <w:trPr>
          <w:trHeight w:val="164"/>
        </w:trPr>
        <w:tc>
          <w:tcPr>
            <w:tcW w:w="2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600" w:type="dxa"/>
            <w:vAlign w:val="bottom"/>
            <w:tcBorders>
              <w:top w:val="single" w:sz="8" w:color="0000FF"/>
              <w:bottom w:val="single" w:sz="8" w:color="0000FF"/>
            </w:tcBorders>
            <w:gridSpan w:val="7"/>
          </w:tcPr>
          <w:p>
            <w:pPr>
              <w:spacing w:after="0"/>
              <w:rPr>
                <w:rFonts w:ascii="Arial" w:cs="Arial" w:eastAsia="Arial" w:hAnsi="Arial"/>
                <w:sz w:val="14"/>
                <w:szCs w:val="14"/>
                <w:color w:val="0000FF"/>
                <w:w w:val="86"/>
              </w:rPr>
            </w:pPr>
            <w:hyperlink w:anchor="page4">
              <w:r>
                <w:rPr>
                  <w:rFonts w:ascii="Arial" w:cs="Arial" w:eastAsia="Arial" w:hAnsi="Arial"/>
                  <w:sz w:val="14"/>
                  <w:szCs w:val="14"/>
                  <w:color w:val="0000FF"/>
                  <w:w w:val="86"/>
                </w:rPr>
                <w:t>Consolidated Balance Sheets</w:t>
              </w:r>
            </w:hyperlink>
          </w:p>
        </w:tc>
        <w:tc>
          <w:tcPr>
            <w:tcW w:w="140" w:type="dxa"/>
            <w:vAlign w:val="bottom"/>
            <w:tcBorders>
              <w:top w:val="single" w:sz="8" w:color="0000FF"/>
            </w:tcBorders>
          </w:tcPr>
          <w:p>
            <w:pPr>
              <w:spacing w:after="0"/>
              <w:rPr>
                <w:sz w:val="14"/>
                <w:szCs w:val="14"/>
                <w:color w:val="auto"/>
              </w:rPr>
            </w:pPr>
          </w:p>
        </w:tc>
        <w:tc>
          <w:tcPr>
            <w:tcW w:w="7340" w:type="dxa"/>
            <w:vAlign w:val="bottom"/>
            <w:gridSpan w:val="8"/>
          </w:tcPr>
          <w:p>
            <w:pPr>
              <w:spacing w:after="0"/>
              <w:rPr>
                <w:sz w:val="14"/>
                <w:szCs w:val="14"/>
                <w:color w:val="auto"/>
              </w:rPr>
            </w:pPr>
          </w:p>
        </w:tc>
        <w:tc>
          <w:tcPr>
            <w:tcW w:w="920" w:type="dxa"/>
            <w:vAlign w:val="bottom"/>
          </w:tcPr>
          <w:p>
            <w:pPr>
              <w:jc w:val="right"/>
              <w:spacing w:after="0"/>
              <w:rPr>
                <w:rFonts w:ascii="Arial" w:cs="Arial" w:eastAsia="Arial" w:hAnsi="Arial"/>
                <w:sz w:val="14"/>
                <w:szCs w:val="14"/>
                <w:color w:val="0000FF"/>
              </w:rPr>
            </w:pPr>
            <w:hyperlink w:anchor="page4">
              <w:r>
                <w:rPr>
                  <w:rFonts w:ascii="Arial" w:cs="Arial" w:eastAsia="Arial" w:hAnsi="Arial"/>
                  <w:sz w:val="14"/>
                  <w:szCs w:val="14"/>
                  <w:color w:val="0000FF"/>
                </w:rPr>
                <w:t>4</w:t>
              </w:r>
            </w:hyperlink>
          </w:p>
        </w:tc>
      </w:tr>
      <w:tr>
        <w:trPr>
          <w:trHeight w:val="164"/>
        </w:trPr>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bottom w:val="single" w:sz="8" w:color="0000FF"/>
            </w:tcBorders>
            <w:gridSpan w:val="9"/>
          </w:tcPr>
          <w:p>
            <w:pPr>
              <w:spacing w:after="0"/>
              <w:rPr>
                <w:rFonts w:ascii="Arial" w:cs="Arial" w:eastAsia="Arial" w:hAnsi="Arial"/>
                <w:sz w:val="14"/>
                <w:szCs w:val="14"/>
                <w:color w:val="0000FF"/>
                <w:w w:val="87"/>
              </w:rPr>
            </w:pPr>
            <w:hyperlink w:anchor="page4">
              <w:r>
                <w:rPr>
                  <w:rFonts w:ascii="Arial" w:cs="Arial" w:eastAsia="Arial" w:hAnsi="Arial"/>
                  <w:sz w:val="14"/>
                  <w:szCs w:val="14"/>
                  <w:color w:val="0000FF"/>
                  <w:w w:val="87"/>
                </w:rPr>
                <w:t>Consolidated Statements of Operations</w:t>
              </w:r>
            </w:hyperlink>
          </w:p>
        </w:tc>
        <w:tc>
          <w:tcPr>
            <w:tcW w:w="6920" w:type="dxa"/>
            <w:vAlign w:val="bottom"/>
            <w:gridSpan w:val="7"/>
          </w:tcPr>
          <w:p>
            <w:pPr>
              <w:spacing w:after="0"/>
              <w:rPr>
                <w:sz w:val="14"/>
                <w:szCs w:val="14"/>
                <w:color w:val="auto"/>
              </w:rPr>
            </w:pPr>
          </w:p>
        </w:tc>
        <w:tc>
          <w:tcPr>
            <w:tcW w:w="920" w:type="dxa"/>
            <w:vAlign w:val="bottom"/>
          </w:tcPr>
          <w:p>
            <w:pPr>
              <w:jc w:val="right"/>
              <w:spacing w:after="0"/>
              <w:rPr>
                <w:rFonts w:ascii="Arial" w:cs="Arial" w:eastAsia="Arial" w:hAnsi="Arial"/>
                <w:sz w:val="14"/>
                <w:szCs w:val="14"/>
                <w:color w:val="0000FF"/>
              </w:rPr>
            </w:pPr>
            <w:hyperlink w:anchor="page4">
              <w:r>
                <w:rPr>
                  <w:rFonts w:ascii="Arial" w:cs="Arial" w:eastAsia="Arial" w:hAnsi="Arial"/>
                  <w:sz w:val="14"/>
                  <w:szCs w:val="14"/>
                  <w:color w:val="0000FF"/>
                </w:rPr>
                <w:t>5</w:t>
              </w:r>
            </w:hyperlink>
          </w:p>
        </w:tc>
      </w:tr>
      <w:tr>
        <w:trPr>
          <w:trHeight w:val="164"/>
        </w:trPr>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80" w:type="dxa"/>
            <w:vAlign w:val="bottom"/>
            <w:gridSpan w:val="16"/>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Consolidated Statements of Comprehensive Income</w:t>
              </w:r>
            </w:hyperlink>
          </w:p>
        </w:tc>
        <w:tc>
          <w:tcPr>
            <w:tcW w:w="920" w:type="dxa"/>
            <w:vAlign w:val="bottom"/>
          </w:tcPr>
          <w:p>
            <w:pPr>
              <w:jc w:val="right"/>
              <w:spacing w:after="0"/>
              <w:rPr>
                <w:rFonts w:ascii="Arial" w:cs="Arial" w:eastAsia="Arial" w:hAnsi="Arial"/>
                <w:sz w:val="14"/>
                <w:szCs w:val="14"/>
                <w:color w:val="0000FF"/>
              </w:rPr>
            </w:pPr>
            <w:hyperlink w:anchor="page5">
              <w:r>
                <w:rPr>
                  <w:rFonts w:ascii="Arial" w:cs="Arial" w:eastAsia="Arial" w:hAnsi="Arial"/>
                  <w:sz w:val="14"/>
                  <w:szCs w:val="14"/>
                  <w:color w:val="0000FF"/>
                </w:rPr>
                <w:t>6</w:t>
              </w:r>
            </w:hyperlink>
          </w:p>
        </w:tc>
      </w:tr>
      <w:tr>
        <w:trPr>
          <w:trHeight w:val="164"/>
        </w:trPr>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12"/>
          </w:tcPr>
          <w:p>
            <w:pPr>
              <w:spacing w:after="0"/>
              <w:rPr>
                <w:rFonts w:ascii="Arial" w:cs="Arial" w:eastAsia="Arial" w:hAnsi="Arial"/>
                <w:sz w:val="14"/>
                <w:szCs w:val="14"/>
                <w:color w:val="0000FF"/>
                <w:w w:val="89"/>
              </w:rPr>
            </w:pPr>
            <w:hyperlink w:anchor="page6">
              <w:r>
                <w:rPr>
                  <w:rFonts w:ascii="Arial" w:cs="Arial" w:eastAsia="Arial" w:hAnsi="Arial"/>
                  <w:sz w:val="14"/>
                  <w:szCs w:val="14"/>
                  <w:color w:val="0000FF"/>
                  <w:w w:val="89"/>
                </w:rPr>
                <w:t>Consolidated Statements of Stockholders’ Equity</w:t>
              </w:r>
            </w:hyperlink>
          </w:p>
        </w:tc>
        <w:tc>
          <w:tcPr>
            <w:tcW w:w="140" w:type="dxa"/>
            <w:vAlign w:val="bottom"/>
            <w:tcBorders>
              <w:top w:val="single" w:sz="8" w:color="0000FF"/>
            </w:tcBorders>
          </w:tcPr>
          <w:p>
            <w:pPr>
              <w:spacing w:after="0"/>
              <w:rPr>
                <w:sz w:val="14"/>
                <w:szCs w:val="14"/>
                <w:color w:val="auto"/>
              </w:rPr>
            </w:pPr>
          </w:p>
        </w:tc>
        <w:tc>
          <w:tcPr>
            <w:tcW w:w="6220" w:type="dxa"/>
            <w:vAlign w:val="bottom"/>
            <w:gridSpan w:val="3"/>
          </w:tcPr>
          <w:p>
            <w:pPr>
              <w:spacing w:after="0"/>
              <w:rPr>
                <w:sz w:val="14"/>
                <w:szCs w:val="14"/>
                <w:color w:val="auto"/>
              </w:rPr>
            </w:pPr>
          </w:p>
        </w:tc>
        <w:tc>
          <w:tcPr>
            <w:tcW w:w="920" w:type="dxa"/>
            <w:vAlign w:val="bottom"/>
          </w:tcPr>
          <w:p>
            <w:pPr>
              <w:jc w:val="right"/>
              <w:spacing w:after="0"/>
              <w:rPr>
                <w:rFonts w:ascii="Arial" w:cs="Arial" w:eastAsia="Arial" w:hAnsi="Arial"/>
                <w:sz w:val="14"/>
                <w:szCs w:val="14"/>
                <w:color w:val="0000FF"/>
              </w:rPr>
            </w:pPr>
            <w:hyperlink w:anchor="page6">
              <w:r>
                <w:rPr>
                  <w:rFonts w:ascii="Arial" w:cs="Arial" w:eastAsia="Arial" w:hAnsi="Arial"/>
                  <w:sz w:val="14"/>
                  <w:szCs w:val="14"/>
                  <w:color w:val="0000FF"/>
                </w:rPr>
                <w:t>7</w:t>
              </w:r>
            </w:hyperlink>
          </w:p>
        </w:tc>
      </w:tr>
      <w:tr>
        <w:trPr>
          <w:trHeight w:val="164"/>
        </w:trPr>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Borders>
              <w:bottom w:val="single" w:sz="8" w:color="0000FF"/>
            </w:tcBorders>
            <w:gridSpan w:val="10"/>
          </w:tcPr>
          <w:p>
            <w:pPr>
              <w:spacing w:after="0"/>
              <w:rPr>
                <w:rFonts w:ascii="Arial" w:cs="Arial" w:eastAsia="Arial" w:hAnsi="Arial"/>
                <w:sz w:val="14"/>
                <w:szCs w:val="14"/>
                <w:color w:val="0000FF"/>
                <w:w w:val="87"/>
              </w:rPr>
            </w:pPr>
            <w:hyperlink w:anchor="page7">
              <w:r>
                <w:rPr>
                  <w:rFonts w:ascii="Arial" w:cs="Arial" w:eastAsia="Arial" w:hAnsi="Arial"/>
                  <w:sz w:val="14"/>
                  <w:szCs w:val="14"/>
                  <w:color w:val="0000FF"/>
                  <w:w w:val="87"/>
                </w:rPr>
                <w:t>Consolidated Statements of Cash Flows</w:t>
              </w:r>
            </w:hyperlink>
          </w:p>
        </w:tc>
        <w:tc>
          <w:tcPr>
            <w:tcW w:w="6880" w:type="dxa"/>
            <w:vAlign w:val="bottom"/>
            <w:gridSpan w:val="6"/>
          </w:tcPr>
          <w:p>
            <w:pPr>
              <w:spacing w:after="0"/>
              <w:rPr>
                <w:sz w:val="14"/>
                <w:szCs w:val="14"/>
                <w:color w:val="auto"/>
              </w:rPr>
            </w:pPr>
          </w:p>
        </w:tc>
        <w:tc>
          <w:tcPr>
            <w:tcW w:w="920" w:type="dxa"/>
            <w:vAlign w:val="bottom"/>
          </w:tcPr>
          <w:p>
            <w:pPr>
              <w:jc w:val="right"/>
              <w:spacing w:after="0"/>
              <w:rPr>
                <w:rFonts w:ascii="Arial" w:cs="Arial" w:eastAsia="Arial" w:hAnsi="Arial"/>
                <w:sz w:val="14"/>
                <w:szCs w:val="14"/>
                <w:color w:val="0000FF"/>
              </w:rPr>
            </w:pPr>
            <w:hyperlink w:anchor="page7">
              <w:r>
                <w:rPr>
                  <w:rFonts w:ascii="Arial" w:cs="Arial" w:eastAsia="Arial" w:hAnsi="Arial"/>
                  <w:sz w:val="14"/>
                  <w:szCs w:val="14"/>
                  <w:color w:val="0000FF"/>
                </w:rPr>
                <w:t>8</w:t>
              </w:r>
            </w:hyperlink>
          </w:p>
        </w:tc>
      </w:tr>
      <w:tr>
        <w:trPr>
          <w:trHeight w:val="164"/>
        </w:trPr>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Borders>
              <w:bottom w:val="single" w:sz="8" w:color="0000FF"/>
            </w:tcBorders>
            <w:gridSpan w:val="11"/>
          </w:tcPr>
          <w:p>
            <w:pPr>
              <w:spacing w:after="0"/>
              <w:rPr>
                <w:rFonts w:ascii="Arial" w:cs="Arial" w:eastAsia="Arial" w:hAnsi="Arial"/>
                <w:sz w:val="14"/>
                <w:szCs w:val="14"/>
                <w:color w:val="0000FF"/>
                <w:w w:val="88"/>
              </w:rPr>
            </w:pPr>
            <w:hyperlink w:anchor="page8">
              <w:r>
                <w:rPr>
                  <w:rFonts w:ascii="Arial" w:cs="Arial" w:eastAsia="Arial" w:hAnsi="Arial"/>
                  <w:sz w:val="14"/>
                  <w:szCs w:val="14"/>
                  <w:color w:val="0000FF"/>
                  <w:w w:val="88"/>
                </w:rPr>
                <w:t>Notes to Consolidated Financial Statements</w:t>
              </w:r>
            </w:hyperlink>
          </w:p>
        </w:tc>
        <w:tc>
          <w:tcPr>
            <w:tcW w:w="6660" w:type="dxa"/>
            <w:vAlign w:val="bottom"/>
            <w:gridSpan w:val="5"/>
          </w:tcPr>
          <w:p>
            <w:pPr>
              <w:spacing w:after="0"/>
              <w:rPr>
                <w:sz w:val="14"/>
                <w:szCs w:val="14"/>
                <w:color w:val="auto"/>
              </w:rPr>
            </w:pPr>
          </w:p>
        </w:tc>
        <w:tc>
          <w:tcPr>
            <w:tcW w:w="920" w:type="dxa"/>
            <w:vAlign w:val="bottom"/>
          </w:tcPr>
          <w:p>
            <w:pPr>
              <w:jc w:val="right"/>
              <w:spacing w:after="0"/>
              <w:rPr>
                <w:rFonts w:ascii="Arial" w:cs="Arial" w:eastAsia="Arial" w:hAnsi="Arial"/>
                <w:sz w:val="14"/>
                <w:szCs w:val="14"/>
                <w:color w:val="0000FF"/>
              </w:rPr>
            </w:pPr>
            <w:hyperlink w:anchor="page8">
              <w:r>
                <w:rPr>
                  <w:rFonts w:ascii="Arial" w:cs="Arial" w:eastAsia="Arial" w:hAnsi="Arial"/>
                  <w:sz w:val="14"/>
                  <w:szCs w:val="14"/>
                  <w:color w:val="0000FF"/>
                </w:rPr>
                <w:t>9</w:t>
              </w:r>
            </w:hyperlink>
          </w:p>
        </w:tc>
      </w:tr>
      <w:tr>
        <w:trPr>
          <w:trHeight w:val="164"/>
        </w:trPr>
        <w:tc>
          <w:tcPr>
            <w:tcW w:w="400" w:type="dxa"/>
            <w:vAlign w:val="bottom"/>
            <w:gridSpan w:val="3"/>
          </w:tcPr>
          <w:p>
            <w:pPr>
              <w:spacing w:after="0"/>
              <w:rPr>
                <w:rFonts w:ascii="Arial" w:cs="Arial" w:eastAsia="Arial" w:hAnsi="Arial"/>
                <w:sz w:val="14"/>
                <w:szCs w:val="14"/>
                <w:color w:val="0000FF"/>
                <w:w w:val="88"/>
              </w:rPr>
            </w:pPr>
            <w:hyperlink w:anchor="page19">
              <w:r>
                <w:rPr>
                  <w:rFonts w:ascii="Arial" w:cs="Arial" w:eastAsia="Arial" w:hAnsi="Arial"/>
                  <w:sz w:val="14"/>
                  <w:szCs w:val="14"/>
                  <w:color w:val="0000FF"/>
                  <w:w w:val="88"/>
                </w:rPr>
                <w:t>Item 2.</w:t>
              </w:r>
            </w:hyperlink>
          </w:p>
        </w:tc>
        <w:tc>
          <w:tcPr>
            <w:tcW w:w="460" w:type="dxa"/>
            <w:vAlign w:val="bottom"/>
            <w:gridSpan w:val="2"/>
          </w:tcPr>
          <w:p>
            <w:pPr>
              <w:spacing w:after="0"/>
              <w:rPr>
                <w:sz w:val="14"/>
                <w:szCs w:val="14"/>
                <w:color w:val="auto"/>
              </w:rPr>
            </w:pPr>
          </w:p>
        </w:tc>
        <w:tc>
          <w:tcPr>
            <w:tcW w:w="9440" w:type="dxa"/>
            <w:vAlign w:val="bottom"/>
            <w:gridSpan w:val="18"/>
          </w:tcPr>
          <w:p>
            <w:pPr>
              <w:ind w:left="260"/>
              <w:spacing w:after="0"/>
              <w:rPr>
                <w:rFonts w:ascii="Arial" w:cs="Arial" w:eastAsia="Arial" w:hAnsi="Arial"/>
                <w:sz w:val="14"/>
                <w:szCs w:val="14"/>
                <w:color w:val="0000FF"/>
              </w:rPr>
            </w:pPr>
            <w:hyperlink w:anchor="page19">
              <w:r>
                <w:rPr>
                  <w:rFonts w:ascii="Arial" w:cs="Arial" w:eastAsia="Arial" w:hAnsi="Arial"/>
                  <w:sz w:val="14"/>
                  <w:szCs w:val="14"/>
                  <w:color w:val="0000FF"/>
                </w:rPr>
                <w:t>Management’s Discussion and Analysis of Financial Condition and Results of Operations</w:t>
              </w:r>
            </w:hyperlink>
          </w:p>
        </w:tc>
        <w:tc>
          <w:tcPr>
            <w:tcW w:w="920" w:type="dxa"/>
            <w:vAlign w:val="bottom"/>
          </w:tcPr>
          <w:p>
            <w:pPr>
              <w:jc w:val="right"/>
              <w:spacing w:after="0"/>
              <w:rPr>
                <w:rFonts w:ascii="Arial" w:cs="Arial" w:eastAsia="Arial" w:hAnsi="Arial"/>
                <w:sz w:val="14"/>
                <w:szCs w:val="14"/>
                <w:color w:val="0000FF"/>
              </w:rPr>
            </w:pPr>
            <w:hyperlink w:anchor="page19">
              <w:r>
                <w:rPr>
                  <w:rFonts w:ascii="Arial" w:cs="Arial" w:eastAsia="Arial" w:hAnsi="Arial"/>
                  <w:sz w:val="14"/>
                  <w:szCs w:val="14"/>
                  <w:color w:val="0000FF"/>
                </w:rPr>
                <w:t>20</w:t>
              </w:r>
            </w:hyperlink>
          </w:p>
        </w:tc>
      </w:tr>
      <w:tr>
        <w:trPr>
          <w:trHeight w:val="20"/>
        </w:trPr>
        <w:tc>
          <w:tcPr>
            <w:tcW w:w="2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0" w:type="dxa"/>
            <w:vAlign w:val="bottom"/>
            <w:gridSpan w:val="8"/>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4"/>
        </w:trPr>
        <w:tc>
          <w:tcPr>
            <w:tcW w:w="400" w:type="dxa"/>
            <w:vAlign w:val="bottom"/>
            <w:gridSpan w:val="3"/>
          </w:tcPr>
          <w:p>
            <w:pPr>
              <w:spacing w:after="0"/>
              <w:rPr>
                <w:rFonts w:ascii="Arial" w:cs="Arial" w:eastAsia="Arial" w:hAnsi="Arial"/>
                <w:sz w:val="14"/>
                <w:szCs w:val="14"/>
                <w:color w:val="0000FF"/>
                <w:w w:val="88"/>
              </w:rPr>
            </w:pPr>
            <w:hyperlink w:anchor="page35">
              <w:r>
                <w:rPr>
                  <w:rFonts w:ascii="Arial" w:cs="Arial" w:eastAsia="Arial" w:hAnsi="Arial"/>
                  <w:sz w:val="14"/>
                  <w:szCs w:val="14"/>
                  <w:color w:val="0000FF"/>
                  <w:w w:val="88"/>
                </w:rPr>
                <w:t>Item 3.</w:t>
              </w:r>
            </w:hyperlink>
          </w:p>
        </w:tc>
        <w:tc>
          <w:tcPr>
            <w:tcW w:w="460" w:type="dxa"/>
            <w:vAlign w:val="bottom"/>
            <w:gridSpan w:val="2"/>
          </w:tcPr>
          <w:p>
            <w:pPr>
              <w:spacing w:after="0"/>
              <w:rPr>
                <w:sz w:val="14"/>
                <w:szCs w:val="14"/>
                <w:color w:val="auto"/>
              </w:rPr>
            </w:pPr>
          </w:p>
        </w:tc>
        <w:tc>
          <w:tcPr>
            <w:tcW w:w="9440" w:type="dxa"/>
            <w:vAlign w:val="bottom"/>
            <w:gridSpan w:val="18"/>
          </w:tcPr>
          <w:p>
            <w:pPr>
              <w:ind w:left="260"/>
              <w:spacing w:after="0"/>
              <w:rPr>
                <w:rFonts w:ascii="Arial" w:cs="Arial" w:eastAsia="Arial" w:hAnsi="Arial"/>
                <w:sz w:val="14"/>
                <w:szCs w:val="14"/>
                <w:color w:val="0000FF"/>
              </w:rPr>
            </w:pPr>
            <w:hyperlink w:anchor="page35">
              <w:r>
                <w:rPr>
                  <w:rFonts w:ascii="Arial" w:cs="Arial" w:eastAsia="Arial" w:hAnsi="Arial"/>
                  <w:sz w:val="14"/>
                  <w:szCs w:val="14"/>
                  <w:color w:val="0000FF"/>
                </w:rPr>
                <w:t>Quantitative and Qualitative Disclosures About Market Risk</w:t>
              </w:r>
            </w:hyperlink>
          </w:p>
        </w:tc>
        <w:tc>
          <w:tcPr>
            <w:tcW w:w="920" w:type="dxa"/>
            <w:vAlign w:val="bottom"/>
          </w:tcPr>
          <w:p>
            <w:pPr>
              <w:jc w:val="right"/>
              <w:spacing w:after="0"/>
              <w:rPr>
                <w:rFonts w:ascii="Arial" w:cs="Arial" w:eastAsia="Arial" w:hAnsi="Arial"/>
                <w:sz w:val="14"/>
                <w:szCs w:val="14"/>
                <w:color w:val="0000FF"/>
              </w:rPr>
            </w:pPr>
            <w:hyperlink w:anchor="page35">
              <w:r>
                <w:rPr>
                  <w:rFonts w:ascii="Arial" w:cs="Arial" w:eastAsia="Arial" w:hAnsi="Arial"/>
                  <w:sz w:val="14"/>
                  <w:szCs w:val="14"/>
                  <w:color w:val="0000FF"/>
                </w:rPr>
                <w:t>35</w:t>
              </w:r>
            </w:hyperlink>
          </w:p>
        </w:tc>
      </w:tr>
      <w:tr>
        <w:trPr>
          <w:trHeight w:val="20"/>
        </w:trPr>
        <w:tc>
          <w:tcPr>
            <w:tcW w:w="2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0" w:type="dxa"/>
            <w:vAlign w:val="bottom"/>
            <w:gridSpan w:val="8"/>
            <w:shd w:val="clear" w:color="auto" w:fill="0000FF"/>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4"/>
        </w:trPr>
        <w:tc>
          <w:tcPr>
            <w:tcW w:w="400" w:type="dxa"/>
            <w:vAlign w:val="bottom"/>
            <w:gridSpan w:val="3"/>
          </w:tcPr>
          <w:p>
            <w:pPr>
              <w:spacing w:after="0"/>
              <w:rPr>
                <w:rFonts w:ascii="Arial" w:cs="Arial" w:eastAsia="Arial" w:hAnsi="Arial"/>
                <w:sz w:val="14"/>
                <w:szCs w:val="14"/>
                <w:color w:val="0000FF"/>
                <w:w w:val="88"/>
              </w:rPr>
            </w:pPr>
            <w:hyperlink w:anchor="page36">
              <w:r>
                <w:rPr>
                  <w:rFonts w:ascii="Arial" w:cs="Arial" w:eastAsia="Arial" w:hAnsi="Arial"/>
                  <w:sz w:val="14"/>
                  <w:szCs w:val="14"/>
                  <w:color w:val="0000FF"/>
                  <w:w w:val="88"/>
                </w:rPr>
                <w:t>Item 4.</w:t>
              </w:r>
            </w:hyperlink>
          </w:p>
        </w:tc>
        <w:tc>
          <w:tcPr>
            <w:tcW w:w="460" w:type="dxa"/>
            <w:vAlign w:val="bottom"/>
            <w:gridSpan w:val="2"/>
          </w:tcPr>
          <w:p>
            <w:pPr>
              <w:spacing w:after="0"/>
              <w:rPr>
                <w:sz w:val="14"/>
                <w:szCs w:val="14"/>
                <w:color w:val="auto"/>
              </w:rPr>
            </w:pPr>
          </w:p>
        </w:tc>
        <w:tc>
          <w:tcPr>
            <w:tcW w:w="9440" w:type="dxa"/>
            <w:vAlign w:val="bottom"/>
            <w:gridSpan w:val="18"/>
          </w:tcPr>
          <w:p>
            <w:pPr>
              <w:ind w:left="260"/>
              <w:spacing w:after="0"/>
              <w:rPr>
                <w:rFonts w:ascii="Arial" w:cs="Arial" w:eastAsia="Arial" w:hAnsi="Arial"/>
                <w:sz w:val="14"/>
                <w:szCs w:val="14"/>
                <w:color w:val="0000FF"/>
              </w:rPr>
            </w:pPr>
            <w:hyperlink w:anchor="page36">
              <w:r>
                <w:rPr>
                  <w:rFonts w:ascii="Arial" w:cs="Arial" w:eastAsia="Arial" w:hAnsi="Arial"/>
                  <w:sz w:val="14"/>
                  <w:szCs w:val="14"/>
                  <w:color w:val="0000FF"/>
                </w:rPr>
                <w:t>Controls and Procedures</w:t>
              </w:r>
            </w:hyperlink>
          </w:p>
        </w:tc>
        <w:tc>
          <w:tcPr>
            <w:tcW w:w="920" w:type="dxa"/>
            <w:vAlign w:val="bottom"/>
          </w:tcPr>
          <w:p>
            <w:pPr>
              <w:jc w:val="right"/>
              <w:spacing w:after="0"/>
              <w:rPr>
                <w:rFonts w:ascii="Arial" w:cs="Arial" w:eastAsia="Arial" w:hAnsi="Arial"/>
                <w:sz w:val="14"/>
                <w:szCs w:val="14"/>
                <w:color w:val="0000FF"/>
              </w:rPr>
            </w:pPr>
            <w:hyperlink w:anchor="page36">
              <w:r>
                <w:rPr>
                  <w:rFonts w:ascii="Arial" w:cs="Arial" w:eastAsia="Arial" w:hAnsi="Arial"/>
                  <w:sz w:val="14"/>
                  <w:szCs w:val="14"/>
                  <w:color w:val="0000FF"/>
                </w:rPr>
                <w:t>37</w:t>
              </w:r>
            </w:hyperlink>
          </w:p>
        </w:tc>
      </w:tr>
      <w:tr>
        <w:trPr>
          <w:trHeight w:val="20"/>
        </w:trPr>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84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2120" w:type="dxa"/>
            <w:vAlign w:val="bottom"/>
            <w:tcBorders>
              <w:bottom w:val="single" w:sz="8" w:color="0000FF"/>
            </w:tcBorders>
            <w:gridSpan w:val="10"/>
          </w:tcPr>
          <w:p>
            <w:pPr>
              <w:spacing w:after="0"/>
              <w:rPr>
                <w:rFonts w:ascii="Arial" w:cs="Arial" w:eastAsia="Arial" w:hAnsi="Arial"/>
                <w:sz w:val="14"/>
                <w:szCs w:val="14"/>
                <w:b w:val="1"/>
                <w:bCs w:val="1"/>
                <w:color w:val="0000FF"/>
              </w:rPr>
            </w:pPr>
            <w:hyperlink w:anchor="page37">
              <w:r>
                <w:rPr>
                  <w:rFonts w:ascii="Arial" w:cs="Arial" w:eastAsia="Arial" w:hAnsi="Arial"/>
                  <w:sz w:val="14"/>
                  <w:szCs w:val="14"/>
                  <w:b w:val="1"/>
                  <w:bCs w:val="1"/>
                  <w:color w:val="0000FF"/>
                </w:rPr>
                <w:t>PART II. OTHER INFORMATION</w:t>
              </w:r>
            </w:hyperlink>
          </w:p>
        </w:tc>
        <w:tc>
          <w:tcPr>
            <w:tcW w:w="8180" w:type="dxa"/>
            <w:vAlign w:val="bottom"/>
            <w:gridSpan w:val="13"/>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400" w:type="dxa"/>
            <w:vAlign w:val="bottom"/>
            <w:gridSpan w:val="3"/>
          </w:tcPr>
          <w:p>
            <w:pPr>
              <w:spacing w:after="0"/>
              <w:rPr>
                <w:rFonts w:ascii="Arial" w:cs="Arial" w:eastAsia="Arial" w:hAnsi="Arial"/>
                <w:sz w:val="14"/>
                <w:szCs w:val="14"/>
                <w:color w:val="0000FF"/>
                <w:w w:val="88"/>
              </w:rPr>
            </w:pPr>
            <w:hyperlink w:anchor="page38">
              <w:r>
                <w:rPr>
                  <w:rFonts w:ascii="Arial" w:cs="Arial" w:eastAsia="Arial" w:hAnsi="Arial"/>
                  <w:sz w:val="14"/>
                  <w:szCs w:val="14"/>
                  <w:color w:val="0000FF"/>
                  <w:w w:val="88"/>
                </w:rPr>
                <w:t>Item 1.</w:t>
              </w:r>
            </w:hyperlink>
          </w:p>
        </w:tc>
        <w:tc>
          <w:tcPr>
            <w:tcW w:w="460" w:type="dxa"/>
            <w:vAlign w:val="bottom"/>
            <w:gridSpan w:val="2"/>
          </w:tcPr>
          <w:p>
            <w:pPr>
              <w:spacing w:after="0"/>
              <w:rPr>
                <w:sz w:val="18"/>
                <w:szCs w:val="18"/>
                <w:color w:val="auto"/>
              </w:rPr>
            </w:pPr>
          </w:p>
        </w:tc>
        <w:tc>
          <w:tcPr>
            <w:tcW w:w="9440" w:type="dxa"/>
            <w:vAlign w:val="bottom"/>
            <w:gridSpan w:val="18"/>
          </w:tcPr>
          <w:p>
            <w:pPr>
              <w:ind w:left="260"/>
              <w:spacing w:after="0"/>
              <w:rPr>
                <w:rFonts w:ascii="Arial" w:cs="Arial" w:eastAsia="Arial" w:hAnsi="Arial"/>
                <w:sz w:val="14"/>
                <w:szCs w:val="14"/>
                <w:color w:val="0000FF"/>
              </w:rPr>
            </w:pPr>
            <w:hyperlink w:anchor="page38">
              <w:r>
                <w:rPr>
                  <w:rFonts w:ascii="Arial" w:cs="Arial" w:eastAsia="Arial" w:hAnsi="Arial"/>
                  <w:sz w:val="14"/>
                  <w:szCs w:val="14"/>
                  <w:color w:val="0000FF"/>
                </w:rPr>
                <w:t>Legal Proceedings</w:t>
              </w:r>
            </w:hyperlink>
          </w:p>
        </w:tc>
        <w:tc>
          <w:tcPr>
            <w:tcW w:w="920" w:type="dxa"/>
            <w:vAlign w:val="bottom"/>
          </w:tcPr>
          <w:p>
            <w:pPr>
              <w:jc w:val="right"/>
              <w:spacing w:after="0"/>
              <w:rPr>
                <w:rFonts w:ascii="Arial" w:cs="Arial" w:eastAsia="Arial" w:hAnsi="Arial"/>
                <w:sz w:val="14"/>
                <w:szCs w:val="14"/>
                <w:color w:val="0000FF"/>
              </w:rPr>
            </w:pPr>
            <w:hyperlink w:anchor="page38">
              <w:r>
                <w:rPr>
                  <w:rFonts w:ascii="Arial" w:cs="Arial" w:eastAsia="Arial" w:hAnsi="Arial"/>
                  <w:sz w:val="14"/>
                  <w:szCs w:val="14"/>
                  <w:color w:val="0000FF"/>
                </w:rPr>
                <w:t>38</w:t>
              </w:r>
            </w:hyperlink>
          </w:p>
        </w:tc>
      </w:tr>
      <w:tr>
        <w:trPr>
          <w:trHeight w:val="20"/>
        </w:trPr>
        <w:tc>
          <w:tcPr>
            <w:tcW w:w="2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160" w:type="dxa"/>
            <w:vAlign w:val="bottom"/>
            <w:gridSpan w:val="1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4"/>
        </w:trPr>
        <w:tc>
          <w:tcPr>
            <w:tcW w:w="860" w:type="dxa"/>
            <w:vAlign w:val="bottom"/>
            <w:gridSpan w:val="5"/>
          </w:tcPr>
          <w:p>
            <w:pPr>
              <w:spacing w:after="0"/>
              <w:rPr>
                <w:rFonts w:ascii="Arial" w:cs="Arial" w:eastAsia="Arial" w:hAnsi="Arial"/>
                <w:sz w:val="14"/>
                <w:szCs w:val="14"/>
                <w:color w:val="0000FF"/>
              </w:rPr>
            </w:pPr>
            <w:hyperlink w:anchor="page38">
              <w:r>
                <w:rPr>
                  <w:rFonts w:ascii="Arial" w:cs="Arial" w:eastAsia="Arial" w:hAnsi="Arial"/>
                  <w:sz w:val="14"/>
                  <w:szCs w:val="14"/>
                  <w:color w:val="0000FF"/>
                </w:rPr>
                <w:t>Item 1A.</w:t>
              </w:r>
            </w:hyperlink>
          </w:p>
        </w:tc>
        <w:tc>
          <w:tcPr>
            <w:tcW w:w="9440" w:type="dxa"/>
            <w:vAlign w:val="bottom"/>
            <w:gridSpan w:val="18"/>
          </w:tcPr>
          <w:p>
            <w:pPr>
              <w:ind w:left="260"/>
              <w:spacing w:after="0"/>
              <w:rPr>
                <w:rFonts w:ascii="Arial" w:cs="Arial" w:eastAsia="Arial" w:hAnsi="Arial"/>
                <w:sz w:val="14"/>
                <w:szCs w:val="14"/>
                <w:color w:val="0000FF"/>
              </w:rPr>
            </w:pPr>
            <w:hyperlink w:anchor="page38">
              <w:r>
                <w:rPr>
                  <w:rFonts w:ascii="Arial" w:cs="Arial" w:eastAsia="Arial" w:hAnsi="Arial"/>
                  <w:sz w:val="14"/>
                  <w:szCs w:val="14"/>
                  <w:color w:val="0000FF"/>
                </w:rPr>
                <w:t>Risk Factors</w:t>
              </w:r>
            </w:hyperlink>
          </w:p>
        </w:tc>
        <w:tc>
          <w:tcPr>
            <w:tcW w:w="920" w:type="dxa"/>
            <w:vAlign w:val="bottom"/>
          </w:tcPr>
          <w:p>
            <w:pPr>
              <w:jc w:val="right"/>
              <w:spacing w:after="0"/>
              <w:rPr>
                <w:rFonts w:ascii="Arial" w:cs="Arial" w:eastAsia="Arial" w:hAnsi="Arial"/>
                <w:sz w:val="14"/>
                <w:szCs w:val="14"/>
                <w:color w:val="0000FF"/>
              </w:rPr>
            </w:pPr>
            <w:hyperlink w:anchor="page38">
              <w:r>
                <w:rPr>
                  <w:rFonts w:ascii="Arial" w:cs="Arial" w:eastAsia="Arial" w:hAnsi="Arial"/>
                  <w:sz w:val="14"/>
                  <w:szCs w:val="14"/>
                  <w:color w:val="0000FF"/>
                </w:rPr>
                <w:t>38</w:t>
              </w:r>
            </w:hyperlink>
          </w:p>
        </w:tc>
      </w:tr>
      <w:tr>
        <w:trPr>
          <w:trHeight w:val="20"/>
        </w:trPr>
        <w:tc>
          <w:tcPr>
            <w:tcW w:w="28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500" w:type="dxa"/>
            <w:vAlign w:val="bottom"/>
            <w:gridSpan w:val="1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4"/>
        </w:trPr>
        <w:tc>
          <w:tcPr>
            <w:tcW w:w="400" w:type="dxa"/>
            <w:vAlign w:val="bottom"/>
            <w:gridSpan w:val="3"/>
          </w:tcPr>
          <w:p>
            <w:pPr>
              <w:spacing w:after="0"/>
              <w:rPr>
                <w:rFonts w:ascii="Arial" w:cs="Arial" w:eastAsia="Arial" w:hAnsi="Arial"/>
                <w:sz w:val="14"/>
                <w:szCs w:val="14"/>
                <w:color w:val="0000FF"/>
                <w:w w:val="88"/>
              </w:rPr>
            </w:pPr>
            <w:hyperlink w:anchor="page38">
              <w:r>
                <w:rPr>
                  <w:rFonts w:ascii="Arial" w:cs="Arial" w:eastAsia="Arial" w:hAnsi="Arial"/>
                  <w:sz w:val="14"/>
                  <w:szCs w:val="14"/>
                  <w:color w:val="0000FF"/>
                  <w:w w:val="88"/>
                </w:rPr>
                <w:t>Item 6.</w:t>
              </w:r>
            </w:hyperlink>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40" w:type="dxa"/>
            <w:vAlign w:val="bottom"/>
            <w:gridSpan w:val="18"/>
          </w:tcPr>
          <w:p>
            <w:pPr>
              <w:ind w:left="260"/>
              <w:spacing w:after="0"/>
              <w:rPr>
                <w:rFonts w:ascii="Arial" w:cs="Arial" w:eastAsia="Arial" w:hAnsi="Arial"/>
                <w:sz w:val="14"/>
                <w:szCs w:val="14"/>
                <w:color w:val="0000FF"/>
              </w:rPr>
            </w:pPr>
            <w:hyperlink w:anchor="page38">
              <w:r>
                <w:rPr>
                  <w:rFonts w:ascii="Arial" w:cs="Arial" w:eastAsia="Arial" w:hAnsi="Arial"/>
                  <w:sz w:val="14"/>
                  <w:szCs w:val="14"/>
                  <w:color w:val="0000FF"/>
                </w:rPr>
                <w:t>Exhibits</w:t>
              </w:r>
            </w:hyperlink>
          </w:p>
        </w:tc>
        <w:tc>
          <w:tcPr>
            <w:tcW w:w="920" w:type="dxa"/>
            <w:vAlign w:val="bottom"/>
          </w:tcPr>
          <w:p>
            <w:pPr>
              <w:jc w:val="right"/>
              <w:spacing w:after="0"/>
              <w:rPr>
                <w:rFonts w:ascii="Arial" w:cs="Arial" w:eastAsia="Arial" w:hAnsi="Arial"/>
                <w:sz w:val="14"/>
                <w:szCs w:val="14"/>
                <w:color w:val="0000FF"/>
              </w:rPr>
            </w:pPr>
            <w:hyperlink w:anchor="page38">
              <w:r>
                <w:rPr>
                  <w:rFonts w:ascii="Arial" w:cs="Arial" w:eastAsia="Arial" w:hAnsi="Arial"/>
                  <w:sz w:val="14"/>
                  <w:szCs w:val="14"/>
                  <w:color w:val="0000FF"/>
                </w:rPr>
                <w:t>38</w:t>
              </w:r>
            </w:hyperlink>
          </w:p>
        </w:tc>
      </w:tr>
      <w:tr>
        <w:trPr>
          <w:trHeight w:val="20"/>
        </w:trPr>
        <w:tc>
          <w:tcPr>
            <w:tcW w:w="2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4"/>
        </w:trPr>
        <w:tc>
          <w:tcPr>
            <w:tcW w:w="280" w:type="dxa"/>
            <w:vAlign w:val="bottom"/>
          </w:tcPr>
          <w:p>
            <w:pPr>
              <w:spacing w:after="0"/>
              <w:rPr>
                <w:sz w:val="21"/>
                <w:szCs w:val="21"/>
                <w:color w:val="auto"/>
              </w:rPr>
            </w:pPr>
          </w:p>
        </w:tc>
        <w:tc>
          <w:tcPr>
            <w:tcW w:w="580" w:type="dxa"/>
            <w:vAlign w:val="bottom"/>
            <w:tcBorders>
              <w:bottom w:val="single" w:sz="8" w:color="0000FF"/>
            </w:tcBorders>
            <w:gridSpan w:val="4"/>
          </w:tcPr>
          <w:p>
            <w:pPr>
              <w:spacing w:after="0"/>
              <w:rPr>
                <w:rFonts w:ascii="Arial" w:cs="Arial" w:eastAsia="Arial" w:hAnsi="Arial"/>
                <w:sz w:val="14"/>
                <w:szCs w:val="14"/>
                <w:color w:val="0000FF"/>
                <w:w w:val="83"/>
              </w:rPr>
            </w:pPr>
            <w:hyperlink w:anchor="page39">
              <w:r>
                <w:rPr>
                  <w:rFonts w:ascii="Arial" w:cs="Arial" w:eastAsia="Arial" w:hAnsi="Arial"/>
                  <w:sz w:val="14"/>
                  <w:szCs w:val="14"/>
                  <w:color w:val="0000FF"/>
                  <w:w w:val="83"/>
                </w:rPr>
                <w:t>Signatures</w:t>
              </w:r>
            </w:hyperlink>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920" w:type="dxa"/>
            <w:vAlign w:val="bottom"/>
          </w:tcPr>
          <w:p>
            <w:pPr>
              <w:jc w:val="right"/>
              <w:spacing w:after="0"/>
              <w:rPr>
                <w:rFonts w:ascii="Arial" w:cs="Arial" w:eastAsia="Arial" w:hAnsi="Arial"/>
                <w:sz w:val="14"/>
                <w:szCs w:val="14"/>
                <w:color w:val="0000FF"/>
              </w:rPr>
            </w:pPr>
            <w:hyperlink w:anchor="page39">
              <w:r>
                <w:rPr>
                  <w:rFonts w:ascii="Arial" w:cs="Arial" w:eastAsia="Arial" w:hAnsi="Arial"/>
                  <w:sz w:val="14"/>
                  <w:szCs w:val="14"/>
                  <w:color w:val="0000FF"/>
                </w:rPr>
                <w:t>40</w:t>
              </w:r>
            </w:hyperlink>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118110</wp:posOffset>
            </wp:positionV>
            <wp:extent cx="717804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20"/>
          </w:cols>
          <w:pgMar w:left="340" w:top="129" w:right="339" w:bottom="1440" w:gutter="0" w:footer="0" w:header="0"/>
        </w:sectPr>
      </w:pPr>
    </w:p>
    <w:bookmarkStart w:id="2" w:name="page3"/>
    <w:bookmarkEnd w:id="2"/>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FORWARD-LOOKING STATEMENTS</w:t>
      </w:r>
    </w:p>
    <w:p>
      <w:pPr>
        <w:spacing w:after="0" w:line="291" w:lineRule="exact"/>
        <w:rPr>
          <w:sz w:val="20"/>
          <w:szCs w:val="20"/>
          <w:color w:val="auto"/>
        </w:rPr>
      </w:pPr>
    </w:p>
    <w:p>
      <w:pPr>
        <w:ind w:firstLine="345"/>
        <w:spacing w:after="0" w:line="277" w:lineRule="auto"/>
        <w:rPr>
          <w:sz w:val="20"/>
          <w:szCs w:val="20"/>
          <w:color w:val="auto"/>
        </w:rPr>
      </w:pPr>
      <w:r>
        <w:rPr>
          <w:rFonts w:ascii="Arial" w:cs="Arial" w:eastAsia="Arial" w:hAnsi="Arial"/>
          <w:sz w:val="14"/>
          <w:szCs w:val="14"/>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guidance, industry prospects, future business, future results of operations or financial condition, future dividends, our ability to consummate acquisitions and integrate the businesses we have acquired or may acquire into our existing operations, new or planned features, products or services, management strategies, our competitive position and the COVID-19 pandemic. You can identify many forward-looking statements by words such as “may,” “will,” “would,” “should,” “could,” “expect,” “aim,” “anticipate,” “believe,” “estimate,” “intend,” “plan,” “predict,” “project,” “seek,”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contained herein. Such risks and uncertainties include, among others, those discussed under the caption “Risk Factors” in our most recently filed Annual Report on Form 10-K, which was filed with the Securities and Exchange Commission (the “SEC”) on February 11, 2021 (our “2020 Form 10-K”), and in our consolidated financial statements, related notes, and the other information appearing elsewhere in the 2020 Form 10-K. such Annual Report, this Quarterly Report on Form 10-Q and our other filings with the SEC. Given these risks and uncertainties, you should not place undue reliance on any forward-looking statements. The forward-looking statements contained in this Quarterly Report on Form 10-Q are made only as of the date hereof, and we do not intend, and, except as required by law, we undertake no obligation to update any forward-looking statements contained herein after the date of this report to reflect actual results or future events or circumstances.</w:t>
      </w:r>
    </w:p>
    <w:p>
      <w:pPr>
        <w:spacing w:after="0" w:line="63" w:lineRule="exact"/>
        <w:rPr>
          <w:sz w:val="20"/>
          <w:szCs w:val="20"/>
          <w:color w:val="auto"/>
        </w:rPr>
      </w:pPr>
    </w:p>
    <w:p>
      <w:pPr>
        <w:ind w:right="240" w:firstLine="345"/>
        <w:spacing w:after="0" w:line="266" w:lineRule="auto"/>
        <w:rPr>
          <w:sz w:val="20"/>
          <w:szCs w:val="20"/>
          <w:color w:val="auto"/>
        </w:rPr>
      </w:pPr>
      <w:r>
        <w:rPr>
          <w:rFonts w:ascii="Arial" w:cs="Arial" w:eastAsia="Arial" w:hAnsi="Arial"/>
          <w:sz w:val="15"/>
          <w:szCs w:val="15"/>
          <w:i w:val="1"/>
          <w:iCs w:val="1"/>
          <w:color w:val="auto"/>
        </w:rPr>
        <w:t>Unless the context otherwise indicates, references in this Quarterly Report on Form 10-Q to the terms “Shutterstock,” “the Company,” “we,” “our” and “us” refer to Shutterstock, Inc. and its subsidiaries. “Shutterstock,” “Shutterstock Editorial,” “Asset Assurance,” “Offset,” “Bigstock,” “Rex Features,” “PremiumBeat,” “TurboSquid” and “Shutterstock Editor” and their logos are registered trademarks and are the property of Shutterstock, Inc. or one of our subsidiaries. All other trademarks, service marks and trade names appearing in this Quarterly Report on Form 10-Q are the property of their respective owners.</w:t>
      </w:r>
    </w:p>
    <w:p>
      <w:pPr>
        <w:spacing w:after="0" w:line="200" w:lineRule="exact"/>
        <w:rPr>
          <w:sz w:val="20"/>
          <w:szCs w:val="20"/>
          <w:color w:val="auto"/>
        </w:rPr>
      </w:pPr>
    </w:p>
    <w:p>
      <w:pPr>
        <w:spacing w:after="0" w:line="277"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2"/>
        </w:trPr>
        <w:tc>
          <w:tcPr>
            <w:tcW w:w="340" w:type="dxa"/>
            <w:vAlign w:val="bottom"/>
          </w:tcPr>
          <w:p>
            <w:pPr>
              <w:spacing w:after="0"/>
              <w:rPr>
                <w:sz w:val="14"/>
                <w:szCs w:val="14"/>
                <w:color w:val="auto"/>
              </w:rPr>
            </w:pPr>
          </w:p>
        </w:tc>
        <w:tc>
          <w:tcPr>
            <w:tcW w:w="7380" w:type="dxa"/>
            <w:vAlign w:val="bottom"/>
            <w:gridSpan w:val="3"/>
          </w:tcPr>
          <w:p>
            <w:pPr>
              <w:spacing w:after="0"/>
              <w:rPr>
                <w:rFonts w:ascii="Arial" w:cs="Arial" w:eastAsia="Arial" w:hAnsi="Arial"/>
                <w:sz w:val="15"/>
                <w:szCs w:val="15"/>
                <w:color w:val="0000FF"/>
              </w:rPr>
            </w:pPr>
            <w:hyperlink w:anchor="page2">
              <w:r>
                <w:rPr>
                  <w:rFonts w:ascii="Arial" w:cs="Arial" w:eastAsia="Arial" w:hAnsi="Arial"/>
                  <w:sz w:val="15"/>
                  <w:szCs w:val="15"/>
                  <w:color w:val="0000FF"/>
                </w:rPr>
                <w:t>Table of Contents</w:t>
              </w:r>
            </w:hyperlink>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2"/>
        </w:trPr>
        <w:tc>
          <w:tcPr>
            <w:tcW w:w="540" w:type="dxa"/>
            <w:vAlign w:val="bottom"/>
            <w:gridSpan w:val="2"/>
          </w:tcPr>
          <w:p>
            <w:pPr>
              <w:spacing w:after="0"/>
              <w:rPr>
                <w:sz w:val="20"/>
                <w:szCs w:val="20"/>
                <w:color w:val="auto"/>
              </w:rPr>
            </w:pPr>
            <w:r>
              <w:rPr>
                <w:rFonts w:ascii="Arial" w:cs="Arial" w:eastAsia="Arial" w:hAnsi="Arial"/>
                <w:sz w:val="15"/>
                <w:szCs w:val="15"/>
                <w:b w:val="1"/>
                <w:bCs w:val="1"/>
                <w:color w:val="auto"/>
                <w:w w:val="97"/>
              </w:rPr>
              <w:t>PART I.</w:t>
            </w:r>
          </w:p>
        </w:tc>
        <w:tc>
          <w:tcPr>
            <w:tcW w:w="7180" w:type="dxa"/>
            <w:vAlign w:val="bottom"/>
            <w:gridSpan w:val="2"/>
          </w:tcPr>
          <w:p>
            <w:pPr>
              <w:ind w:left="180"/>
              <w:spacing w:after="0"/>
              <w:rPr>
                <w:sz w:val="20"/>
                <w:szCs w:val="20"/>
                <w:color w:val="auto"/>
              </w:rPr>
            </w:pPr>
            <w:r>
              <w:rPr>
                <w:rFonts w:ascii="Arial" w:cs="Arial" w:eastAsia="Arial" w:hAnsi="Arial"/>
                <w:sz w:val="15"/>
                <w:szCs w:val="15"/>
                <w:b w:val="1"/>
                <w:bCs w:val="1"/>
                <w:color w:val="auto"/>
              </w:rPr>
              <w:t>FINANCIAL INFORMATION</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0" w:type="dxa"/>
            <w:vAlign w:val="bottom"/>
            <w:gridSpan w:val="2"/>
          </w:tcPr>
          <w:p>
            <w:pPr>
              <w:spacing w:after="0"/>
              <w:rPr>
                <w:sz w:val="20"/>
                <w:szCs w:val="20"/>
                <w:color w:val="auto"/>
              </w:rPr>
            </w:pPr>
            <w:r>
              <w:rPr>
                <w:rFonts w:ascii="Arial" w:cs="Arial" w:eastAsia="Arial" w:hAnsi="Arial"/>
                <w:sz w:val="15"/>
                <w:szCs w:val="15"/>
                <w:b w:val="1"/>
                <w:bCs w:val="1"/>
                <w:color w:val="auto"/>
              </w:rPr>
              <w:t>Item 1.</w:t>
            </w:r>
          </w:p>
        </w:tc>
        <w:tc>
          <w:tcPr>
            <w:tcW w:w="7180" w:type="dxa"/>
            <w:vAlign w:val="bottom"/>
            <w:gridSpan w:val="2"/>
          </w:tcPr>
          <w:p>
            <w:pPr>
              <w:ind w:left="220"/>
              <w:spacing w:after="0"/>
              <w:rPr>
                <w:sz w:val="20"/>
                <w:szCs w:val="20"/>
                <w:color w:val="auto"/>
              </w:rPr>
            </w:pPr>
            <w:r>
              <w:rPr>
                <w:rFonts w:ascii="Arial" w:cs="Arial" w:eastAsia="Arial" w:hAnsi="Arial"/>
                <w:sz w:val="15"/>
                <w:szCs w:val="15"/>
                <w:b w:val="1"/>
                <w:bCs w:val="1"/>
                <w:color w:val="auto"/>
              </w:rPr>
              <w:t>Financial Statements.</w:t>
            </w:r>
          </w:p>
        </w:tc>
        <w:tc>
          <w:tcPr>
            <w:tcW w:w="4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300" w:type="dxa"/>
            <w:vAlign w:val="bottom"/>
          </w:tcPr>
          <w:p>
            <w:pPr>
              <w:jc w:val="center"/>
              <w:ind w:left="2023"/>
              <w:spacing w:after="0"/>
              <w:rPr>
                <w:sz w:val="20"/>
                <w:szCs w:val="20"/>
                <w:color w:val="auto"/>
              </w:rPr>
            </w:pPr>
            <w:r>
              <w:rPr>
                <w:rFonts w:ascii="Arial" w:cs="Arial" w:eastAsia="Arial" w:hAnsi="Arial"/>
                <w:sz w:val="15"/>
                <w:szCs w:val="15"/>
                <w:b w:val="1"/>
                <w:bCs w:val="1"/>
                <w:color w:val="auto"/>
                <w:w w:val="92"/>
              </w:rPr>
              <w:t>Shutterstock, Inc.</w:t>
            </w:r>
          </w:p>
        </w:tc>
        <w:tc>
          <w:tcPr>
            <w:tcW w:w="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300" w:type="dxa"/>
            <w:vAlign w:val="bottom"/>
          </w:tcPr>
          <w:p>
            <w:pPr>
              <w:jc w:val="center"/>
              <w:ind w:left="2023"/>
              <w:spacing w:after="0"/>
              <w:rPr>
                <w:sz w:val="20"/>
                <w:szCs w:val="20"/>
                <w:color w:val="auto"/>
              </w:rPr>
            </w:pPr>
            <w:r>
              <w:rPr>
                <w:rFonts w:ascii="Arial" w:cs="Arial" w:eastAsia="Arial" w:hAnsi="Arial"/>
                <w:sz w:val="15"/>
                <w:szCs w:val="15"/>
                <w:b w:val="1"/>
                <w:bCs w:val="1"/>
                <w:color w:val="auto"/>
                <w:w w:val="89"/>
              </w:rPr>
              <w:t>Consolidated Balance Sheets</w:t>
            </w:r>
          </w:p>
        </w:tc>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300" w:type="dxa"/>
            <w:vAlign w:val="bottom"/>
          </w:tcPr>
          <w:p>
            <w:pPr>
              <w:jc w:val="center"/>
              <w:ind w:left="2023"/>
              <w:spacing w:after="0"/>
              <w:rPr>
                <w:sz w:val="20"/>
                <w:szCs w:val="20"/>
                <w:color w:val="auto"/>
              </w:rPr>
            </w:pPr>
            <w:r>
              <w:rPr>
                <w:rFonts w:ascii="Arial" w:cs="Arial" w:eastAsia="Arial" w:hAnsi="Arial"/>
                <w:sz w:val="15"/>
                <w:szCs w:val="15"/>
                <w:b w:val="1"/>
                <w:bCs w:val="1"/>
                <w:color w:val="auto"/>
                <w:w w:val="91"/>
              </w:rPr>
              <w:t>(In thousands, except par value amount)</w:t>
            </w:r>
          </w:p>
        </w:tc>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300" w:type="dxa"/>
            <w:vAlign w:val="bottom"/>
          </w:tcPr>
          <w:p>
            <w:pPr>
              <w:jc w:val="center"/>
              <w:ind w:left="2023"/>
              <w:spacing w:after="0"/>
              <w:rPr>
                <w:sz w:val="20"/>
                <w:szCs w:val="20"/>
                <w:color w:val="auto"/>
              </w:rPr>
            </w:pPr>
            <w:r>
              <w:rPr>
                <w:rFonts w:ascii="Arial" w:cs="Arial" w:eastAsia="Arial" w:hAnsi="Arial"/>
                <w:sz w:val="15"/>
                <w:szCs w:val="15"/>
                <w:b w:val="1"/>
                <w:bCs w:val="1"/>
                <w:color w:val="auto"/>
                <w:w w:val="93"/>
              </w:rPr>
              <w:t>(unaudited)</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60" w:type="dxa"/>
            <w:vAlign w:val="bottom"/>
            <w:gridSpan w:val="2"/>
          </w:tcPr>
          <w:p>
            <w:pPr>
              <w:ind w:left="360"/>
              <w:spacing w:after="0"/>
              <w:rPr>
                <w:sz w:val="20"/>
                <w:szCs w:val="20"/>
                <w:color w:val="auto"/>
              </w:rPr>
            </w:pPr>
            <w:r>
              <w:rPr>
                <w:rFonts w:ascii="Arial" w:cs="Arial" w:eastAsia="Arial" w:hAnsi="Arial"/>
                <w:sz w:val="12"/>
                <w:szCs w:val="12"/>
                <w:b w:val="1"/>
                <w:bCs w:val="1"/>
                <w:color w:val="auto"/>
              </w:rPr>
              <w:t>June 30,</w:t>
            </w:r>
          </w:p>
        </w:tc>
        <w:tc>
          <w:tcPr>
            <w:tcW w:w="380" w:type="dxa"/>
            <w:vAlign w:val="bottom"/>
          </w:tcPr>
          <w:p>
            <w:pPr>
              <w:spacing w:after="0"/>
              <w:rPr>
                <w:sz w:val="16"/>
                <w:szCs w:val="16"/>
                <w:color w:val="auto"/>
              </w:rPr>
            </w:pPr>
          </w:p>
        </w:tc>
        <w:tc>
          <w:tcPr>
            <w:tcW w:w="1340" w:type="dxa"/>
            <w:vAlign w:val="bottom"/>
          </w:tcPr>
          <w:p>
            <w:pPr>
              <w:jc w:val="right"/>
              <w:ind w:right="272"/>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jc w:val="right"/>
              <w:ind w:right="492"/>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ind w:right="492"/>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1"/>
        </w:trPr>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ASSETS</w:t>
            </w:r>
          </w:p>
        </w:tc>
        <w:tc>
          <w:tcPr>
            <w:tcW w:w="8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3"/>
        </w:trPr>
        <w:tc>
          <w:tcPr>
            <w:tcW w:w="54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72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Current assets:</w:t>
            </w:r>
          </w:p>
        </w:tc>
        <w:tc>
          <w:tcPr>
            <w:tcW w:w="4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7380" w:type="dxa"/>
            <w:vAlign w:val="bottom"/>
            <w:gridSpan w:val="3"/>
          </w:tcPr>
          <w:p>
            <w:pPr>
              <w:ind w:left="40"/>
              <w:spacing w:after="0"/>
              <w:rPr>
                <w:sz w:val="20"/>
                <w:szCs w:val="20"/>
                <w:color w:val="auto"/>
              </w:rPr>
            </w:pPr>
            <w:r>
              <w:rPr>
                <w:rFonts w:ascii="Arial" w:cs="Arial" w:eastAsia="Arial" w:hAnsi="Arial"/>
                <w:sz w:val="14"/>
                <w:szCs w:val="14"/>
                <w:color w:val="auto"/>
              </w:rPr>
              <w:t>Cash and cash equivalents</w:t>
            </w:r>
          </w:p>
        </w:tc>
        <w:tc>
          <w:tcPr>
            <w:tcW w:w="46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411,046</w:t>
            </w:r>
          </w:p>
        </w:tc>
        <w:tc>
          <w:tcPr>
            <w:tcW w:w="100" w:type="dxa"/>
            <w:vAlign w:val="bottom"/>
          </w:tcPr>
          <w:p>
            <w:pPr>
              <w:spacing w:after="0"/>
              <w:rPr>
                <w:sz w:val="15"/>
                <w:szCs w:val="15"/>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428,574</w:t>
            </w:r>
          </w:p>
        </w:tc>
        <w:tc>
          <w:tcPr>
            <w:tcW w:w="0" w:type="dxa"/>
            <w:vAlign w:val="bottom"/>
          </w:tcPr>
          <w:p>
            <w:pPr>
              <w:spacing w:after="0"/>
              <w:rPr>
                <w:sz w:val="1"/>
                <w:szCs w:val="1"/>
                <w:color w:val="auto"/>
              </w:rPr>
            </w:pPr>
          </w:p>
        </w:tc>
      </w:tr>
      <w:tr>
        <w:trPr>
          <w:trHeight w:val="187"/>
        </w:trPr>
        <w:tc>
          <w:tcPr>
            <w:tcW w:w="340" w:type="dxa"/>
            <w:vAlign w:val="bottom"/>
            <w:shd w:val="clear" w:color="auto" w:fill="CCEEFF"/>
          </w:tcPr>
          <w:p>
            <w:pPr>
              <w:spacing w:after="0"/>
              <w:rPr>
                <w:sz w:val="16"/>
                <w:szCs w:val="16"/>
                <w:color w:val="auto"/>
              </w:rPr>
            </w:pPr>
          </w:p>
        </w:tc>
        <w:tc>
          <w:tcPr>
            <w:tcW w:w="73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Accounts receivable, net of allowance of $2,425 and $4,942</w:t>
            </w:r>
          </w:p>
        </w:tc>
        <w:tc>
          <w:tcPr>
            <w:tcW w:w="4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49,756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43,846</w:t>
            </w:r>
          </w:p>
        </w:tc>
        <w:tc>
          <w:tcPr>
            <w:tcW w:w="0" w:type="dxa"/>
            <w:vAlign w:val="bottom"/>
          </w:tcPr>
          <w:p>
            <w:pPr>
              <w:spacing w:after="0"/>
              <w:rPr>
                <w:sz w:val="1"/>
                <w:szCs w:val="1"/>
                <w:color w:val="auto"/>
              </w:rPr>
            </w:pPr>
          </w:p>
        </w:tc>
      </w:tr>
      <w:tr>
        <w:trPr>
          <w:trHeight w:val="181"/>
        </w:trPr>
        <w:tc>
          <w:tcPr>
            <w:tcW w:w="340" w:type="dxa"/>
            <w:vAlign w:val="bottom"/>
            <w:tcBorders>
              <w:bottom w:val="single" w:sz="8" w:color="CCEEFF"/>
            </w:tcBorders>
          </w:tcPr>
          <w:p>
            <w:pPr>
              <w:spacing w:after="0"/>
              <w:rPr>
                <w:sz w:val="15"/>
                <w:szCs w:val="15"/>
                <w:color w:val="auto"/>
              </w:rPr>
            </w:pPr>
          </w:p>
        </w:tc>
        <w:tc>
          <w:tcPr>
            <w:tcW w:w="738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23,615</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16,650</w:t>
            </w:r>
          </w:p>
        </w:tc>
        <w:tc>
          <w:tcPr>
            <w:tcW w:w="0" w:type="dxa"/>
            <w:vAlign w:val="bottom"/>
          </w:tcPr>
          <w:p>
            <w:pPr>
              <w:spacing w:after="0"/>
              <w:rPr>
                <w:sz w:val="1"/>
                <w:szCs w:val="1"/>
                <w:color w:val="auto"/>
              </w:rPr>
            </w:pPr>
          </w:p>
        </w:tc>
      </w:tr>
      <w:tr>
        <w:trPr>
          <w:trHeight w:val="178"/>
        </w:trPr>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4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484,417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489,070</w:t>
            </w:r>
          </w:p>
        </w:tc>
        <w:tc>
          <w:tcPr>
            <w:tcW w:w="0" w:type="dxa"/>
            <w:vAlign w:val="bottom"/>
          </w:tcPr>
          <w:p>
            <w:pPr>
              <w:spacing w:after="0"/>
              <w:rPr>
                <w:sz w:val="1"/>
                <w:szCs w:val="1"/>
                <w:color w:val="auto"/>
              </w:rPr>
            </w:pPr>
          </w:p>
        </w:tc>
      </w:tr>
      <w:tr>
        <w:trPr>
          <w:trHeight w:val="181"/>
        </w:trPr>
        <w:tc>
          <w:tcPr>
            <w:tcW w:w="7720" w:type="dxa"/>
            <w:vAlign w:val="bottom"/>
            <w:gridSpan w:val="4"/>
          </w:tcPr>
          <w:p>
            <w:pPr>
              <w:ind w:left="180"/>
              <w:spacing w:after="0"/>
              <w:rPr>
                <w:sz w:val="20"/>
                <w:szCs w:val="20"/>
                <w:color w:val="auto"/>
              </w:rPr>
            </w:pPr>
            <w:r>
              <w:rPr>
                <w:rFonts w:ascii="Arial" w:cs="Arial" w:eastAsia="Arial" w:hAnsi="Arial"/>
                <w:sz w:val="14"/>
                <w:szCs w:val="14"/>
                <w:color w:val="auto"/>
              </w:rPr>
              <w:t>Property and equipment, net</w:t>
            </w:r>
          </w:p>
        </w:tc>
        <w:tc>
          <w:tcPr>
            <w:tcW w:w="4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49,990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50,906</w:t>
            </w:r>
          </w:p>
        </w:tc>
        <w:tc>
          <w:tcPr>
            <w:tcW w:w="0" w:type="dxa"/>
            <w:vAlign w:val="bottom"/>
          </w:tcPr>
          <w:p>
            <w:pPr>
              <w:spacing w:after="0"/>
              <w:rPr>
                <w:sz w:val="1"/>
                <w:szCs w:val="1"/>
                <w:color w:val="auto"/>
              </w:rPr>
            </w:pPr>
          </w:p>
        </w:tc>
      </w:tr>
      <w:tr>
        <w:trPr>
          <w:trHeight w:val="187"/>
        </w:trPr>
        <w:tc>
          <w:tcPr>
            <w:tcW w:w="772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Right-of-use assets</w:t>
            </w:r>
          </w:p>
        </w:tc>
        <w:tc>
          <w:tcPr>
            <w:tcW w:w="4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36,336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39,552</w:t>
            </w:r>
          </w:p>
        </w:tc>
        <w:tc>
          <w:tcPr>
            <w:tcW w:w="0" w:type="dxa"/>
            <w:vAlign w:val="bottom"/>
          </w:tcPr>
          <w:p>
            <w:pPr>
              <w:spacing w:after="0"/>
              <w:rPr>
                <w:sz w:val="1"/>
                <w:szCs w:val="1"/>
                <w:color w:val="auto"/>
              </w:rPr>
            </w:pPr>
          </w:p>
        </w:tc>
      </w:tr>
      <w:tr>
        <w:trPr>
          <w:trHeight w:val="181"/>
        </w:trPr>
        <w:tc>
          <w:tcPr>
            <w:tcW w:w="7720" w:type="dxa"/>
            <w:vAlign w:val="bottom"/>
            <w:gridSpan w:val="4"/>
          </w:tcPr>
          <w:p>
            <w:pPr>
              <w:ind w:left="180"/>
              <w:spacing w:after="0"/>
              <w:rPr>
                <w:sz w:val="20"/>
                <w:szCs w:val="20"/>
                <w:color w:val="auto"/>
              </w:rPr>
            </w:pPr>
            <w:r>
              <w:rPr>
                <w:rFonts w:ascii="Arial" w:cs="Arial" w:eastAsia="Arial" w:hAnsi="Arial"/>
                <w:sz w:val="14"/>
                <w:szCs w:val="14"/>
                <w:color w:val="auto"/>
              </w:rPr>
              <w:t>Intangible assets, net</w:t>
            </w:r>
          </w:p>
        </w:tc>
        <w:tc>
          <w:tcPr>
            <w:tcW w:w="4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46,409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25,765</w:t>
            </w:r>
          </w:p>
        </w:tc>
        <w:tc>
          <w:tcPr>
            <w:tcW w:w="0" w:type="dxa"/>
            <w:vAlign w:val="bottom"/>
          </w:tcPr>
          <w:p>
            <w:pPr>
              <w:spacing w:after="0"/>
              <w:rPr>
                <w:sz w:val="1"/>
                <w:szCs w:val="1"/>
                <w:color w:val="auto"/>
              </w:rPr>
            </w:pPr>
          </w:p>
        </w:tc>
      </w:tr>
      <w:tr>
        <w:trPr>
          <w:trHeight w:val="187"/>
        </w:trPr>
        <w:tc>
          <w:tcPr>
            <w:tcW w:w="772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Goodwill</w:t>
            </w:r>
          </w:p>
        </w:tc>
        <w:tc>
          <w:tcPr>
            <w:tcW w:w="4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149,069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89,413</w:t>
            </w:r>
          </w:p>
        </w:tc>
        <w:tc>
          <w:tcPr>
            <w:tcW w:w="0" w:type="dxa"/>
            <w:vAlign w:val="bottom"/>
          </w:tcPr>
          <w:p>
            <w:pPr>
              <w:spacing w:after="0"/>
              <w:rPr>
                <w:sz w:val="1"/>
                <w:szCs w:val="1"/>
                <w:color w:val="auto"/>
              </w:rPr>
            </w:pPr>
          </w:p>
        </w:tc>
      </w:tr>
      <w:tr>
        <w:trPr>
          <w:trHeight w:val="181"/>
        </w:trPr>
        <w:tc>
          <w:tcPr>
            <w:tcW w:w="7720" w:type="dxa"/>
            <w:vAlign w:val="bottom"/>
            <w:gridSpan w:val="4"/>
          </w:tcPr>
          <w:p>
            <w:pPr>
              <w:ind w:left="180"/>
              <w:spacing w:after="0"/>
              <w:rPr>
                <w:sz w:val="20"/>
                <w:szCs w:val="20"/>
                <w:color w:val="auto"/>
              </w:rPr>
            </w:pPr>
            <w:r>
              <w:rPr>
                <w:rFonts w:ascii="Arial" w:cs="Arial" w:eastAsia="Arial" w:hAnsi="Arial"/>
                <w:sz w:val="14"/>
                <w:szCs w:val="14"/>
                <w:color w:val="auto"/>
              </w:rPr>
              <w:t>Deferred tax assets, net</w:t>
            </w:r>
          </w:p>
        </w:tc>
        <w:tc>
          <w:tcPr>
            <w:tcW w:w="4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7,867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13,566</w:t>
            </w:r>
          </w:p>
        </w:tc>
        <w:tc>
          <w:tcPr>
            <w:tcW w:w="0" w:type="dxa"/>
            <w:vAlign w:val="bottom"/>
          </w:tcPr>
          <w:p>
            <w:pPr>
              <w:spacing w:after="0"/>
              <w:rPr>
                <w:sz w:val="1"/>
                <w:szCs w:val="1"/>
                <w:color w:val="auto"/>
              </w:rPr>
            </w:pPr>
          </w:p>
        </w:tc>
      </w:tr>
      <w:tr>
        <w:trPr>
          <w:trHeight w:val="187"/>
        </w:trPr>
        <w:tc>
          <w:tcPr>
            <w:tcW w:w="772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Other assets</w:t>
            </w:r>
          </w:p>
        </w:tc>
        <w:tc>
          <w:tcPr>
            <w:tcW w:w="4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21,764</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21,372</w:t>
            </w:r>
          </w:p>
        </w:tc>
        <w:tc>
          <w:tcPr>
            <w:tcW w:w="0" w:type="dxa"/>
            <w:vAlign w:val="bottom"/>
          </w:tcPr>
          <w:p>
            <w:pPr>
              <w:spacing w:after="0"/>
              <w:rPr>
                <w:sz w:val="1"/>
                <w:szCs w:val="1"/>
                <w:color w:val="auto"/>
              </w:rPr>
            </w:pPr>
          </w:p>
        </w:tc>
      </w:tr>
      <w:tr>
        <w:trPr>
          <w:trHeight w:val="172"/>
        </w:trPr>
        <w:tc>
          <w:tcPr>
            <w:tcW w:w="7720" w:type="dxa"/>
            <w:vAlign w:val="bottom"/>
            <w:gridSpan w:val="4"/>
          </w:tcPr>
          <w:p>
            <w:pPr>
              <w:spacing w:after="0" w:line="158" w:lineRule="exact"/>
              <w:rPr>
                <w:sz w:val="20"/>
                <w:szCs w:val="20"/>
                <w:color w:val="auto"/>
              </w:rPr>
            </w:pPr>
            <w:r>
              <w:rPr>
                <w:rFonts w:ascii="Arial" w:cs="Arial" w:eastAsia="Arial" w:hAnsi="Arial"/>
                <w:sz w:val="14"/>
                <w:szCs w:val="14"/>
                <w:color w:val="auto"/>
              </w:rPr>
              <w:t>Total assets</w:t>
            </w:r>
          </w:p>
        </w:tc>
        <w:tc>
          <w:tcPr>
            <w:tcW w:w="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795,852</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729,644</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720" w:type="dxa"/>
            <w:vAlign w:val="bottom"/>
            <w:gridSpan w:val="4"/>
            <w:shd w:val="clear" w:color="auto" w:fill="CCEEFF"/>
          </w:tcPr>
          <w:p>
            <w:pPr>
              <w:spacing w:after="0" w:line="150" w:lineRule="exact"/>
              <w:rPr>
                <w:sz w:val="20"/>
                <w:szCs w:val="20"/>
                <w:color w:val="auto"/>
              </w:rPr>
            </w:pPr>
            <w:r>
              <w:rPr>
                <w:rFonts w:ascii="Arial" w:cs="Arial" w:eastAsia="Arial" w:hAnsi="Arial"/>
                <w:sz w:val="14"/>
                <w:szCs w:val="14"/>
                <w:b w:val="1"/>
                <w:bCs w:val="1"/>
                <w:color w:val="auto"/>
              </w:rPr>
              <w:t>LIABILITIES AND STOCKHOLDERS</w:t>
            </w:r>
            <w:r>
              <w:rPr>
                <w:rFonts w:ascii="Arial" w:cs="Arial" w:eastAsia="Arial" w:hAnsi="Arial"/>
                <w:sz w:val="14"/>
                <w:szCs w:val="14"/>
                <w:color w:val="auto"/>
              </w:rPr>
              <w:t>’</w:t>
            </w:r>
            <w:r>
              <w:rPr>
                <w:rFonts w:ascii="Arial" w:cs="Arial" w:eastAsia="Arial" w:hAnsi="Arial"/>
                <w:sz w:val="14"/>
                <w:szCs w:val="14"/>
                <w:b w:val="1"/>
                <w:bCs w:val="1"/>
                <w:color w:val="auto"/>
              </w:rPr>
              <w:t xml:space="preserve"> EQUITY</w:t>
            </w:r>
          </w:p>
        </w:tc>
        <w:tc>
          <w:tcPr>
            <w:tcW w:w="4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720" w:type="dxa"/>
            <w:vAlign w:val="bottom"/>
            <w:gridSpan w:val="4"/>
          </w:tcPr>
          <w:p>
            <w:pPr>
              <w:ind w:left="180"/>
              <w:spacing w:after="0"/>
              <w:rPr>
                <w:sz w:val="20"/>
                <w:szCs w:val="20"/>
                <w:color w:val="auto"/>
              </w:rPr>
            </w:pPr>
            <w:r>
              <w:rPr>
                <w:rFonts w:ascii="Arial" w:cs="Arial" w:eastAsia="Arial" w:hAnsi="Arial"/>
                <w:sz w:val="14"/>
                <w:szCs w:val="14"/>
                <w:color w:val="auto"/>
              </w:rPr>
              <w:t>Current liabilities:</w:t>
            </w:r>
          </w:p>
        </w:tc>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40" w:type="dxa"/>
            <w:vAlign w:val="bottom"/>
            <w:shd w:val="clear" w:color="auto" w:fill="CCEEFF"/>
          </w:tcPr>
          <w:p>
            <w:pPr>
              <w:spacing w:after="0"/>
              <w:rPr>
                <w:sz w:val="16"/>
                <w:szCs w:val="16"/>
                <w:color w:val="auto"/>
              </w:rPr>
            </w:pPr>
          </w:p>
        </w:tc>
        <w:tc>
          <w:tcPr>
            <w:tcW w:w="73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Accounts payable</w:t>
            </w:r>
          </w:p>
        </w:tc>
        <w:tc>
          <w:tcPr>
            <w:tcW w:w="460" w:type="dxa"/>
            <w:vAlign w:val="bottom"/>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w:t>
            </w: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7380" w:type="dxa"/>
            <w:vAlign w:val="bottom"/>
            <w:gridSpan w:val="3"/>
          </w:tcPr>
          <w:p>
            <w:pPr>
              <w:ind w:left="40"/>
              <w:spacing w:after="0"/>
              <w:rPr>
                <w:sz w:val="20"/>
                <w:szCs w:val="20"/>
                <w:color w:val="auto"/>
              </w:rPr>
            </w:pPr>
            <w:r>
              <w:rPr>
                <w:rFonts w:ascii="Arial" w:cs="Arial" w:eastAsia="Arial" w:hAnsi="Arial"/>
                <w:sz w:val="14"/>
                <w:szCs w:val="14"/>
                <w:color w:val="auto"/>
              </w:rPr>
              <w:t>Accrued expenses</w:t>
            </w:r>
          </w:p>
        </w:tc>
        <w:tc>
          <w:tcPr>
            <w:tcW w:w="4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73,889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67,909</w:t>
            </w:r>
          </w:p>
        </w:tc>
        <w:tc>
          <w:tcPr>
            <w:tcW w:w="0" w:type="dxa"/>
            <w:vAlign w:val="bottom"/>
          </w:tcPr>
          <w:p>
            <w:pPr>
              <w:spacing w:after="0"/>
              <w:rPr>
                <w:sz w:val="1"/>
                <w:szCs w:val="1"/>
                <w:color w:val="auto"/>
              </w:rPr>
            </w:pPr>
          </w:p>
        </w:tc>
      </w:tr>
      <w:tr>
        <w:trPr>
          <w:trHeight w:val="187"/>
        </w:trPr>
        <w:tc>
          <w:tcPr>
            <w:tcW w:w="340" w:type="dxa"/>
            <w:vAlign w:val="bottom"/>
            <w:shd w:val="clear" w:color="auto" w:fill="CCEEFF"/>
          </w:tcPr>
          <w:p>
            <w:pPr>
              <w:spacing w:after="0"/>
              <w:rPr>
                <w:sz w:val="16"/>
                <w:szCs w:val="16"/>
                <w:color w:val="auto"/>
              </w:rPr>
            </w:pPr>
          </w:p>
        </w:tc>
        <w:tc>
          <w:tcPr>
            <w:tcW w:w="73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Contributor royalties payable</w:t>
            </w:r>
          </w:p>
        </w:tc>
        <w:tc>
          <w:tcPr>
            <w:tcW w:w="4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30,317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26,336</w:t>
            </w: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7380" w:type="dxa"/>
            <w:vAlign w:val="bottom"/>
            <w:gridSpan w:val="3"/>
          </w:tcPr>
          <w:p>
            <w:pPr>
              <w:ind w:left="40"/>
              <w:spacing w:after="0"/>
              <w:rPr>
                <w:sz w:val="20"/>
                <w:szCs w:val="20"/>
                <w:color w:val="auto"/>
              </w:rPr>
            </w:pPr>
            <w:r>
              <w:rPr>
                <w:rFonts w:ascii="Arial" w:cs="Arial" w:eastAsia="Arial" w:hAnsi="Arial"/>
                <w:sz w:val="14"/>
                <w:szCs w:val="14"/>
                <w:color w:val="auto"/>
              </w:rPr>
              <w:t>Deferred revenue</w:t>
            </w:r>
          </w:p>
        </w:tc>
        <w:tc>
          <w:tcPr>
            <w:tcW w:w="4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161,935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149,843</w:t>
            </w:r>
          </w:p>
        </w:tc>
        <w:tc>
          <w:tcPr>
            <w:tcW w:w="0" w:type="dxa"/>
            <w:vAlign w:val="bottom"/>
          </w:tcPr>
          <w:p>
            <w:pPr>
              <w:spacing w:after="0"/>
              <w:rPr>
                <w:sz w:val="1"/>
                <w:szCs w:val="1"/>
                <w:color w:val="auto"/>
              </w:rPr>
            </w:pPr>
          </w:p>
        </w:tc>
      </w:tr>
      <w:tr>
        <w:trPr>
          <w:trHeight w:val="187"/>
        </w:trPr>
        <w:tc>
          <w:tcPr>
            <w:tcW w:w="340" w:type="dxa"/>
            <w:vAlign w:val="bottom"/>
            <w:shd w:val="clear" w:color="auto" w:fill="CCEEFF"/>
          </w:tcPr>
          <w:p>
            <w:pPr>
              <w:spacing w:after="0"/>
              <w:rPr>
                <w:sz w:val="16"/>
                <w:szCs w:val="16"/>
                <w:color w:val="auto"/>
              </w:rPr>
            </w:pPr>
          </w:p>
        </w:tc>
        <w:tc>
          <w:tcPr>
            <w:tcW w:w="73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current liabilities</w:t>
            </w:r>
          </w:p>
        </w:tc>
        <w:tc>
          <w:tcPr>
            <w:tcW w:w="4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10,993</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10,399</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180" w:type="dxa"/>
            <w:vAlign w:val="bottom"/>
            <w:gridSpan w:val="2"/>
          </w:tcPr>
          <w:p>
            <w:pPr>
              <w:ind w:left="20"/>
              <w:spacing w:after="0" w:line="158" w:lineRule="exact"/>
              <w:rPr>
                <w:sz w:val="20"/>
                <w:szCs w:val="20"/>
                <w:color w:val="auto"/>
              </w:rPr>
            </w:pPr>
            <w:r>
              <w:rPr>
                <w:rFonts w:ascii="Arial" w:cs="Arial" w:eastAsia="Arial" w:hAnsi="Arial"/>
                <w:sz w:val="14"/>
                <w:szCs w:val="14"/>
                <w:color w:val="auto"/>
              </w:rPr>
              <w:t>Total current liabilities</w:t>
            </w:r>
          </w:p>
        </w:tc>
        <w:tc>
          <w:tcPr>
            <w:tcW w:w="4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282,536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256,929</w:t>
            </w:r>
          </w:p>
        </w:tc>
        <w:tc>
          <w:tcPr>
            <w:tcW w:w="0" w:type="dxa"/>
            <w:vAlign w:val="bottom"/>
          </w:tcPr>
          <w:p>
            <w:pPr>
              <w:spacing w:after="0"/>
              <w:rPr>
                <w:sz w:val="1"/>
                <w:szCs w:val="1"/>
                <w:color w:val="auto"/>
              </w:rPr>
            </w:pPr>
          </w:p>
        </w:tc>
      </w:tr>
      <w:tr>
        <w:trPr>
          <w:trHeight w:val="187"/>
        </w:trPr>
        <w:tc>
          <w:tcPr>
            <w:tcW w:w="772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Lease liabilities</w:t>
            </w:r>
          </w:p>
        </w:tc>
        <w:tc>
          <w:tcPr>
            <w:tcW w:w="4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38,678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41,620</w:t>
            </w:r>
          </w:p>
        </w:tc>
        <w:tc>
          <w:tcPr>
            <w:tcW w:w="0" w:type="dxa"/>
            <w:vAlign w:val="bottom"/>
          </w:tcPr>
          <w:p>
            <w:pPr>
              <w:spacing w:after="0"/>
              <w:rPr>
                <w:sz w:val="1"/>
                <w:szCs w:val="1"/>
                <w:color w:val="auto"/>
              </w:rPr>
            </w:pPr>
          </w:p>
        </w:tc>
      </w:tr>
      <w:tr>
        <w:trPr>
          <w:trHeight w:val="181"/>
        </w:trPr>
        <w:tc>
          <w:tcPr>
            <w:tcW w:w="7720" w:type="dxa"/>
            <w:vAlign w:val="bottom"/>
            <w:tcBorders>
              <w:bottom w:val="single" w:sz="8" w:color="CCEEFF"/>
            </w:tcBorders>
            <w:gridSpan w:val="4"/>
          </w:tcPr>
          <w:p>
            <w:pPr>
              <w:ind w:left="180"/>
              <w:spacing w:after="0"/>
              <w:rPr>
                <w:sz w:val="20"/>
                <w:szCs w:val="20"/>
                <w:color w:val="auto"/>
              </w:rPr>
            </w:pPr>
            <w:r>
              <w:rPr>
                <w:rFonts w:ascii="Arial" w:cs="Arial" w:eastAsia="Arial" w:hAnsi="Arial"/>
                <w:sz w:val="14"/>
                <w:szCs w:val="14"/>
                <w:color w:val="auto"/>
              </w:rPr>
              <w:t>Other non-current liabilities</w:t>
            </w: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9,170</w:t>
            </w:r>
          </w:p>
        </w:tc>
        <w:tc>
          <w:tcPr>
            <w:tcW w:w="0" w:type="dxa"/>
            <w:vAlign w:val="bottom"/>
          </w:tcPr>
          <w:p>
            <w:pPr>
              <w:spacing w:after="0"/>
              <w:rPr>
                <w:sz w:val="1"/>
                <w:szCs w:val="1"/>
                <w:color w:val="auto"/>
              </w:rPr>
            </w:pPr>
          </w:p>
        </w:tc>
      </w:tr>
      <w:tr>
        <w:trPr>
          <w:trHeight w:val="178"/>
        </w:trPr>
        <w:tc>
          <w:tcPr>
            <w:tcW w:w="772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4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330,518</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307,719</w:t>
            </w:r>
          </w:p>
        </w:tc>
        <w:tc>
          <w:tcPr>
            <w:tcW w:w="0" w:type="dxa"/>
            <w:vAlign w:val="bottom"/>
          </w:tcPr>
          <w:p>
            <w:pPr>
              <w:spacing w:after="0"/>
              <w:rPr>
                <w:sz w:val="1"/>
                <w:szCs w:val="1"/>
                <w:color w:val="auto"/>
              </w:rPr>
            </w:pPr>
          </w:p>
        </w:tc>
      </w:tr>
      <w:tr>
        <w:trPr>
          <w:trHeight w:val="161"/>
        </w:trPr>
        <w:tc>
          <w:tcPr>
            <w:tcW w:w="7720" w:type="dxa"/>
            <w:vAlign w:val="bottom"/>
            <w:gridSpan w:val="4"/>
          </w:tcPr>
          <w:p>
            <w:pPr>
              <w:ind w:left="180"/>
              <w:spacing w:after="0" w:line="158" w:lineRule="exact"/>
              <w:rPr>
                <w:sz w:val="20"/>
                <w:szCs w:val="20"/>
                <w:color w:val="auto"/>
              </w:rPr>
            </w:pPr>
            <w:r>
              <w:rPr>
                <w:rFonts w:ascii="Arial" w:cs="Arial" w:eastAsia="Arial" w:hAnsi="Arial"/>
                <w:sz w:val="14"/>
                <w:szCs w:val="14"/>
                <w:color w:val="auto"/>
              </w:rPr>
              <w:t>Commitments and contingencies (Note 13)</w:t>
            </w:r>
          </w:p>
        </w:tc>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72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Stockholders’ equity:</w:t>
            </w:r>
          </w:p>
        </w:tc>
        <w:tc>
          <w:tcPr>
            <w:tcW w:w="4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7380" w:type="dxa"/>
            <w:vAlign w:val="bottom"/>
            <w:gridSpan w:val="3"/>
          </w:tcPr>
          <w:p>
            <w:pPr>
              <w:ind w:left="40"/>
              <w:spacing w:after="0" w:line="141" w:lineRule="exact"/>
              <w:rPr>
                <w:sz w:val="20"/>
                <w:szCs w:val="20"/>
                <w:color w:val="auto"/>
              </w:rPr>
            </w:pPr>
            <w:r>
              <w:rPr>
                <w:rFonts w:ascii="Arial" w:cs="Arial" w:eastAsia="Arial" w:hAnsi="Arial"/>
                <w:sz w:val="14"/>
                <w:szCs w:val="14"/>
                <w:color w:val="auto"/>
                <w:w w:val="93"/>
              </w:rPr>
              <w:t>Common stock, $0.01 par value; 200,000 shares authorized; 39,173 and 38,803 shares issued and 36,615 and 36,245 shares</w:t>
            </w:r>
          </w:p>
        </w:tc>
        <w:tc>
          <w:tcPr>
            <w:tcW w:w="46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78"/>
        </w:trPr>
        <w:tc>
          <w:tcPr>
            <w:tcW w:w="340" w:type="dxa"/>
            <w:vAlign w:val="bottom"/>
          </w:tcPr>
          <w:p>
            <w:pPr>
              <w:spacing w:after="0"/>
              <w:rPr>
                <w:sz w:val="15"/>
                <w:szCs w:val="15"/>
                <w:color w:val="auto"/>
              </w:rPr>
            </w:pPr>
          </w:p>
        </w:tc>
        <w:tc>
          <w:tcPr>
            <w:tcW w:w="7380" w:type="dxa"/>
            <w:vAlign w:val="bottom"/>
            <w:gridSpan w:val="3"/>
          </w:tcPr>
          <w:p>
            <w:pPr>
              <w:ind w:left="40"/>
              <w:spacing w:after="0"/>
              <w:rPr>
                <w:sz w:val="20"/>
                <w:szCs w:val="20"/>
                <w:color w:val="auto"/>
              </w:rPr>
            </w:pPr>
            <w:r>
              <w:rPr>
                <w:rFonts w:ascii="Arial" w:cs="Arial" w:eastAsia="Arial" w:hAnsi="Arial"/>
                <w:sz w:val="14"/>
                <w:szCs w:val="14"/>
                <w:color w:val="auto"/>
              </w:rPr>
              <w:t>outstanding as of June 30, 2021 and December 31, 2020, respectively</w:t>
            </w:r>
          </w:p>
        </w:tc>
        <w:tc>
          <w:tcPr>
            <w:tcW w:w="4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40" w:type="dxa"/>
            <w:vAlign w:val="bottom"/>
            <w:shd w:val="clear" w:color="auto" w:fill="CCEEFF"/>
          </w:tcPr>
          <w:p>
            <w:pPr>
              <w:spacing w:after="0"/>
              <w:rPr>
                <w:sz w:val="16"/>
                <w:szCs w:val="16"/>
                <w:color w:val="auto"/>
              </w:rPr>
            </w:pPr>
          </w:p>
        </w:tc>
        <w:tc>
          <w:tcPr>
            <w:tcW w:w="73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Treasury stock, at cost; 2,558 shares as of June 30, 2021 and December 31, 2020</w:t>
            </w:r>
          </w:p>
        </w:tc>
        <w:tc>
          <w:tcPr>
            <w:tcW w:w="4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(100,027)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(100,027)</w:t>
            </w: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7380" w:type="dxa"/>
            <w:vAlign w:val="bottom"/>
            <w:gridSpan w:val="3"/>
          </w:tcPr>
          <w:p>
            <w:pPr>
              <w:ind w:left="40"/>
              <w:spacing w:after="0"/>
              <w:rPr>
                <w:sz w:val="20"/>
                <w:szCs w:val="20"/>
                <w:color w:val="auto"/>
              </w:rPr>
            </w:pPr>
            <w:r>
              <w:rPr>
                <w:rFonts w:ascii="Arial" w:cs="Arial" w:eastAsia="Arial" w:hAnsi="Arial"/>
                <w:sz w:val="14"/>
                <w:szCs w:val="14"/>
                <w:color w:val="auto"/>
              </w:rPr>
              <w:t>Additional paid-in capital</w:t>
            </w:r>
          </w:p>
        </w:tc>
        <w:tc>
          <w:tcPr>
            <w:tcW w:w="4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360,404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360,939</w:t>
            </w:r>
          </w:p>
        </w:tc>
        <w:tc>
          <w:tcPr>
            <w:tcW w:w="0" w:type="dxa"/>
            <w:vAlign w:val="bottom"/>
          </w:tcPr>
          <w:p>
            <w:pPr>
              <w:spacing w:after="0"/>
              <w:rPr>
                <w:sz w:val="1"/>
                <w:szCs w:val="1"/>
                <w:color w:val="auto"/>
              </w:rPr>
            </w:pPr>
          </w:p>
        </w:tc>
      </w:tr>
      <w:tr>
        <w:trPr>
          <w:trHeight w:val="187"/>
        </w:trPr>
        <w:tc>
          <w:tcPr>
            <w:tcW w:w="340" w:type="dxa"/>
            <w:vAlign w:val="bottom"/>
            <w:shd w:val="clear" w:color="auto" w:fill="CCEEFF"/>
          </w:tcPr>
          <w:p>
            <w:pPr>
              <w:spacing w:after="0"/>
              <w:rPr>
                <w:sz w:val="16"/>
                <w:szCs w:val="16"/>
                <w:color w:val="auto"/>
              </w:rPr>
            </w:pPr>
          </w:p>
        </w:tc>
        <w:tc>
          <w:tcPr>
            <w:tcW w:w="73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Accumulated comprehensive loss</w:t>
            </w:r>
          </w:p>
        </w:tc>
        <w:tc>
          <w:tcPr>
            <w:tcW w:w="4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(7,681)</w:t>
            </w:r>
          </w:p>
        </w:tc>
        <w:tc>
          <w:tcPr>
            <w:tcW w:w="0" w:type="dxa"/>
            <w:vAlign w:val="bottom"/>
          </w:tcPr>
          <w:p>
            <w:pPr>
              <w:spacing w:after="0"/>
              <w:rPr>
                <w:sz w:val="1"/>
                <w:szCs w:val="1"/>
                <w:color w:val="auto"/>
              </w:rPr>
            </w:pPr>
          </w:p>
        </w:tc>
      </w:tr>
      <w:tr>
        <w:trPr>
          <w:trHeight w:val="181"/>
        </w:trPr>
        <w:tc>
          <w:tcPr>
            <w:tcW w:w="340" w:type="dxa"/>
            <w:vAlign w:val="bottom"/>
            <w:tcBorders>
              <w:bottom w:val="single" w:sz="8" w:color="CCEEFF"/>
            </w:tcBorders>
          </w:tcPr>
          <w:p>
            <w:pPr>
              <w:spacing w:after="0"/>
              <w:rPr>
                <w:sz w:val="15"/>
                <w:szCs w:val="15"/>
                <w:color w:val="auto"/>
              </w:rPr>
            </w:pPr>
          </w:p>
        </w:tc>
        <w:tc>
          <w:tcPr>
            <w:tcW w:w="738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Retained earnings</w:t>
            </w: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211,956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168,305</w:t>
            </w:r>
          </w:p>
        </w:tc>
        <w:tc>
          <w:tcPr>
            <w:tcW w:w="0" w:type="dxa"/>
            <w:vAlign w:val="bottom"/>
          </w:tcPr>
          <w:p>
            <w:pPr>
              <w:spacing w:after="0"/>
              <w:rPr>
                <w:sz w:val="1"/>
                <w:szCs w:val="1"/>
                <w:color w:val="auto"/>
              </w:rPr>
            </w:pPr>
          </w:p>
        </w:tc>
      </w:tr>
      <w:tr>
        <w:trPr>
          <w:trHeight w:val="178"/>
        </w:trPr>
        <w:tc>
          <w:tcPr>
            <w:tcW w:w="772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Total stockholders’ equity</w:t>
            </w:r>
          </w:p>
        </w:tc>
        <w:tc>
          <w:tcPr>
            <w:tcW w:w="4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465,334</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421,925</w:t>
            </w:r>
          </w:p>
        </w:tc>
        <w:tc>
          <w:tcPr>
            <w:tcW w:w="0" w:type="dxa"/>
            <w:vAlign w:val="bottom"/>
          </w:tcPr>
          <w:p>
            <w:pPr>
              <w:spacing w:after="0"/>
              <w:rPr>
                <w:sz w:val="1"/>
                <w:szCs w:val="1"/>
                <w:color w:val="auto"/>
              </w:rPr>
            </w:pPr>
          </w:p>
        </w:tc>
      </w:tr>
      <w:tr>
        <w:trPr>
          <w:trHeight w:val="172"/>
        </w:trPr>
        <w:tc>
          <w:tcPr>
            <w:tcW w:w="7720" w:type="dxa"/>
            <w:vAlign w:val="bottom"/>
            <w:gridSpan w:val="4"/>
          </w:tcPr>
          <w:p>
            <w:pPr>
              <w:spacing w:after="0" w:line="158" w:lineRule="exact"/>
              <w:rPr>
                <w:sz w:val="20"/>
                <w:szCs w:val="20"/>
                <w:color w:val="auto"/>
              </w:rPr>
            </w:pPr>
            <w:r>
              <w:rPr>
                <w:rFonts w:ascii="Arial" w:cs="Arial" w:eastAsia="Arial" w:hAnsi="Arial"/>
                <w:sz w:val="14"/>
                <w:szCs w:val="14"/>
                <w:color w:val="auto"/>
              </w:rPr>
              <w:t>Total liabilities and stockholders’ equity</w:t>
            </w:r>
          </w:p>
        </w:tc>
        <w:tc>
          <w:tcPr>
            <w:tcW w:w="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795,852</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729,644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Notes to Unaudited Consolidated Financial Statements.</w:t>
      </w:r>
    </w:p>
    <w:p>
      <w:pPr>
        <w:spacing w:after="0" w:line="391"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 w:name="page5"/>
    <w:bookmarkEnd w:id="4"/>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ind w:left="4340"/>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11" w:lineRule="exact"/>
        <w:rPr>
          <w:sz w:val="20"/>
          <w:szCs w:val="20"/>
          <w:color w:val="auto"/>
        </w:rPr>
      </w:pPr>
    </w:p>
    <w:p>
      <w:pPr>
        <w:ind w:left="4300"/>
        <w:spacing w:after="0"/>
        <w:rPr>
          <w:sz w:val="20"/>
          <w:szCs w:val="20"/>
          <w:color w:val="auto"/>
        </w:rPr>
      </w:pPr>
      <w:r>
        <w:rPr>
          <w:rFonts w:ascii="Arial" w:cs="Arial" w:eastAsia="Arial" w:hAnsi="Arial"/>
          <w:sz w:val="15"/>
          <w:szCs w:val="15"/>
          <w:b w:val="1"/>
          <w:bCs w:val="1"/>
          <w:color w:val="auto"/>
        </w:rPr>
        <w:t>(In thousands, except for per share data)</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Six Months Ended</w:t>
            </w:r>
          </w:p>
        </w:tc>
        <w:tc>
          <w:tcPr>
            <w:tcW w:w="620" w:type="dxa"/>
            <w:vAlign w:val="bottom"/>
          </w:tcPr>
          <w:p>
            <w:pPr>
              <w:spacing w:after="0"/>
              <w:rPr>
                <w:sz w:val="12"/>
                <w:szCs w:val="12"/>
                <w:color w:val="auto"/>
              </w:rPr>
            </w:pPr>
          </w:p>
        </w:tc>
      </w:tr>
      <w:tr>
        <w:trPr>
          <w:trHeight w:val="159"/>
        </w:trPr>
        <w:tc>
          <w:tcPr>
            <w:tcW w:w="5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gridSpan w:val="3"/>
          </w:tcPr>
          <w:p>
            <w:pPr>
              <w:jc w:val="right"/>
              <w:ind w:right="431"/>
              <w:spacing w:after="0"/>
              <w:rPr>
                <w:sz w:val="20"/>
                <w:szCs w:val="20"/>
                <w:color w:val="auto"/>
              </w:rPr>
            </w:pPr>
            <w:r>
              <w:rPr>
                <w:rFonts w:ascii="Arial" w:cs="Arial" w:eastAsia="Arial" w:hAnsi="Arial"/>
                <w:sz w:val="12"/>
                <w:szCs w:val="12"/>
                <w:b w:val="1"/>
                <w:bCs w:val="1"/>
                <w:color w:val="auto"/>
              </w:rPr>
              <w:t>June 30,</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87"/>
              </w:rPr>
              <w:t>June 30,</w:t>
            </w:r>
          </w:p>
        </w:tc>
        <w:tc>
          <w:tcPr>
            <w:tcW w:w="620" w:type="dxa"/>
            <w:vAlign w:val="bottom"/>
          </w:tcPr>
          <w:p>
            <w:pPr>
              <w:spacing w:after="0"/>
              <w:rPr>
                <w:sz w:val="13"/>
                <w:szCs w:val="13"/>
                <w:color w:val="auto"/>
              </w:rPr>
            </w:pPr>
          </w:p>
        </w:tc>
      </w:tr>
      <w:tr>
        <w:trPr>
          <w:trHeight w:val="21"/>
        </w:trPr>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54"/>
        </w:trPr>
        <w:tc>
          <w:tcPr>
            <w:tcW w:w="5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ind w:right="252"/>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jc w:val="right"/>
              <w:ind w:right="252"/>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ind w:right="272"/>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right"/>
              <w:ind w:right="272"/>
              <w:spacing w:after="0"/>
              <w:rPr>
                <w:sz w:val="20"/>
                <w:szCs w:val="20"/>
                <w:color w:val="auto"/>
              </w:rPr>
            </w:pPr>
            <w:r>
              <w:rPr>
                <w:rFonts w:ascii="Arial" w:cs="Arial" w:eastAsia="Arial" w:hAnsi="Arial"/>
                <w:sz w:val="12"/>
                <w:szCs w:val="12"/>
                <w:b w:val="1"/>
                <w:bCs w:val="1"/>
                <w:color w:val="auto"/>
                <w:w w:val="97"/>
              </w:rPr>
              <w:t>2020</w:t>
            </w:r>
          </w:p>
        </w:tc>
      </w:tr>
      <w:tr>
        <w:trPr>
          <w:trHeight w:val="21"/>
        </w:trPr>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18"/>
        </w:trPr>
        <w:tc>
          <w:tcPr>
            <w:tcW w:w="5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84"/>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38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189,912</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1"/>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159,230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373,193</w:t>
            </w:r>
          </w:p>
        </w:tc>
        <w:tc>
          <w:tcPr>
            <w:tcW w:w="7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320,515</w:t>
            </w:r>
          </w:p>
        </w:tc>
      </w:tr>
      <w:tr>
        <w:trPr>
          <w:trHeight w:val="172"/>
        </w:trPr>
        <w:tc>
          <w:tcPr>
            <w:tcW w:w="5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4"/>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1"/>
        </w:trPr>
        <w:tc>
          <w:tcPr>
            <w:tcW w:w="5940" w:type="dxa"/>
            <w:vAlign w:val="bottom"/>
          </w:tcPr>
          <w:p>
            <w:pPr>
              <w:ind w:left="120"/>
              <w:spacing w:after="0"/>
              <w:rPr>
                <w:sz w:val="20"/>
                <w:szCs w:val="20"/>
                <w:color w:val="auto"/>
              </w:rPr>
            </w:pPr>
            <w:r>
              <w:rPr>
                <w:rFonts w:ascii="Arial" w:cs="Arial" w:eastAsia="Arial" w:hAnsi="Arial"/>
                <w:sz w:val="14"/>
                <w:szCs w:val="14"/>
                <w:color w:val="auto"/>
              </w:rPr>
              <w:t>Cost of revenue</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67,757</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63,811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129,589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132,934</w:t>
            </w:r>
          </w:p>
        </w:tc>
      </w:tr>
      <w:tr>
        <w:trPr>
          <w:trHeight w:val="187"/>
        </w:trPr>
        <w:tc>
          <w:tcPr>
            <w:tcW w:w="5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Sales and marketing</w:t>
            </w: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45,896</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35,557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87,817</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78,217</w:t>
            </w:r>
          </w:p>
        </w:tc>
      </w:tr>
      <w:tr>
        <w:trPr>
          <w:trHeight w:val="181"/>
        </w:trPr>
        <w:tc>
          <w:tcPr>
            <w:tcW w:w="5940" w:type="dxa"/>
            <w:vAlign w:val="bottom"/>
          </w:tcPr>
          <w:p>
            <w:pPr>
              <w:ind w:left="120"/>
              <w:spacing w:after="0"/>
              <w:rPr>
                <w:sz w:val="20"/>
                <w:szCs w:val="20"/>
                <w:color w:val="auto"/>
              </w:rPr>
            </w:pPr>
            <w:r>
              <w:rPr>
                <w:rFonts w:ascii="Arial" w:cs="Arial" w:eastAsia="Arial" w:hAnsi="Arial"/>
                <w:sz w:val="14"/>
                <w:szCs w:val="14"/>
                <w:color w:val="auto"/>
              </w:rPr>
              <w:t>Product development</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11,993</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12,485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22,724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25,554</w:t>
            </w:r>
          </w:p>
        </w:tc>
      </w:tr>
      <w:tr>
        <w:trPr>
          <w:trHeight w:val="187"/>
        </w:trPr>
        <w:tc>
          <w:tcPr>
            <w:tcW w:w="5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3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31,041</w:t>
            </w: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24,832</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61,720</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55,484</w:t>
            </w:r>
          </w:p>
        </w:tc>
      </w:tr>
      <w:tr>
        <w:trPr>
          <w:trHeight w:val="172"/>
        </w:trPr>
        <w:tc>
          <w:tcPr>
            <w:tcW w:w="5940" w:type="dxa"/>
            <w:vAlign w:val="bottom"/>
            <w:tcBorders>
              <w:bottom w:val="single" w:sz="8" w:color="CCEEFF"/>
            </w:tcBorders>
          </w:tcPr>
          <w:p>
            <w:pPr>
              <w:ind w:left="280"/>
              <w:spacing w:after="0" w:line="158" w:lineRule="exact"/>
              <w:rPr>
                <w:sz w:val="20"/>
                <w:szCs w:val="20"/>
                <w:color w:val="auto"/>
              </w:rPr>
            </w:pPr>
            <w:r>
              <w:rPr>
                <w:rFonts w:ascii="Arial" w:cs="Arial" w:eastAsia="Arial" w:hAnsi="Arial"/>
                <w:sz w:val="14"/>
                <w:szCs w:val="14"/>
                <w:color w:val="auto"/>
              </w:rPr>
              <w:t>Total operating expenses</w:t>
            </w: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156,687</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136,685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301,850</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292,189</w:t>
            </w:r>
          </w:p>
        </w:tc>
      </w:tr>
      <w:tr>
        <w:trPr>
          <w:trHeight w:val="178"/>
        </w:trPr>
        <w:tc>
          <w:tcPr>
            <w:tcW w:w="5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from operations</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33,225</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22,545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71,343</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28,326</w:t>
            </w:r>
          </w:p>
        </w:tc>
      </w:tr>
      <w:tr>
        <w:trPr>
          <w:trHeight w:val="181"/>
        </w:trPr>
        <w:tc>
          <w:tcPr>
            <w:tcW w:w="59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income / (expense), net</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(1,139)</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w:t>
            </w:r>
          </w:p>
        </w:tc>
      </w:tr>
      <w:tr>
        <w:trPr>
          <w:trHeight w:val="178"/>
        </w:trPr>
        <w:tc>
          <w:tcPr>
            <w:tcW w:w="5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Income before income taxes</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34,548</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22,694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70,204</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28,988</w:t>
            </w:r>
          </w:p>
        </w:tc>
      </w:tr>
      <w:tr>
        <w:trPr>
          <w:trHeight w:val="181"/>
        </w:trPr>
        <w:tc>
          <w:tcPr>
            <w:tcW w:w="59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Provision for income taxes</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5,094</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11,236</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5,683</w:t>
            </w:r>
          </w:p>
        </w:tc>
      </w:tr>
      <w:tr>
        <w:trPr>
          <w:trHeight w:val="175"/>
        </w:trPr>
        <w:tc>
          <w:tcPr>
            <w:tcW w:w="5940" w:type="dxa"/>
            <w:vAlign w:val="bottom"/>
            <w:shd w:val="clear" w:color="auto" w:fill="CCEEFF"/>
          </w:tcPr>
          <w:p>
            <w:pPr>
              <w:ind w:left="300"/>
              <w:spacing w:after="0" w:line="155" w:lineRule="exact"/>
              <w:rPr>
                <w:sz w:val="20"/>
                <w:szCs w:val="20"/>
                <w:color w:val="auto"/>
              </w:rPr>
            </w:pPr>
            <w:r>
              <w:rPr>
                <w:rFonts w:ascii="Arial" w:cs="Arial" w:eastAsia="Arial" w:hAnsi="Arial"/>
                <w:sz w:val="14"/>
                <w:szCs w:val="14"/>
                <w:color w:val="auto"/>
              </w:rPr>
              <w:t>Net income</w:t>
            </w:r>
          </w:p>
        </w:tc>
        <w:tc>
          <w:tcPr>
            <w:tcW w:w="380" w:type="dxa"/>
            <w:vAlign w:val="bottom"/>
            <w:shd w:val="clear" w:color="auto" w:fill="CCEEFF"/>
          </w:tcPr>
          <w:p>
            <w:pPr>
              <w:jc w:val="right"/>
              <w:ind w:right="231"/>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29,454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1"/>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18,987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11"/>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58,968</w:t>
            </w:r>
          </w:p>
        </w:tc>
        <w:tc>
          <w:tcPr>
            <w:tcW w:w="740" w:type="dxa"/>
            <w:vAlign w:val="bottom"/>
            <w:gridSpan w:val="2"/>
            <w:shd w:val="clear" w:color="auto" w:fill="CCEEFF"/>
          </w:tcPr>
          <w:p>
            <w:pPr>
              <w:jc w:val="right"/>
              <w:ind w:right="560"/>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23,305</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27"/>
        </w:trPr>
        <w:tc>
          <w:tcPr>
            <w:tcW w:w="5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84"/>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Earnings per share:</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1"/>
        </w:trPr>
        <w:tc>
          <w:tcPr>
            <w:tcW w:w="5940" w:type="dxa"/>
            <w:vAlign w:val="bottom"/>
          </w:tcPr>
          <w:p>
            <w:pPr>
              <w:ind w:left="120"/>
              <w:spacing w:after="0"/>
              <w:rPr>
                <w:sz w:val="20"/>
                <w:szCs w:val="20"/>
                <w:color w:val="auto"/>
              </w:rPr>
            </w:pPr>
            <w:r>
              <w:rPr>
                <w:rFonts w:ascii="Arial" w:cs="Arial" w:eastAsia="Arial" w:hAnsi="Arial"/>
                <w:sz w:val="14"/>
                <w:szCs w:val="14"/>
                <w:color w:val="auto"/>
              </w:rPr>
              <w:t>Basic</w:t>
            </w: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0.81</w:t>
            </w:r>
          </w:p>
        </w:tc>
        <w:tc>
          <w:tcPr>
            <w:tcW w:w="120" w:type="dxa"/>
            <w:vAlign w:val="bottom"/>
          </w:tcPr>
          <w:p>
            <w:pPr>
              <w:spacing w:after="0"/>
              <w:rPr>
                <w:sz w:val="15"/>
                <w:szCs w:val="15"/>
                <w:color w:val="auto"/>
              </w:rPr>
            </w:pPr>
          </w:p>
        </w:tc>
        <w:tc>
          <w:tcPr>
            <w:tcW w:w="660" w:type="dxa"/>
            <w:vAlign w:val="bottom"/>
          </w:tcPr>
          <w:p>
            <w:pPr>
              <w:jc w:val="right"/>
              <w:ind w:right="511"/>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0.53</w:t>
            </w:r>
          </w:p>
        </w:tc>
        <w:tc>
          <w:tcPr>
            <w:tcW w:w="100" w:type="dxa"/>
            <w:vAlign w:val="bottom"/>
          </w:tcPr>
          <w:p>
            <w:pPr>
              <w:spacing w:after="0"/>
              <w:rPr>
                <w:sz w:val="15"/>
                <w:szCs w:val="15"/>
                <w:color w:val="auto"/>
              </w:rPr>
            </w:pPr>
          </w:p>
        </w:tc>
        <w:tc>
          <w:tcPr>
            <w:tcW w:w="3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1.62</w:t>
            </w:r>
          </w:p>
        </w:tc>
        <w:tc>
          <w:tcPr>
            <w:tcW w:w="74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0.65</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594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color w:val="auto"/>
              </w:rPr>
              <w:t>Diluted</w:t>
            </w:r>
          </w:p>
        </w:tc>
        <w:tc>
          <w:tcPr>
            <w:tcW w:w="38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0.79</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11"/>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74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0.65</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30"/>
        </w:trPr>
        <w:tc>
          <w:tcPr>
            <w:tcW w:w="5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84"/>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outstanding:</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1"/>
        </w:trPr>
        <w:tc>
          <w:tcPr>
            <w:tcW w:w="5940" w:type="dxa"/>
            <w:vAlign w:val="bottom"/>
          </w:tcPr>
          <w:p>
            <w:pPr>
              <w:ind w:left="120"/>
              <w:spacing w:after="0"/>
              <w:rPr>
                <w:sz w:val="20"/>
                <w:szCs w:val="20"/>
                <w:color w:val="auto"/>
              </w:rPr>
            </w:pPr>
            <w:r>
              <w:rPr>
                <w:rFonts w:ascii="Arial" w:cs="Arial" w:eastAsia="Arial" w:hAnsi="Arial"/>
                <w:sz w:val="14"/>
                <w:szCs w:val="14"/>
                <w:color w:val="auto"/>
              </w:rPr>
              <w:t>Basic</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36,570</w:t>
            </w: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35,652</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36,453</w:t>
            </w: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35,587</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5"/>
        </w:trPr>
        <w:tc>
          <w:tcPr>
            <w:tcW w:w="5940" w:type="dxa"/>
            <w:vAlign w:val="bottom"/>
            <w:tcBorders>
              <w:bottom w:val="single" w:sz="8" w:color="CCEEFF"/>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Diluted</w:t>
            </w:r>
          </w:p>
        </w:tc>
        <w:tc>
          <w:tcPr>
            <w:tcW w:w="3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37,189</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35,906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37,218</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35,894</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Notes to Unaudited Consolidated Financial Statements.</w:t>
      </w:r>
    </w:p>
    <w:p>
      <w:pPr>
        <w:spacing w:after="0" w:line="391"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 w:name="page6"/>
    <w:bookmarkEnd w:id="5"/>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Comprehensive Income</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gridSpan w:val="5"/>
          </w:tcPr>
          <w:p>
            <w:pPr>
              <w:ind w:left="420"/>
              <w:spacing w:after="0"/>
              <w:rPr>
                <w:sz w:val="20"/>
                <w:szCs w:val="20"/>
                <w:color w:val="auto"/>
              </w:rPr>
            </w:pPr>
            <w:r>
              <w:rPr>
                <w:rFonts w:ascii="Arial" w:cs="Arial" w:eastAsia="Arial" w:hAnsi="Arial"/>
                <w:sz w:val="12"/>
                <w:szCs w:val="12"/>
                <w:b w:val="1"/>
                <w:bCs w:val="1"/>
                <w:color w:val="auto"/>
              </w:rPr>
              <w:t>Three Months Ended</w:t>
            </w:r>
          </w:p>
        </w:tc>
        <w:tc>
          <w:tcPr>
            <w:tcW w:w="360" w:type="dxa"/>
            <w:vAlign w:val="bottom"/>
          </w:tcPr>
          <w:p>
            <w:pPr>
              <w:spacing w:after="0"/>
              <w:rPr>
                <w:sz w:val="12"/>
                <w:szCs w:val="12"/>
                <w:color w:val="auto"/>
              </w:rPr>
            </w:pPr>
          </w:p>
        </w:tc>
        <w:tc>
          <w:tcPr>
            <w:tcW w:w="1940" w:type="dxa"/>
            <w:vAlign w:val="bottom"/>
            <w:gridSpan w:val="5"/>
          </w:tcPr>
          <w:p>
            <w:pPr>
              <w:jc w:val="right"/>
              <w:ind w:right="433"/>
              <w:spacing w:after="0"/>
              <w:rPr>
                <w:sz w:val="20"/>
                <w:szCs w:val="20"/>
                <w:color w:val="auto"/>
              </w:rPr>
            </w:pPr>
            <w:r>
              <w:rPr>
                <w:rFonts w:ascii="Arial" w:cs="Arial" w:eastAsia="Arial" w:hAnsi="Arial"/>
                <w:sz w:val="12"/>
                <w:szCs w:val="12"/>
                <w:b w:val="1"/>
                <w:bCs w:val="1"/>
                <w:color w:val="auto"/>
              </w:rPr>
              <w:t>Six Months Ended</w:t>
            </w:r>
          </w:p>
        </w:tc>
      </w:tr>
      <w:tr>
        <w:trPr>
          <w:trHeight w:val="159"/>
        </w:trPr>
        <w:tc>
          <w:tcPr>
            <w:tcW w:w="6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June 30,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1"/>
              </w:rPr>
              <w:t>June 30,</w:t>
            </w:r>
          </w:p>
        </w:tc>
        <w:tc>
          <w:tcPr>
            <w:tcW w:w="620" w:type="dxa"/>
            <w:vAlign w:val="bottom"/>
          </w:tcPr>
          <w:p>
            <w:pPr>
              <w:spacing w:after="0"/>
              <w:rPr>
                <w:sz w:val="13"/>
                <w:szCs w:val="13"/>
                <w:color w:val="auto"/>
              </w:rPr>
            </w:pPr>
          </w:p>
        </w:tc>
      </w:tr>
      <w:tr>
        <w:trPr>
          <w:trHeight w:val="21"/>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54"/>
        </w:trPr>
        <w:tc>
          <w:tcPr>
            <w:tcW w:w="6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ind w:right="194"/>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jc w:val="right"/>
              <w:ind w:right="193"/>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154"/>
              <w:spacing w:after="0"/>
              <w:rPr>
                <w:sz w:val="20"/>
                <w:szCs w:val="20"/>
                <w:color w:val="auto"/>
              </w:rPr>
            </w:pPr>
            <w:r>
              <w:rPr>
                <w:rFonts w:ascii="Arial" w:cs="Arial" w:eastAsia="Arial" w:hAnsi="Arial"/>
                <w:sz w:val="12"/>
                <w:szCs w:val="12"/>
                <w:b w:val="1"/>
                <w:bCs w:val="1"/>
                <w:color w:val="auto"/>
              </w:rPr>
              <w:t>2021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jc w:val="right"/>
              <w:ind w:right="173"/>
              <w:spacing w:after="0"/>
              <w:rPr>
                <w:sz w:val="20"/>
                <w:szCs w:val="20"/>
                <w:color w:val="auto"/>
              </w:rPr>
            </w:pPr>
            <w:r>
              <w:rPr>
                <w:rFonts w:ascii="Arial" w:cs="Arial" w:eastAsia="Arial" w:hAnsi="Arial"/>
                <w:sz w:val="12"/>
                <w:szCs w:val="12"/>
                <w:b w:val="1"/>
                <w:bCs w:val="1"/>
                <w:color w:val="auto"/>
              </w:rPr>
              <w:t>2020</w:t>
            </w:r>
          </w:p>
        </w:tc>
      </w:tr>
      <w:tr>
        <w:trPr>
          <w:trHeight w:val="21"/>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64"/>
        </w:trPr>
        <w:tc>
          <w:tcPr>
            <w:tcW w:w="6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4"/>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29,454</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18,987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58,968</w:t>
            </w:r>
          </w:p>
        </w:tc>
        <w:tc>
          <w:tcPr>
            <w:tcW w:w="60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23,305</w:t>
            </w:r>
          </w:p>
        </w:tc>
      </w:tr>
      <w:tr>
        <w:trPr>
          <w:trHeight w:val="181"/>
        </w:trPr>
        <w:tc>
          <w:tcPr>
            <w:tcW w:w="65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Foreign currency translation gain / (loss)</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w w:val="90"/>
              </w:rPr>
              <w:t>(2,194)</w:t>
            </w:r>
          </w:p>
        </w:tc>
      </w:tr>
      <w:tr>
        <w:trPr>
          <w:trHeight w:val="178"/>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gain / (loss)</w:t>
            </w:r>
          </w:p>
        </w:tc>
        <w:tc>
          <w:tcPr>
            <w:tcW w:w="3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w w:val="90"/>
              </w:rPr>
              <w:t>(2,194)</w:t>
            </w:r>
          </w:p>
        </w:tc>
      </w:tr>
      <w:tr>
        <w:trPr>
          <w:trHeight w:val="172"/>
        </w:trPr>
        <w:tc>
          <w:tcPr>
            <w:tcW w:w="6560" w:type="dxa"/>
            <w:vAlign w:val="bottom"/>
          </w:tcPr>
          <w:p>
            <w:pPr>
              <w:spacing w:after="0" w:line="158" w:lineRule="exact"/>
              <w:rPr>
                <w:sz w:val="20"/>
                <w:szCs w:val="20"/>
                <w:color w:val="auto"/>
              </w:rPr>
            </w:pPr>
            <w:r>
              <w:rPr>
                <w:rFonts w:ascii="Arial" w:cs="Arial" w:eastAsia="Arial" w:hAnsi="Arial"/>
                <w:sz w:val="14"/>
                <w:szCs w:val="14"/>
                <w:color w:val="auto"/>
              </w:rPr>
              <w:t>Comprehensive income</w:t>
            </w: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29,518</w:t>
            </w:r>
          </w:p>
        </w:tc>
        <w:tc>
          <w:tcPr>
            <w:tcW w:w="5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19,241</w:t>
            </w:r>
          </w:p>
        </w:tc>
        <w:tc>
          <w:tcPr>
            <w:tcW w:w="100" w:type="dxa"/>
            <w:vAlign w:val="bottom"/>
          </w:tcPr>
          <w:p>
            <w:pPr>
              <w:spacing w:after="0"/>
              <w:rPr>
                <w:sz w:val="14"/>
                <w:szCs w:val="14"/>
                <w:color w:val="auto"/>
              </w:rPr>
            </w:pP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59,258</w:t>
            </w:r>
          </w:p>
        </w:tc>
        <w:tc>
          <w:tcPr>
            <w:tcW w:w="60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620" w:type="dxa"/>
            <w:vAlign w:val="bottom"/>
          </w:tcPr>
          <w:p>
            <w:pPr>
              <w:ind w:left="180"/>
              <w:spacing w:after="0"/>
              <w:rPr>
                <w:sz w:val="20"/>
                <w:szCs w:val="20"/>
                <w:color w:val="auto"/>
              </w:rPr>
            </w:pPr>
            <w:r>
              <w:rPr>
                <w:rFonts w:ascii="Arial" w:cs="Arial" w:eastAsia="Arial" w:hAnsi="Arial"/>
                <w:sz w:val="14"/>
                <w:szCs w:val="14"/>
                <w:color w:val="auto"/>
                <w:w w:val="97"/>
              </w:rPr>
              <w:t>21,111</w:t>
            </w:r>
          </w:p>
        </w:tc>
      </w:tr>
      <w:tr>
        <w:trPr>
          <w:trHeight w:val="20"/>
        </w:trPr>
        <w:tc>
          <w:tcPr>
            <w:tcW w:w="6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Notes to Unaudited Consolidated Financial Statements.</w:t>
      </w:r>
    </w:p>
    <w:p>
      <w:pPr>
        <w:spacing w:after="0" w:line="391"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 w:name="page7"/>
    <w:bookmarkEnd w:id="6"/>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Stockholders’ Equity</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1"/>
              </w:rPr>
              <w:t>Accumulated</w:t>
            </w: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3860" w:type="dxa"/>
            <w:vAlign w:val="bottom"/>
          </w:tcPr>
          <w:p>
            <w:pPr>
              <w:spacing w:after="0"/>
              <w:rPr>
                <w:sz w:val="8"/>
                <w:szCs w:val="8"/>
                <w:color w:val="auto"/>
              </w:rPr>
            </w:pPr>
          </w:p>
        </w:tc>
        <w:tc>
          <w:tcPr>
            <w:tcW w:w="1640" w:type="dxa"/>
            <w:vAlign w:val="bottom"/>
            <w:gridSpan w:val="5"/>
          </w:tcPr>
          <w:p>
            <w:pPr>
              <w:ind w:left="460"/>
              <w:spacing w:after="0"/>
              <w:rPr>
                <w:sz w:val="20"/>
                <w:szCs w:val="20"/>
                <w:color w:val="auto"/>
              </w:rPr>
            </w:pPr>
            <w:r>
              <w:rPr>
                <w:rFonts w:ascii="Arial" w:cs="Arial" w:eastAsia="Arial" w:hAnsi="Arial"/>
                <w:sz w:val="9"/>
                <w:szCs w:val="9"/>
                <w:b w:val="1"/>
                <w:bCs w:val="1"/>
                <w:color w:val="auto"/>
              </w:rPr>
              <w:t>Common Stock</w:t>
            </w:r>
          </w:p>
        </w:tc>
        <w:tc>
          <w:tcPr>
            <w:tcW w:w="1780" w:type="dxa"/>
            <w:vAlign w:val="bottom"/>
            <w:gridSpan w:val="5"/>
          </w:tcPr>
          <w:p>
            <w:pPr>
              <w:jc w:val="center"/>
              <w:ind w:right="100"/>
              <w:spacing w:after="0"/>
              <w:rPr>
                <w:sz w:val="20"/>
                <w:szCs w:val="20"/>
                <w:color w:val="auto"/>
              </w:rPr>
            </w:pPr>
            <w:r>
              <w:rPr>
                <w:rFonts w:ascii="Arial" w:cs="Arial" w:eastAsia="Arial" w:hAnsi="Arial"/>
                <w:sz w:val="9"/>
                <w:szCs w:val="9"/>
                <w:b w:val="1"/>
                <w:bCs w:val="1"/>
                <w:color w:val="auto"/>
                <w:w w:val="92"/>
              </w:rPr>
              <w:t>Treasury Stock</w:t>
            </w:r>
          </w:p>
        </w:tc>
        <w:tc>
          <w:tcPr>
            <w:tcW w:w="160" w:type="dxa"/>
            <w:vAlign w:val="bottom"/>
          </w:tcPr>
          <w:p>
            <w:pPr>
              <w:spacing w:after="0"/>
              <w:rPr>
                <w:sz w:val="8"/>
                <w:szCs w:val="8"/>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5"/>
              </w:rPr>
              <w:t>Additional</w:t>
            </w:r>
          </w:p>
        </w:tc>
        <w:tc>
          <w:tcPr>
            <w:tcW w:w="140" w:type="dxa"/>
            <w:vAlign w:val="bottom"/>
          </w:tcPr>
          <w:p>
            <w:pPr>
              <w:spacing w:after="0"/>
              <w:rPr>
                <w:sz w:val="8"/>
                <w:szCs w:val="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9"/>
              </w:rPr>
              <w:t>Other</w:t>
            </w: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860" w:type="dxa"/>
            <w:vAlign w:val="bottom"/>
            <w:vMerge w:val="restart"/>
          </w:tcPr>
          <w:p>
            <w:pPr>
              <w:spacing w:after="0"/>
              <w:rPr>
                <w:sz w:val="20"/>
                <w:szCs w:val="20"/>
                <w:color w:val="auto"/>
              </w:rPr>
            </w:pPr>
            <w:r>
              <w:rPr>
                <w:rFonts w:ascii="Arial" w:cs="Arial" w:eastAsia="Arial" w:hAnsi="Arial"/>
                <w:sz w:val="12"/>
                <w:szCs w:val="12"/>
                <w:b w:val="1"/>
                <w:bCs w:val="1"/>
                <w:color w:val="auto"/>
              </w:rPr>
              <w:t>Three Months Ended June 30, 2021</w:t>
            </w: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gridSpan w:val="2"/>
          </w:tcPr>
          <w:p>
            <w:pPr>
              <w:jc w:val="center"/>
              <w:ind w:right="260"/>
              <w:spacing w:after="0" w:line="46" w:lineRule="exact"/>
              <w:rPr>
                <w:sz w:val="20"/>
                <w:szCs w:val="20"/>
                <w:color w:val="auto"/>
              </w:rPr>
            </w:pPr>
            <w:r>
              <w:rPr>
                <w:rFonts w:ascii="Arial" w:cs="Arial" w:eastAsia="Arial" w:hAnsi="Arial"/>
                <w:sz w:val="5"/>
                <w:szCs w:val="5"/>
                <w:b w:val="1"/>
                <w:bCs w:val="1"/>
                <w:color w:val="auto"/>
              </w:rPr>
              <w:t>Paid-in</w:t>
            </w:r>
          </w:p>
        </w:tc>
        <w:tc>
          <w:tcPr>
            <w:tcW w:w="140" w:type="dxa"/>
            <w:vAlign w:val="bottom"/>
          </w:tcPr>
          <w:p>
            <w:pPr>
              <w:spacing w:after="0"/>
              <w:rPr>
                <w:sz w:val="3"/>
                <w:szCs w:val="3"/>
                <w:color w:val="auto"/>
              </w:rPr>
            </w:pPr>
          </w:p>
        </w:tc>
        <w:tc>
          <w:tcPr>
            <w:tcW w:w="1000" w:type="dxa"/>
            <w:vAlign w:val="bottom"/>
            <w:gridSpan w:val="2"/>
          </w:tcPr>
          <w:p>
            <w:pPr>
              <w:jc w:val="center"/>
              <w:ind w:right="240"/>
              <w:spacing w:after="0" w:line="46" w:lineRule="exact"/>
              <w:rPr>
                <w:sz w:val="20"/>
                <w:szCs w:val="20"/>
                <w:color w:val="auto"/>
              </w:rPr>
            </w:pPr>
            <w:r>
              <w:rPr>
                <w:rFonts w:ascii="Arial" w:cs="Arial" w:eastAsia="Arial" w:hAnsi="Arial"/>
                <w:sz w:val="5"/>
                <w:szCs w:val="5"/>
                <w:b w:val="1"/>
                <w:bCs w:val="1"/>
                <w:color w:val="auto"/>
              </w:rPr>
              <w:t>Comprehensive</w:t>
            </w:r>
          </w:p>
        </w:tc>
        <w:tc>
          <w:tcPr>
            <w:tcW w:w="180" w:type="dxa"/>
            <w:vAlign w:val="bottom"/>
          </w:tcPr>
          <w:p>
            <w:pPr>
              <w:spacing w:after="0"/>
              <w:rPr>
                <w:sz w:val="3"/>
                <w:szCs w:val="3"/>
                <w:color w:val="auto"/>
              </w:rPr>
            </w:pPr>
          </w:p>
        </w:tc>
        <w:tc>
          <w:tcPr>
            <w:tcW w:w="800" w:type="dxa"/>
            <w:vAlign w:val="bottom"/>
            <w:gridSpan w:val="2"/>
          </w:tcPr>
          <w:p>
            <w:pPr>
              <w:ind w:left="80"/>
              <w:spacing w:after="0" w:line="46" w:lineRule="exact"/>
              <w:rPr>
                <w:sz w:val="20"/>
                <w:szCs w:val="20"/>
                <w:color w:val="auto"/>
              </w:rPr>
            </w:pPr>
            <w:r>
              <w:rPr>
                <w:rFonts w:ascii="Arial" w:cs="Arial" w:eastAsia="Arial" w:hAnsi="Arial"/>
                <w:sz w:val="5"/>
                <w:szCs w:val="5"/>
                <w:b w:val="1"/>
                <w:bCs w:val="1"/>
                <w:color w:val="auto"/>
              </w:rPr>
              <w:t>Retained</w:t>
            </w: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3860" w:type="dxa"/>
            <w:vAlign w:val="bottom"/>
            <w:vMerge w:val="continue"/>
          </w:tcPr>
          <w:p>
            <w:pPr>
              <w:spacing w:after="0"/>
              <w:rPr>
                <w:sz w:val="12"/>
                <w:szCs w:val="12"/>
                <w:color w:val="auto"/>
              </w:rPr>
            </w:pPr>
          </w:p>
        </w:tc>
        <w:tc>
          <w:tcPr>
            <w:tcW w:w="800" w:type="dxa"/>
            <w:vAlign w:val="bottom"/>
            <w:gridSpan w:val="2"/>
          </w:tcPr>
          <w:p>
            <w:pPr>
              <w:ind w:left="2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2"/>
                <w:szCs w:val="12"/>
                <w:color w:val="auto"/>
              </w:rPr>
            </w:pPr>
          </w:p>
        </w:tc>
        <w:tc>
          <w:tcPr>
            <w:tcW w:w="700" w:type="dxa"/>
            <w:vAlign w:val="bottom"/>
            <w:gridSpan w:val="2"/>
          </w:tcPr>
          <w:p>
            <w:pPr>
              <w:ind w:left="80"/>
              <w:spacing w:after="0"/>
              <w:rPr>
                <w:sz w:val="20"/>
                <w:szCs w:val="20"/>
                <w:color w:val="auto"/>
              </w:rPr>
            </w:pPr>
            <w:r>
              <w:rPr>
                <w:rFonts w:ascii="Arial" w:cs="Arial" w:eastAsia="Arial" w:hAnsi="Arial"/>
                <w:sz w:val="9"/>
                <w:szCs w:val="9"/>
                <w:b w:val="1"/>
                <w:bCs w:val="1"/>
                <w:color w:val="auto"/>
              </w:rPr>
              <w:t>Amount</w:t>
            </w:r>
          </w:p>
        </w:tc>
        <w:tc>
          <w:tcPr>
            <w:tcW w:w="800" w:type="dxa"/>
            <w:vAlign w:val="bottom"/>
            <w:gridSpan w:val="2"/>
          </w:tcPr>
          <w:p>
            <w:pPr>
              <w:ind w:left="220"/>
              <w:spacing w:after="0"/>
              <w:rPr>
                <w:sz w:val="20"/>
                <w:szCs w:val="20"/>
                <w:color w:val="auto"/>
              </w:rPr>
            </w:pPr>
            <w:r>
              <w:rPr>
                <w:rFonts w:ascii="Arial" w:cs="Arial" w:eastAsia="Arial" w:hAnsi="Arial"/>
                <w:sz w:val="9"/>
                <w:szCs w:val="9"/>
                <w:b w:val="1"/>
                <w:bCs w:val="1"/>
                <w:color w:val="auto"/>
              </w:rPr>
              <w:t>Shares</w:t>
            </w:r>
          </w:p>
        </w:tc>
        <w:tc>
          <w:tcPr>
            <w:tcW w:w="180" w:type="dxa"/>
            <w:vAlign w:val="bottom"/>
          </w:tcPr>
          <w:p>
            <w:pPr>
              <w:spacing w:after="0"/>
              <w:rPr>
                <w:sz w:val="12"/>
                <w:szCs w:val="12"/>
                <w:color w:val="auto"/>
              </w:rPr>
            </w:pP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w:t>
            </w:r>
          </w:p>
        </w:tc>
        <w:tc>
          <w:tcPr>
            <w:tcW w:w="16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3"/>
              </w:rPr>
              <w:t>Capital</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0"/>
              </w:rPr>
              <w:t>Income / (Loss)</w:t>
            </w:r>
          </w:p>
        </w:tc>
        <w:tc>
          <w:tcPr>
            <w:tcW w:w="18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9"/>
                <w:szCs w:val="9"/>
                <w:b w:val="1"/>
                <w:bCs w:val="1"/>
                <w:color w:val="auto"/>
              </w:rPr>
              <w:t>Earnings</w:t>
            </w:r>
          </w:p>
        </w:tc>
        <w:tc>
          <w:tcPr>
            <w:tcW w:w="200" w:type="dxa"/>
            <w:vAlign w:val="bottom"/>
          </w:tcPr>
          <w:p>
            <w:pPr>
              <w:spacing w:after="0"/>
              <w:rPr>
                <w:sz w:val="12"/>
                <w:szCs w:val="12"/>
                <w:color w:val="auto"/>
              </w:rPr>
            </w:pPr>
          </w:p>
        </w:tc>
        <w:tc>
          <w:tcPr>
            <w:tcW w:w="680" w:type="dxa"/>
            <w:vAlign w:val="bottom"/>
          </w:tcPr>
          <w:p>
            <w:pPr>
              <w:jc w:val="right"/>
              <w:ind w:right="279"/>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57"/>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March 31, 2021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39,010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391</w:t>
            </w: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2,558</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center"/>
              <w:ind w:right="1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w w:val="93"/>
              </w:rPr>
              <w:t>(100,027)</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357,422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(7,455)</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190,173</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440,504</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Equity-based compensation</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9,686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9,686</w:t>
            </w:r>
          </w:p>
        </w:tc>
        <w:tc>
          <w:tcPr>
            <w:tcW w:w="0" w:type="dxa"/>
            <w:vAlign w:val="bottom"/>
          </w:tcPr>
          <w:p>
            <w:pPr>
              <w:spacing w:after="0"/>
              <w:rPr>
                <w:sz w:val="1"/>
                <w:szCs w:val="1"/>
                <w:color w:val="auto"/>
              </w:rPr>
            </w:pPr>
          </w:p>
        </w:tc>
      </w:tr>
      <w:tr>
        <w:trPr>
          <w:trHeight w:val="118"/>
        </w:trPr>
        <w:tc>
          <w:tcPr>
            <w:tcW w:w="3860" w:type="dxa"/>
            <w:vAlign w:val="bottom"/>
            <w:shd w:val="clear" w:color="auto" w:fill="CCEEFF"/>
          </w:tcPr>
          <w:p>
            <w:pPr>
              <w:ind w:left="120"/>
              <w:spacing w:after="0" w:line="118" w:lineRule="exact"/>
              <w:rPr>
                <w:sz w:val="20"/>
                <w:szCs w:val="20"/>
                <w:color w:val="auto"/>
              </w:rPr>
            </w:pPr>
            <w:r>
              <w:rPr>
                <w:rFonts w:ascii="Arial" w:cs="Arial" w:eastAsia="Arial" w:hAnsi="Arial"/>
                <w:sz w:val="12"/>
                <w:szCs w:val="12"/>
                <w:color w:val="auto"/>
              </w:rPr>
              <w:t>Issuance of common stock in connection with employee stock option</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244</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490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492</w:t>
            </w:r>
          </w:p>
        </w:tc>
        <w:tc>
          <w:tcPr>
            <w:tcW w:w="0" w:type="dxa"/>
            <w:vAlign w:val="bottom"/>
          </w:tcPr>
          <w:p>
            <w:pPr>
              <w:spacing w:after="0"/>
              <w:rPr>
                <w:sz w:val="1"/>
                <w:szCs w:val="1"/>
                <w:color w:val="auto"/>
              </w:rPr>
            </w:pPr>
          </w:p>
        </w:tc>
      </w:tr>
      <w:tr>
        <w:trPr>
          <w:trHeight w:val="161"/>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exercises and RSU vesting</w:t>
            </w: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860" w:type="dxa"/>
            <w:vAlign w:val="bottom"/>
          </w:tcPr>
          <w:p>
            <w:pPr>
              <w:ind w:left="120"/>
              <w:spacing w:after="0" w:line="115" w:lineRule="exact"/>
              <w:rPr>
                <w:sz w:val="20"/>
                <w:szCs w:val="20"/>
                <w:color w:val="auto"/>
              </w:rPr>
            </w:pPr>
            <w:r>
              <w:rPr>
                <w:rFonts w:ascii="Arial" w:cs="Arial" w:eastAsia="Arial" w:hAnsi="Arial"/>
                <w:sz w:val="12"/>
                <w:szCs w:val="12"/>
                <w:color w:val="auto"/>
                <w:w w:val="94"/>
              </w:rPr>
              <w:t>Common shares withheld for settlement of taxes in connection with equity-</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(81)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(7,194)</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(7,195)</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based compensation</w:t>
            </w: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 paid</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(7,671)</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Other comprehensive income</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64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161"/>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29,454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29,454</w:t>
            </w:r>
          </w:p>
        </w:tc>
        <w:tc>
          <w:tcPr>
            <w:tcW w:w="0" w:type="dxa"/>
            <w:vAlign w:val="bottom"/>
          </w:tcPr>
          <w:p>
            <w:pPr>
              <w:spacing w:after="0"/>
              <w:rPr>
                <w:sz w:val="1"/>
                <w:szCs w:val="1"/>
                <w:color w:val="auto"/>
              </w:rPr>
            </w:pPr>
          </w:p>
        </w:tc>
      </w:tr>
      <w:tr>
        <w:trPr>
          <w:trHeight w:val="155"/>
        </w:trPr>
        <w:tc>
          <w:tcPr>
            <w:tcW w:w="3860" w:type="dxa"/>
            <w:vAlign w:val="bottom"/>
          </w:tcPr>
          <w:p>
            <w:pPr>
              <w:spacing w:after="0"/>
              <w:rPr>
                <w:sz w:val="20"/>
                <w:szCs w:val="20"/>
                <w:color w:val="auto"/>
              </w:rPr>
            </w:pPr>
            <w:r>
              <w:rPr>
                <w:rFonts w:ascii="Arial" w:cs="Arial" w:eastAsia="Arial" w:hAnsi="Arial"/>
                <w:sz w:val="12"/>
                <w:szCs w:val="12"/>
                <w:color w:val="auto"/>
              </w:rPr>
              <w:t>Balance at June 30, 2021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39,173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392</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2,558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2"/>
                <w:szCs w:val="12"/>
                <w:color w:val="auto"/>
                <w:w w:val="93"/>
              </w:rPr>
              <w:t>(100,027)</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360,404</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(7,391)</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211,956</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465,334</w:t>
            </w:r>
          </w:p>
        </w:tc>
        <w:tc>
          <w:tcPr>
            <w:tcW w:w="0" w:type="dxa"/>
            <w:vAlign w:val="bottom"/>
          </w:tcPr>
          <w:p>
            <w:pPr>
              <w:spacing w:after="0"/>
              <w:rPr>
                <w:sz w:val="1"/>
                <w:szCs w:val="1"/>
                <w:color w:val="auto"/>
              </w:rPr>
            </w:pPr>
          </w:p>
        </w:tc>
      </w:tr>
      <w:tr>
        <w:trPr>
          <w:trHeight w:val="80"/>
        </w:trPr>
        <w:tc>
          <w:tcPr>
            <w:tcW w:w="386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86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Three Months Ended June 30, 2020</w:t>
            </w:r>
          </w:p>
        </w:tc>
        <w:tc>
          <w:tcPr>
            <w:tcW w:w="7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spacing w:after="0"/>
              <w:rPr>
                <w:sz w:val="20"/>
                <w:szCs w:val="20"/>
                <w:color w:val="auto"/>
              </w:rPr>
            </w:pPr>
            <w:r>
              <w:rPr>
                <w:rFonts w:ascii="Arial" w:cs="Arial" w:eastAsia="Arial" w:hAnsi="Arial"/>
                <w:sz w:val="12"/>
                <w:szCs w:val="12"/>
                <w:color w:val="auto"/>
              </w:rPr>
              <w:t>Balance at March 31, 2020</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38,119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center"/>
              <w:ind w:right="19"/>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ind w:left="200"/>
              <w:spacing w:after="0"/>
              <w:rPr>
                <w:sz w:val="20"/>
                <w:szCs w:val="20"/>
                <w:color w:val="auto"/>
              </w:rPr>
            </w:pPr>
            <w:r>
              <w:rPr>
                <w:rFonts w:ascii="Arial" w:cs="Arial" w:eastAsia="Arial" w:hAnsi="Arial"/>
                <w:sz w:val="12"/>
                <w:szCs w:val="12"/>
                <w:color w:val="auto"/>
                <w:w w:val="93"/>
              </w:rPr>
              <w:t>(100,027)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316,823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(8,668)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119,218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327,727</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Equity-based compensation</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3,636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3,636</w:t>
            </w:r>
          </w:p>
        </w:tc>
        <w:tc>
          <w:tcPr>
            <w:tcW w:w="0" w:type="dxa"/>
            <w:vAlign w:val="bottom"/>
          </w:tcPr>
          <w:p>
            <w:pPr>
              <w:spacing w:after="0"/>
              <w:rPr>
                <w:sz w:val="1"/>
                <w:szCs w:val="1"/>
                <w:color w:val="auto"/>
              </w:rPr>
            </w:pPr>
          </w:p>
        </w:tc>
      </w:tr>
      <w:tr>
        <w:trPr>
          <w:trHeight w:val="118"/>
        </w:trPr>
        <w:tc>
          <w:tcPr>
            <w:tcW w:w="3860" w:type="dxa"/>
            <w:vAlign w:val="bottom"/>
            <w:shd w:val="clear" w:color="auto" w:fill="CCEEFF"/>
          </w:tcPr>
          <w:p>
            <w:pPr>
              <w:ind w:left="120"/>
              <w:spacing w:after="0" w:line="118" w:lineRule="exact"/>
              <w:rPr>
                <w:sz w:val="20"/>
                <w:szCs w:val="20"/>
                <w:color w:val="auto"/>
              </w:rPr>
            </w:pPr>
            <w:r>
              <w:rPr>
                <w:rFonts w:ascii="Arial" w:cs="Arial" w:eastAsia="Arial" w:hAnsi="Arial"/>
                <w:sz w:val="12"/>
                <w:szCs w:val="12"/>
                <w:color w:val="auto"/>
              </w:rPr>
              <w:t>Issuance of common stock in connection with employee stock option</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627</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629</w:t>
            </w:r>
          </w:p>
        </w:tc>
        <w:tc>
          <w:tcPr>
            <w:tcW w:w="0" w:type="dxa"/>
            <w:vAlign w:val="bottom"/>
          </w:tcPr>
          <w:p>
            <w:pPr>
              <w:spacing w:after="0"/>
              <w:rPr>
                <w:sz w:val="1"/>
                <w:szCs w:val="1"/>
                <w:color w:val="auto"/>
              </w:rPr>
            </w:pPr>
          </w:p>
        </w:tc>
      </w:tr>
      <w:tr>
        <w:trPr>
          <w:trHeight w:val="161"/>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exercises and RSU vesting</w:t>
            </w: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860" w:type="dxa"/>
            <w:vAlign w:val="bottom"/>
          </w:tcPr>
          <w:p>
            <w:pPr>
              <w:ind w:left="120"/>
              <w:spacing w:after="0" w:line="115" w:lineRule="exact"/>
              <w:rPr>
                <w:sz w:val="20"/>
                <w:szCs w:val="20"/>
                <w:color w:val="auto"/>
              </w:rPr>
            </w:pPr>
            <w:r>
              <w:rPr>
                <w:rFonts w:ascii="Arial" w:cs="Arial" w:eastAsia="Arial" w:hAnsi="Arial"/>
                <w:sz w:val="12"/>
                <w:szCs w:val="12"/>
                <w:color w:val="auto"/>
                <w:w w:val="94"/>
              </w:rPr>
              <w:t>Common shares withheld for settlement of taxes in connection with equity-</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(1,674)</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(1,675)</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based compensation</w:t>
            </w: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 paid</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(6,058)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(6,058)</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Other comprehensive loss</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254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254</w:t>
            </w:r>
          </w:p>
        </w:tc>
        <w:tc>
          <w:tcPr>
            <w:tcW w:w="0" w:type="dxa"/>
            <w:vAlign w:val="bottom"/>
          </w:tcPr>
          <w:p>
            <w:pPr>
              <w:spacing w:after="0"/>
              <w:rPr>
                <w:sz w:val="1"/>
                <w:szCs w:val="1"/>
                <w:color w:val="auto"/>
              </w:rPr>
            </w:pPr>
          </w:p>
        </w:tc>
      </w:tr>
      <w:tr>
        <w:trPr>
          <w:trHeight w:val="161"/>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18,987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18,987</w:t>
            </w:r>
          </w:p>
        </w:tc>
        <w:tc>
          <w:tcPr>
            <w:tcW w:w="0" w:type="dxa"/>
            <w:vAlign w:val="bottom"/>
          </w:tcPr>
          <w:p>
            <w:pPr>
              <w:spacing w:after="0"/>
              <w:rPr>
                <w:sz w:val="1"/>
                <w:szCs w:val="1"/>
                <w:color w:val="auto"/>
              </w:rPr>
            </w:pPr>
          </w:p>
        </w:tc>
      </w:tr>
      <w:tr>
        <w:trPr>
          <w:trHeight w:val="155"/>
        </w:trPr>
        <w:tc>
          <w:tcPr>
            <w:tcW w:w="3860" w:type="dxa"/>
            <w:vAlign w:val="bottom"/>
          </w:tcPr>
          <w:p>
            <w:pPr>
              <w:spacing w:after="0"/>
              <w:rPr>
                <w:sz w:val="20"/>
                <w:szCs w:val="20"/>
                <w:color w:val="auto"/>
              </w:rPr>
            </w:pPr>
            <w:r>
              <w:rPr>
                <w:rFonts w:ascii="Arial" w:cs="Arial" w:eastAsia="Arial" w:hAnsi="Arial"/>
                <w:sz w:val="12"/>
                <w:szCs w:val="12"/>
                <w:color w:val="auto"/>
              </w:rPr>
              <w:t>Balance at June 30, 2020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38,245</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382</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2,558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2"/>
                <w:szCs w:val="12"/>
                <w:color w:val="auto"/>
                <w:w w:val="93"/>
              </w:rPr>
              <w:t>(100,027)</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319,412</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(8,414)</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132,147</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343,500</w:t>
            </w:r>
          </w:p>
        </w:tc>
        <w:tc>
          <w:tcPr>
            <w:tcW w:w="0" w:type="dxa"/>
            <w:vAlign w:val="bottom"/>
          </w:tcPr>
          <w:p>
            <w:pPr>
              <w:spacing w:after="0"/>
              <w:rPr>
                <w:sz w:val="1"/>
                <w:szCs w:val="1"/>
                <w:color w:val="auto"/>
              </w:rPr>
            </w:pPr>
          </w:p>
        </w:tc>
      </w:tr>
      <w:tr>
        <w:trPr>
          <w:trHeight w:val="80"/>
        </w:trPr>
        <w:tc>
          <w:tcPr>
            <w:tcW w:w="386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86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Six Months Ended June 30, 2021</w:t>
            </w:r>
          </w:p>
        </w:tc>
        <w:tc>
          <w:tcPr>
            <w:tcW w:w="7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spacing w:after="0"/>
              <w:rPr>
                <w:sz w:val="20"/>
                <w:szCs w:val="20"/>
                <w:color w:val="auto"/>
              </w:rPr>
            </w:pPr>
            <w:r>
              <w:rPr>
                <w:rFonts w:ascii="Arial" w:cs="Arial" w:eastAsia="Arial" w:hAnsi="Arial"/>
                <w:sz w:val="12"/>
                <w:szCs w:val="12"/>
                <w:color w:val="auto"/>
              </w:rPr>
              <w:t>Balance at December 31, 2020</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38,803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center"/>
              <w:ind w:right="19"/>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ind w:left="200"/>
              <w:spacing w:after="0"/>
              <w:rPr>
                <w:sz w:val="20"/>
                <w:szCs w:val="20"/>
                <w:color w:val="auto"/>
              </w:rPr>
            </w:pPr>
            <w:r>
              <w:rPr>
                <w:rFonts w:ascii="Arial" w:cs="Arial" w:eastAsia="Arial" w:hAnsi="Arial"/>
                <w:sz w:val="12"/>
                <w:szCs w:val="12"/>
                <w:color w:val="auto"/>
                <w:w w:val="93"/>
              </w:rPr>
              <w:t>(100,027)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360,939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(7,681)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168,305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421,925</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Equity-based compensation</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17,896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17,896</w:t>
            </w:r>
          </w:p>
        </w:tc>
        <w:tc>
          <w:tcPr>
            <w:tcW w:w="0" w:type="dxa"/>
            <w:vAlign w:val="bottom"/>
          </w:tcPr>
          <w:p>
            <w:pPr>
              <w:spacing w:after="0"/>
              <w:rPr>
                <w:sz w:val="1"/>
                <w:szCs w:val="1"/>
                <w:color w:val="auto"/>
              </w:rPr>
            </w:pPr>
          </w:p>
        </w:tc>
      </w:tr>
      <w:tr>
        <w:trPr>
          <w:trHeight w:val="118"/>
        </w:trPr>
        <w:tc>
          <w:tcPr>
            <w:tcW w:w="3860" w:type="dxa"/>
            <w:vAlign w:val="bottom"/>
            <w:shd w:val="clear" w:color="auto" w:fill="CCEEFF"/>
          </w:tcPr>
          <w:p>
            <w:pPr>
              <w:ind w:left="120"/>
              <w:spacing w:after="0" w:line="118" w:lineRule="exact"/>
              <w:rPr>
                <w:sz w:val="20"/>
                <w:szCs w:val="20"/>
                <w:color w:val="auto"/>
              </w:rPr>
            </w:pPr>
            <w:r>
              <w:rPr>
                <w:rFonts w:ascii="Arial" w:cs="Arial" w:eastAsia="Arial" w:hAnsi="Arial"/>
                <w:sz w:val="12"/>
                <w:szCs w:val="12"/>
                <w:color w:val="auto"/>
              </w:rPr>
              <w:t>Issuance of common stock in connection with employee stock option</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601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1,795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1,801</w:t>
            </w:r>
          </w:p>
        </w:tc>
        <w:tc>
          <w:tcPr>
            <w:tcW w:w="0" w:type="dxa"/>
            <w:vAlign w:val="bottom"/>
          </w:tcPr>
          <w:p>
            <w:pPr>
              <w:spacing w:after="0"/>
              <w:rPr>
                <w:sz w:val="1"/>
                <w:szCs w:val="1"/>
                <w:color w:val="auto"/>
              </w:rPr>
            </w:pPr>
          </w:p>
        </w:tc>
      </w:tr>
      <w:tr>
        <w:trPr>
          <w:trHeight w:val="161"/>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exercises and RSU vesting</w:t>
            </w: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860" w:type="dxa"/>
            <w:vAlign w:val="bottom"/>
          </w:tcPr>
          <w:p>
            <w:pPr>
              <w:ind w:left="120"/>
              <w:spacing w:after="0" w:line="115" w:lineRule="exact"/>
              <w:rPr>
                <w:sz w:val="20"/>
                <w:szCs w:val="20"/>
                <w:color w:val="auto"/>
              </w:rPr>
            </w:pPr>
            <w:r>
              <w:rPr>
                <w:rFonts w:ascii="Arial" w:cs="Arial" w:eastAsia="Arial" w:hAnsi="Arial"/>
                <w:sz w:val="12"/>
                <w:szCs w:val="12"/>
                <w:color w:val="auto"/>
                <w:w w:val="94"/>
              </w:rPr>
              <w:t>Common shares withheld for settlement of taxes in connection with equity-</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(231)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(20,226)</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(20,229)</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based compensation</w:t>
            </w: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 paid</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(15,317)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(15,317)</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Other comprehensive loss</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290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290</w:t>
            </w:r>
          </w:p>
        </w:tc>
        <w:tc>
          <w:tcPr>
            <w:tcW w:w="0" w:type="dxa"/>
            <w:vAlign w:val="bottom"/>
          </w:tcPr>
          <w:p>
            <w:pPr>
              <w:spacing w:after="0"/>
              <w:rPr>
                <w:sz w:val="1"/>
                <w:szCs w:val="1"/>
                <w:color w:val="auto"/>
              </w:rPr>
            </w:pPr>
          </w:p>
        </w:tc>
      </w:tr>
      <w:tr>
        <w:trPr>
          <w:trHeight w:val="161"/>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58,968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58,968</w:t>
            </w:r>
          </w:p>
        </w:tc>
        <w:tc>
          <w:tcPr>
            <w:tcW w:w="0" w:type="dxa"/>
            <w:vAlign w:val="bottom"/>
          </w:tcPr>
          <w:p>
            <w:pPr>
              <w:spacing w:after="0"/>
              <w:rPr>
                <w:sz w:val="1"/>
                <w:szCs w:val="1"/>
                <w:color w:val="auto"/>
              </w:rPr>
            </w:pPr>
          </w:p>
        </w:tc>
      </w:tr>
      <w:tr>
        <w:trPr>
          <w:trHeight w:val="155"/>
        </w:trPr>
        <w:tc>
          <w:tcPr>
            <w:tcW w:w="3860" w:type="dxa"/>
            <w:vAlign w:val="bottom"/>
          </w:tcPr>
          <w:p>
            <w:pPr>
              <w:spacing w:after="0"/>
              <w:rPr>
                <w:sz w:val="20"/>
                <w:szCs w:val="20"/>
                <w:color w:val="auto"/>
              </w:rPr>
            </w:pPr>
            <w:r>
              <w:rPr>
                <w:rFonts w:ascii="Arial" w:cs="Arial" w:eastAsia="Arial" w:hAnsi="Arial"/>
                <w:sz w:val="12"/>
                <w:szCs w:val="12"/>
                <w:color w:val="auto"/>
              </w:rPr>
              <w:t>Balance at June 30, 2021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39,173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392</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2,558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2"/>
                <w:szCs w:val="12"/>
                <w:color w:val="auto"/>
                <w:w w:val="93"/>
              </w:rPr>
              <w:t>(100,027)</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360,404</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(7,391)</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211,956</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465,334</w:t>
            </w:r>
          </w:p>
        </w:tc>
        <w:tc>
          <w:tcPr>
            <w:tcW w:w="0" w:type="dxa"/>
            <w:vAlign w:val="bottom"/>
          </w:tcPr>
          <w:p>
            <w:pPr>
              <w:spacing w:after="0"/>
              <w:rPr>
                <w:sz w:val="1"/>
                <w:szCs w:val="1"/>
                <w:color w:val="auto"/>
              </w:rPr>
            </w:pPr>
          </w:p>
        </w:tc>
      </w:tr>
      <w:tr>
        <w:trPr>
          <w:trHeight w:val="80"/>
        </w:trPr>
        <w:tc>
          <w:tcPr>
            <w:tcW w:w="386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86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Six Months Ended June 30, 2020</w:t>
            </w:r>
          </w:p>
        </w:tc>
        <w:tc>
          <w:tcPr>
            <w:tcW w:w="7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spacing w:after="0"/>
              <w:rPr>
                <w:sz w:val="20"/>
                <w:szCs w:val="20"/>
                <w:color w:val="auto"/>
              </w:rPr>
            </w:pPr>
            <w:r>
              <w:rPr>
                <w:rFonts w:ascii="Arial" w:cs="Arial" w:eastAsia="Arial" w:hAnsi="Arial"/>
                <w:sz w:val="12"/>
                <w:szCs w:val="12"/>
                <w:color w:val="auto"/>
              </w:rPr>
              <w:t>Balance at December 31, 2019</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38,055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center"/>
              <w:ind w:right="19"/>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ind w:left="200"/>
              <w:spacing w:after="0"/>
              <w:rPr>
                <w:sz w:val="20"/>
                <w:szCs w:val="20"/>
                <w:color w:val="auto"/>
              </w:rPr>
            </w:pPr>
            <w:r>
              <w:rPr>
                <w:rFonts w:ascii="Arial" w:cs="Arial" w:eastAsia="Arial" w:hAnsi="Arial"/>
                <w:sz w:val="12"/>
                <w:szCs w:val="12"/>
                <w:color w:val="auto"/>
                <w:w w:val="93"/>
              </w:rPr>
              <w:t>(100,027)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312,824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121,187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328,145</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Cumulative effect of accounting change (Note 1)</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(247)</w:t>
            </w:r>
          </w:p>
        </w:tc>
        <w:tc>
          <w:tcPr>
            <w:tcW w:w="0" w:type="dxa"/>
            <w:vAlign w:val="bottom"/>
          </w:tcPr>
          <w:p>
            <w:pPr>
              <w:spacing w:after="0"/>
              <w:rPr>
                <w:sz w:val="1"/>
                <w:szCs w:val="1"/>
                <w:color w:val="auto"/>
              </w:rPr>
            </w:pPr>
          </w:p>
        </w:tc>
      </w:tr>
      <w:tr>
        <w:trPr>
          <w:trHeight w:val="155"/>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January 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38,055</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381</w:t>
            </w: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2,558</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center"/>
              <w:ind w:right="1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w w:val="93"/>
              </w:rPr>
              <w:t>(100,027)</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312,824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(6,220)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120,940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327,898</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Equity-based compensation</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9,396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9,396</w:t>
            </w:r>
          </w:p>
        </w:tc>
        <w:tc>
          <w:tcPr>
            <w:tcW w:w="0" w:type="dxa"/>
            <w:vAlign w:val="bottom"/>
          </w:tcPr>
          <w:p>
            <w:pPr>
              <w:spacing w:after="0"/>
              <w:rPr>
                <w:sz w:val="1"/>
                <w:szCs w:val="1"/>
                <w:color w:val="auto"/>
              </w:rPr>
            </w:pPr>
          </w:p>
        </w:tc>
      </w:tr>
      <w:tr>
        <w:trPr>
          <w:trHeight w:val="118"/>
        </w:trPr>
        <w:tc>
          <w:tcPr>
            <w:tcW w:w="3860" w:type="dxa"/>
            <w:vAlign w:val="bottom"/>
            <w:shd w:val="clear" w:color="auto" w:fill="CCEEFF"/>
          </w:tcPr>
          <w:p>
            <w:pPr>
              <w:ind w:left="120"/>
              <w:spacing w:after="0" w:line="118" w:lineRule="exact"/>
              <w:rPr>
                <w:sz w:val="20"/>
                <w:szCs w:val="20"/>
                <w:color w:val="auto"/>
              </w:rPr>
            </w:pPr>
            <w:r>
              <w:rPr>
                <w:rFonts w:ascii="Arial" w:cs="Arial" w:eastAsia="Arial" w:hAnsi="Arial"/>
                <w:sz w:val="12"/>
                <w:szCs w:val="12"/>
                <w:color w:val="auto"/>
              </w:rPr>
              <w:t>Issuance of common stock in connection with employee stock option</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289</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626</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629</w:t>
            </w:r>
          </w:p>
        </w:tc>
        <w:tc>
          <w:tcPr>
            <w:tcW w:w="0" w:type="dxa"/>
            <w:vAlign w:val="bottom"/>
          </w:tcPr>
          <w:p>
            <w:pPr>
              <w:spacing w:after="0"/>
              <w:rPr>
                <w:sz w:val="1"/>
                <w:szCs w:val="1"/>
                <w:color w:val="auto"/>
              </w:rPr>
            </w:pPr>
          </w:p>
        </w:tc>
      </w:tr>
      <w:tr>
        <w:trPr>
          <w:trHeight w:val="161"/>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exercises and RSU vesting</w:t>
            </w: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860" w:type="dxa"/>
            <w:vAlign w:val="bottom"/>
          </w:tcPr>
          <w:p>
            <w:pPr>
              <w:ind w:left="120"/>
              <w:spacing w:after="0" w:line="115" w:lineRule="exact"/>
              <w:rPr>
                <w:sz w:val="20"/>
                <w:szCs w:val="20"/>
                <w:color w:val="auto"/>
              </w:rPr>
            </w:pPr>
            <w:r>
              <w:rPr>
                <w:rFonts w:ascii="Arial" w:cs="Arial" w:eastAsia="Arial" w:hAnsi="Arial"/>
                <w:sz w:val="12"/>
                <w:szCs w:val="12"/>
                <w:color w:val="auto"/>
                <w:w w:val="94"/>
              </w:rPr>
              <w:t>Common shares withheld for settlement of taxes in connection with equity-</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(99)</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(3,434)</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9"/>
                <w:szCs w:val="9"/>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(3,436)</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based compensation</w:t>
            </w: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 paid</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(12,098)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(12,098)</w:t>
            </w:r>
          </w:p>
        </w:tc>
        <w:tc>
          <w:tcPr>
            <w:tcW w:w="0" w:type="dxa"/>
            <w:vAlign w:val="bottom"/>
          </w:tcPr>
          <w:p>
            <w:pPr>
              <w:spacing w:after="0"/>
              <w:rPr>
                <w:sz w:val="1"/>
                <w:szCs w:val="1"/>
                <w:color w:val="auto"/>
              </w:rPr>
            </w:pPr>
          </w:p>
        </w:tc>
      </w:tr>
      <w:tr>
        <w:trPr>
          <w:trHeight w:val="158"/>
        </w:trPr>
        <w:tc>
          <w:tcPr>
            <w:tcW w:w="3860" w:type="dxa"/>
            <w:vAlign w:val="bottom"/>
          </w:tcPr>
          <w:p>
            <w:pPr>
              <w:ind w:left="120"/>
              <w:spacing w:after="0"/>
              <w:rPr>
                <w:sz w:val="20"/>
                <w:szCs w:val="20"/>
                <w:color w:val="auto"/>
              </w:rPr>
            </w:pPr>
            <w:r>
              <w:rPr>
                <w:rFonts w:ascii="Arial" w:cs="Arial" w:eastAsia="Arial" w:hAnsi="Arial"/>
                <w:sz w:val="12"/>
                <w:szCs w:val="12"/>
                <w:color w:val="auto"/>
              </w:rPr>
              <w:t>Other comprehensive loss</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(2,194)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(2,194)</w:t>
            </w:r>
          </w:p>
        </w:tc>
        <w:tc>
          <w:tcPr>
            <w:tcW w:w="0" w:type="dxa"/>
            <w:vAlign w:val="bottom"/>
          </w:tcPr>
          <w:p>
            <w:pPr>
              <w:spacing w:after="0"/>
              <w:rPr>
                <w:sz w:val="1"/>
                <w:szCs w:val="1"/>
                <w:color w:val="auto"/>
              </w:rPr>
            </w:pPr>
          </w:p>
        </w:tc>
      </w:tr>
      <w:tr>
        <w:trPr>
          <w:trHeight w:val="161"/>
        </w:trPr>
        <w:tc>
          <w:tcPr>
            <w:tcW w:w="3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23,305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23,305</w:t>
            </w:r>
          </w:p>
        </w:tc>
        <w:tc>
          <w:tcPr>
            <w:tcW w:w="0" w:type="dxa"/>
            <w:vAlign w:val="bottom"/>
          </w:tcPr>
          <w:p>
            <w:pPr>
              <w:spacing w:after="0"/>
              <w:rPr>
                <w:sz w:val="1"/>
                <w:szCs w:val="1"/>
                <w:color w:val="auto"/>
              </w:rPr>
            </w:pPr>
          </w:p>
        </w:tc>
      </w:tr>
      <w:tr>
        <w:trPr>
          <w:trHeight w:val="155"/>
        </w:trPr>
        <w:tc>
          <w:tcPr>
            <w:tcW w:w="3860" w:type="dxa"/>
            <w:vAlign w:val="bottom"/>
          </w:tcPr>
          <w:p>
            <w:pPr>
              <w:spacing w:after="0"/>
              <w:rPr>
                <w:sz w:val="20"/>
                <w:szCs w:val="20"/>
                <w:color w:val="auto"/>
              </w:rPr>
            </w:pPr>
            <w:r>
              <w:rPr>
                <w:rFonts w:ascii="Arial" w:cs="Arial" w:eastAsia="Arial" w:hAnsi="Arial"/>
                <w:sz w:val="12"/>
                <w:szCs w:val="12"/>
                <w:color w:val="auto"/>
              </w:rPr>
              <w:t>Balance at June 30, 2020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38,245</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382</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2,558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2"/>
                <w:szCs w:val="12"/>
                <w:color w:val="auto"/>
                <w:w w:val="93"/>
              </w:rPr>
              <w:t>(100,027)</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319,412</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(8,414)</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132,147</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343,500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Notes to Unaudited Consolidated Financial Statements.</w:t>
      </w:r>
    </w:p>
    <w:p>
      <w:pPr>
        <w:spacing w:after="0" w:line="391"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 w:name="page8"/>
    <w:bookmarkEnd w:id="7"/>
    <w:p>
      <w:pPr>
        <w:ind w:left="32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38" w:lineRule="exact"/>
        <w:rPr>
          <w:sz w:val="20"/>
          <w:szCs w:val="20"/>
          <w:color w:val="auto"/>
        </w:rPr>
      </w:pPr>
    </w:p>
    <w:p>
      <w:pPr>
        <w:jc w:val="center"/>
        <w:ind w:left="8700"/>
        <w:spacing w:after="0"/>
        <w:rPr>
          <w:sz w:val="20"/>
          <w:szCs w:val="20"/>
          <w:color w:val="auto"/>
        </w:rPr>
      </w:pPr>
      <w:r>
        <w:rPr>
          <w:rFonts w:ascii="Arial" w:cs="Arial" w:eastAsia="Arial" w:hAnsi="Arial"/>
          <w:sz w:val="12"/>
          <w:szCs w:val="12"/>
          <w:b w:val="1"/>
          <w:bCs w:val="1"/>
          <w:color w:val="auto"/>
        </w:rPr>
        <w:t>Six Months Ended</w:t>
      </w:r>
    </w:p>
    <w:p>
      <w:pPr>
        <w:spacing w:after="0" w:line="14" w:lineRule="exact"/>
        <w:rPr>
          <w:sz w:val="20"/>
          <w:szCs w:val="20"/>
          <w:color w:val="auto"/>
        </w:rPr>
      </w:pPr>
    </w:p>
    <w:p>
      <w:pPr>
        <w:jc w:val="center"/>
        <w:ind w:left="8700"/>
        <w:spacing w:after="0"/>
        <w:rPr>
          <w:sz w:val="20"/>
          <w:szCs w:val="20"/>
          <w:color w:val="auto"/>
        </w:rPr>
      </w:pPr>
      <w:r>
        <w:rPr>
          <w:rFonts w:ascii="Arial" w:cs="Arial" w:eastAsia="Arial" w:hAnsi="Arial"/>
          <w:sz w:val="12"/>
          <w:szCs w:val="12"/>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6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31"/>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31"/>
              <w:spacing w:after="0"/>
              <w:rPr>
                <w:sz w:val="20"/>
                <w:szCs w:val="20"/>
                <w:color w:val="auto"/>
              </w:rPr>
            </w:pPr>
            <w:r>
              <w:rPr>
                <w:rFonts w:ascii="Arial" w:cs="Arial" w:eastAsia="Arial" w:hAnsi="Arial"/>
                <w:sz w:val="12"/>
                <w:szCs w:val="12"/>
                <w:b w:val="1"/>
                <w:bCs w:val="1"/>
                <w:color w:val="auto"/>
              </w:rPr>
              <w:t>2020</w:t>
            </w:r>
          </w:p>
        </w:tc>
      </w:tr>
      <w:tr>
        <w:trPr>
          <w:trHeight w:val="21"/>
        </w:trPr>
        <w:tc>
          <w:tcPr>
            <w:tcW w:w="8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4"/>
        </w:trPr>
        <w:tc>
          <w:tcPr>
            <w:tcW w:w="8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4"/>
        </w:trPr>
        <w:tc>
          <w:tcPr>
            <w:tcW w:w="8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1"/>
        </w:trPr>
        <w:tc>
          <w:tcPr>
            <w:tcW w:w="8360" w:type="dxa"/>
            <w:vAlign w:val="bottom"/>
          </w:tcPr>
          <w:p>
            <w:pPr>
              <w:spacing w:after="0"/>
              <w:rPr>
                <w:sz w:val="20"/>
                <w:szCs w:val="20"/>
                <w:color w:val="auto"/>
              </w:rPr>
            </w:pPr>
            <w:r>
              <w:rPr>
                <w:rFonts w:ascii="Arial" w:cs="Arial" w:eastAsia="Arial" w:hAnsi="Arial"/>
                <w:sz w:val="14"/>
                <w:szCs w:val="14"/>
                <w:color w:val="auto"/>
              </w:rPr>
              <w:t>Net income</w:t>
            </w:r>
          </w:p>
        </w:tc>
        <w:tc>
          <w:tcPr>
            <w:tcW w:w="400" w:type="dxa"/>
            <w:vAlign w:val="bottom"/>
          </w:tcPr>
          <w:p>
            <w:pPr>
              <w:jc w:val="right"/>
              <w:ind w:right="251"/>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58,968</w:t>
            </w:r>
          </w:p>
        </w:tc>
        <w:tc>
          <w:tcPr>
            <w:tcW w:w="100" w:type="dxa"/>
            <w:vAlign w:val="bottom"/>
          </w:tcPr>
          <w:p>
            <w:pPr>
              <w:spacing w:after="0"/>
              <w:rPr>
                <w:sz w:val="15"/>
                <w:szCs w:val="15"/>
                <w:color w:val="auto"/>
              </w:rPr>
            </w:pPr>
          </w:p>
        </w:tc>
        <w:tc>
          <w:tcPr>
            <w:tcW w:w="420" w:type="dxa"/>
            <w:vAlign w:val="bottom"/>
          </w:tcPr>
          <w:p>
            <w:pPr>
              <w:jc w:val="right"/>
              <w:ind w:right="27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23,305</w:t>
            </w:r>
          </w:p>
        </w:tc>
      </w:tr>
      <w:tr>
        <w:trPr>
          <w:trHeight w:val="187"/>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1"/>
        </w:trPr>
        <w:tc>
          <w:tcPr>
            <w:tcW w:w="836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20,243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21,370</w:t>
            </w:r>
          </w:p>
        </w:tc>
      </w:tr>
      <w:tr>
        <w:trPr>
          <w:trHeight w:val="187"/>
        </w:trPr>
        <w:tc>
          <w:tcPr>
            <w:tcW w:w="8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taxes</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w:t>
            </w:r>
          </w:p>
        </w:tc>
      </w:tr>
      <w:tr>
        <w:trPr>
          <w:trHeight w:val="181"/>
        </w:trPr>
        <w:tc>
          <w:tcPr>
            <w:tcW w:w="8360" w:type="dxa"/>
            <w:vAlign w:val="bottom"/>
          </w:tcPr>
          <w:p>
            <w:pPr>
              <w:ind w:left="180"/>
              <w:spacing w:after="0"/>
              <w:rPr>
                <w:sz w:val="20"/>
                <w:szCs w:val="20"/>
                <w:color w:val="auto"/>
              </w:rPr>
            </w:pPr>
            <w:r>
              <w:rPr>
                <w:rFonts w:ascii="Arial" w:cs="Arial" w:eastAsia="Arial" w:hAnsi="Arial"/>
                <w:sz w:val="14"/>
                <w:szCs w:val="14"/>
                <w:color w:val="auto"/>
              </w:rPr>
              <w:t>Non-cash equity-based compensation</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17,896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9,396</w:t>
            </w:r>
          </w:p>
        </w:tc>
      </w:tr>
      <w:tr>
        <w:trPr>
          <w:trHeight w:val="187"/>
        </w:trPr>
        <w:tc>
          <w:tcPr>
            <w:tcW w:w="8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Bad debt expense</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w:t>
            </w:r>
          </w:p>
        </w:tc>
      </w:tr>
      <w:tr>
        <w:trPr>
          <w:trHeight w:val="181"/>
        </w:trPr>
        <w:tc>
          <w:tcPr>
            <w:tcW w:w="836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7"/>
        </w:trPr>
        <w:tc>
          <w:tcPr>
            <w:tcW w:w="8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(3,279)</w:t>
            </w:r>
          </w:p>
        </w:tc>
      </w:tr>
      <w:tr>
        <w:trPr>
          <w:trHeight w:val="181"/>
        </w:trPr>
        <w:tc>
          <w:tcPr>
            <w:tcW w:w="8360" w:type="dxa"/>
            <w:vAlign w:val="bottom"/>
          </w:tcPr>
          <w:p>
            <w:pPr>
              <w:ind w:left="380"/>
              <w:spacing w:after="0"/>
              <w:rPr>
                <w:sz w:val="20"/>
                <w:szCs w:val="20"/>
                <w:color w:val="auto"/>
              </w:rPr>
            </w:pPr>
            <w:r>
              <w:rPr>
                <w:rFonts w:ascii="Arial" w:cs="Arial" w:eastAsia="Arial" w:hAnsi="Arial"/>
                <w:sz w:val="14"/>
                <w:szCs w:val="14"/>
                <w:color w:val="auto"/>
              </w:rPr>
              <w:t>Prepaid expenses and other current and non-current assets</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(5,892)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87"/>
        </w:trPr>
        <w:tc>
          <w:tcPr>
            <w:tcW w:w="8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 and other current and non-current liabilities</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(4,045)</w:t>
            </w:r>
          </w:p>
        </w:tc>
      </w:tr>
      <w:tr>
        <w:trPr>
          <w:trHeight w:val="181"/>
        </w:trPr>
        <w:tc>
          <w:tcPr>
            <w:tcW w:w="8360" w:type="dxa"/>
            <w:vAlign w:val="bottom"/>
          </w:tcPr>
          <w:p>
            <w:pPr>
              <w:ind w:left="380"/>
              <w:spacing w:after="0"/>
              <w:rPr>
                <w:sz w:val="20"/>
                <w:szCs w:val="20"/>
                <w:color w:val="auto"/>
              </w:rPr>
            </w:pPr>
            <w:r>
              <w:rPr>
                <w:rFonts w:ascii="Arial" w:cs="Arial" w:eastAsia="Arial" w:hAnsi="Arial"/>
                <w:sz w:val="14"/>
                <w:szCs w:val="14"/>
                <w:color w:val="auto"/>
              </w:rPr>
              <w:t>Long-term incentives related to acquisitions</w:t>
            </w:r>
          </w:p>
        </w:tc>
        <w:tc>
          <w:tcPr>
            <w:tcW w:w="4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(7,759)</w:t>
            </w:r>
          </w:p>
        </w:tc>
      </w:tr>
      <w:tr>
        <w:trPr>
          <w:trHeight w:val="187"/>
        </w:trPr>
        <w:tc>
          <w:tcPr>
            <w:tcW w:w="8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Contributor royalties payable</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r>
      <w:tr>
        <w:trPr>
          <w:trHeight w:val="181"/>
        </w:trPr>
        <w:tc>
          <w:tcPr>
            <w:tcW w:w="8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Deferred revenue</w:t>
            </w: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11,953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(3,633)</w:t>
            </w:r>
          </w:p>
        </w:tc>
      </w:tr>
      <w:tr>
        <w:trPr>
          <w:trHeight w:val="175"/>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by operating activities</w:t>
            </w:r>
          </w:p>
        </w:tc>
        <w:tc>
          <w:tcPr>
            <w:tcW w:w="4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107,216</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36,343</w:t>
            </w:r>
          </w:p>
        </w:tc>
      </w:tr>
      <w:tr>
        <w:trPr>
          <w:trHeight w:val="167"/>
        </w:trPr>
        <w:tc>
          <w:tcPr>
            <w:tcW w:w="8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4"/>
        </w:trPr>
        <w:tc>
          <w:tcPr>
            <w:tcW w:w="8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1"/>
        </w:trPr>
        <w:tc>
          <w:tcPr>
            <w:tcW w:w="8360" w:type="dxa"/>
            <w:vAlign w:val="bottom"/>
          </w:tcPr>
          <w:p>
            <w:pPr>
              <w:ind w:left="180"/>
              <w:spacing w:after="0"/>
              <w:rPr>
                <w:sz w:val="20"/>
                <w:szCs w:val="20"/>
                <w:color w:val="auto"/>
              </w:rPr>
            </w:pPr>
            <w:r>
              <w:rPr>
                <w:rFonts w:ascii="Arial" w:cs="Arial" w:eastAsia="Arial" w:hAnsi="Arial"/>
                <w:sz w:val="14"/>
                <w:szCs w:val="14"/>
                <w:color w:val="auto"/>
              </w:rPr>
              <w:t>Capital expenditures</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(15,337)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(13,966)</w:t>
            </w:r>
          </w:p>
        </w:tc>
      </w:tr>
      <w:tr>
        <w:trPr>
          <w:trHeight w:val="187"/>
        </w:trPr>
        <w:tc>
          <w:tcPr>
            <w:tcW w:w="8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Business combination, net of cash acquired</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(72,165)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360" w:type="dxa"/>
            <w:vAlign w:val="bottom"/>
          </w:tcPr>
          <w:p>
            <w:pPr>
              <w:ind w:left="180"/>
              <w:spacing w:after="0"/>
              <w:rPr>
                <w:sz w:val="20"/>
                <w:szCs w:val="20"/>
                <w:color w:val="auto"/>
              </w:rPr>
            </w:pPr>
            <w:r>
              <w:rPr>
                <w:rFonts w:ascii="Arial" w:cs="Arial" w:eastAsia="Arial" w:hAnsi="Arial"/>
                <w:sz w:val="14"/>
                <w:szCs w:val="14"/>
                <w:color w:val="auto"/>
              </w:rPr>
              <w:t>Acquisition of content</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(3,396)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(1,577)</w:t>
            </w:r>
          </w:p>
        </w:tc>
      </w:tr>
      <w:tr>
        <w:trPr>
          <w:trHeight w:val="187"/>
        </w:trPr>
        <w:tc>
          <w:tcPr>
            <w:tcW w:w="8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Security deposit (payment) / release</w:t>
            </w:r>
          </w:p>
        </w:tc>
        <w:tc>
          <w:tcPr>
            <w:tcW w:w="4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172"/>
        </w:trPr>
        <w:tc>
          <w:tcPr>
            <w:tcW w:w="8360" w:type="dxa"/>
            <w:vAlign w:val="bottom"/>
            <w:tcBorders>
              <w:bottom w:val="single" w:sz="8" w:color="CCEEFF"/>
            </w:tcBorders>
          </w:tcPr>
          <w:p>
            <w:pPr>
              <w:spacing w:after="0" w:line="158" w:lineRule="exact"/>
              <w:rPr>
                <w:sz w:val="20"/>
                <w:szCs w:val="20"/>
                <w:color w:val="auto"/>
              </w:rPr>
            </w:pPr>
            <w:r>
              <w:rPr>
                <w:rFonts w:ascii="Arial" w:cs="Arial" w:eastAsia="Arial" w:hAnsi="Arial"/>
                <w:sz w:val="14"/>
                <w:szCs w:val="14"/>
                <w:color w:val="auto"/>
              </w:rPr>
              <w:t>Net cash used in investing activities</w:t>
            </w:r>
          </w:p>
        </w:tc>
        <w:tc>
          <w:tcPr>
            <w:tcW w:w="4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(90,963)</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(15,438)</w:t>
            </w:r>
          </w:p>
        </w:tc>
      </w:tr>
      <w:tr>
        <w:trPr>
          <w:trHeight w:val="167"/>
        </w:trPr>
        <w:tc>
          <w:tcPr>
            <w:tcW w:w="8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1"/>
        </w:trPr>
        <w:tc>
          <w:tcPr>
            <w:tcW w:w="836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6"/>
        </w:trPr>
        <w:tc>
          <w:tcPr>
            <w:tcW w:w="8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w:t>
            </w:r>
          </w:p>
        </w:tc>
      </w:tr>
      <w:tr>
        <w:trPr>
          <w:trHeight w:val="181"/>
        </w:trPr>
        <w:tc>
          <w:tcPr>
            <w:tcW w:w="8360" w:type="dxa"/>
            <w:vAlign w:val="bottom"/>
          </w:tcPr>
          <w:p>
            <w:pPr>
              <w:ind w:left="180"/>
              <w:spacing w:after="0"/>
              <w:rPr>
                <w:sz w:val="20"/>
                <w:szCs w:val="20"/>
                <w:color w:val="auto"/>
              </w:rPr>
            </w:pPr>
            <w:r>
              <w:rPr>
                <w:rFonts w:ascii="Arial" w:cs="Arial" w:eastAsia="Arial" w:hAnsi="Arial"/>
                <w:sz w:val="14"/>
                <w:szCs w:val="14"/>
                <w:color w:val="auto"/>
              </w:rPr>
              <w:t>Cash paid related to settlement of employee taxes related to RSU vesting</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(20,229)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(3,436)</w:t>
            </w:r>
          </w:p>
        </w:tc>
      </w:tr>
      <w:tr>
        <w:trPr>
          <w:trHeight w:val="187"/>
        </w:trPr>
        <w:tc>
          <w:tcPr>
            <w:tcW w:w="8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of cash dividend</w:t>
            </w:r>
          </w:p>
        </w:tc>
        <w:tc>
          <w:tcPr>
            <w:tcW w:w="4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(15,317)</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(12,098)</w:t>
            </w:r>
          </w:p>
        </w:tc>
      </w:tr>
      <w:tr>
        <w:trPr>
          <w:trHeight w:val="172"/>
        </w:trPr>
        <w:tc>
          <w:tcPr>
            <w:tcW w:w="8360" w:type="dxa"/>
            <w:vAlign w:val="bottom"/>
            <w:tcBorders>
              <w:bottom w:val="single" w:sz="8" w:color="CCEEFF"/>
            </w:tcBorders>
          </w:tcPr>
          <w:p>
            <w:pPr>
              <w:spacing w:after="0" w:line="158" w:lineRule="exact"/>
              <w:rPr>
                <w:sz w:val="20"/>
                <w:szCs w:val="20"/>
                <w:color w:val="auto"/>
              </w:rPr>
            </w:pPr>
            <w:r>
              <w:rPr>
                <w:rFonts w:ascii="Arial" w:cs="Arial" w:eastAsia="Arial" w:hAnsi="Arial"/>
                <w:sz w:val="14"/>
                <w:szCs w:val="14"/>
                <w:color w:val="auto"/>
              </w:rPr>
              <w:t>Net cash used in financing activities</w:t>
            </w:r>
          </w:p>
        </w:tc>
        <w:tc>
          <w:tcPr>
            <w:tcW w:w="4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(33,745)</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(14,905)</w:t>
            </w:r>
          </w:p>
        </w:tc>
      </w:tr>
      <w:tr>
        <w:trPr>
          <w:trHeight w:val="167"/>
        </w:trPr>
        <w:tc>
          <w:tcPr>
            <w:tcW w:w="8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1"/>
        </w:trPr>
        <w:tc>
          <w:tcPr>
            <w:tcW w:w="8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Effect of foreign exchange rate changes on cash</w:t>
            </w: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w:t>
            </w:r>
          </w:p>
        </w:tc>
      </w:tr>
      <w:tr>
        <w:trPr>
          <w:trHeight w:val="178"/>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Net (decrease) / increase in cash, cash equivalents and restricted cash</w:t>
            </w: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(17,528)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5,283</w:t>
            </w:r>
          </w:p>
        </w:tc>
      </w:tr>
      <w:tr>
        <w:trPr>
          <w:trHeight w:val="184"/>
        </w:trPr>
        <w:tc>
          <w:tcPr>
            <w:tcW w:w="8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4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428,574</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305,874</w:t>
            </w:r>
          </w:p>
        </w:tc>
      </w:tr>
      <w:tr>
        <w:trPr>
          <w:trHeight w:val="172"/>
        </w:trPr>
        <w:tc>
          <w:tcPr>
            <w:tcW w:w="8360" w:type="dxa"/>
            <w:vAlign w:val="bottom"/>
          </w:tcPr>
          <w:p>
            <w:pPr>
              <w:spacing w:after="0" w:line="158" w:lineRule="exact"/>
              <w:rPr>
                <w:sz w:val="20"/>
                <w:szCs w:val="20"/>
                <w:color w:val="auto"/>
              </w:rPr>
            </w:pPr>
            <w:r>
              <w:rPr>
                <w:rFonts w:ascii="Arial" w:cs="Arial" w:eastAsia="Arial" w:hAnsi="Arial"/>
                <w:sz w:val="14"/>
                <w:szCs w:val="14"/>
                <w:color w:val="auto"/>
              </w:rPr>
              <w:t>Cash, cash equivalents and restricted cash, end of period</w:t>
            </w:r>
          </w:p>
        </w:tc>
        <w:tc>
          <w:tcPr>
            <w:tcW w:w="4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411,046</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311,157</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50"/>
        </w:trPr>
        <w:tc>
          <w:tcPr>
            <w:tcW w:w="8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81"/>
        </w:trPr>
        <w:tc>
          <w:tcPr>
            <w:tcW w:w="8360" w:type="dxa"/>
            <w:vAlign w:val="bottom"/>
          </w:tcPr>
          <w:p>
            <w:pPr>
              <w:spacing w:after="0"/>
              <w:rPr>
                <w:sz w:val="20"/>
                <w:szCs w:val="20"/>
                <w:color w:val="auto"/>
              </w:rPr>
            </w:pPr>
            <w:r>
              <w:rPr>
                <w:rFonts w:ascii="Arial" w:cs="Arial" w:eastAsia="Arial" w:hAnsi="Arial"/>
                <w:sz w:val="14"/>
                <w:szCs w:val="14"/>
                <w:b w:val="1"/>
                <w:bCs w:val="1"/>
                <w:color w:val="auto"/>
              </w:rPr>
              <w:t>Supplemental Disclosure of Cash Information:</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6"/>
        </w:trPr>
        <w:tc>
          <w:tcPr>
            <w:tcW w:w="8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paid for income taxes</w:t>
            </w:r>
          </w:p>
        </w:tc>
        <w:tc>
          <w:tcPr>
            <w:tcW w:w="40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r>
    </w:tbl>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See Notes to Unaudited Consolidated Financial Statements.</w:t>
      </w:r>
    </w:p>
    <w:p>
      <w:pPr>
        <w:spacing w:after="0" w:line="391"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118110</wp:posOffset>
            </wp:positionV>
            <wp:extent cx="717804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20"/>
          </w:cols>
          <w:pgMar w:left="340" w:top="129" w:right="339" w:bottom="1440" w:gutter="0" w:footer="0" w:header="0"/>
        </w:sectPr>
      </w:pPr>
    </w:p>
    <w:bookmarkStart w:id="8" w:name="page9"/>
    <w:bookmarkEnd w:id="8"/>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Summary of Operations and Significant Accounting Policies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Summary of Operations</w:t>
      </w:r>
    </w:p>
    <w:p>
      <w:pPr>
        <w:spacing w:after="0" w:line="138" w:lineRule="exact"/>
        <w:rPr>
          <w:sz w:val="20"/>
          <w:szCs w:val="20"/>
          <w:color w:val="auto"/>
        </w:rPr>
      </w:pPr>
    </w:p>
    <w:p>
      <w:pPr>
        <w:ind w:right="200" w:firstLine="345"/>
        <w:spacing w:after="0" w:line="271" w:lineRule="auto"/>
        <w:rPr>
          <w:sz w:val="20"/>
          <w:szCs w:val="20"/>
          <w:color w:val="auto"/>
        </w:rPr>
      </w:pPr>
      <w:r>
        <w:rPr>
          <w:rFonts w:ascii="Arial" w:cs="Arial" w:eastAsia="Arial" w:hAnsi="Arial"/>
          <w:sz w:val="15"/>
          <w:szCs w:val="15"/>
          <w:color w:val="auto"/>
        </w:rPr>
        <w:t>Shutterstock, Inc. (the “Company” or “Shutterstock”) is a leading global creative platform offering full-service solutions, high-quality content, and tools for brands, businesses and media companies. The Company’s platform brings together users and contributors of content by providing readily-searchable content that our customers pay to license and by compensating contributors as their content is licensed.</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content licensed by the Company’s customers includes:</w:t>
      </w:r>
    </w:p>
    <w:p>
      <w:pPr>
        <w:spacing w:after="0" w:line="138" w:lineRule="exact"/>
        <w:rPr>
          <w:sz w:val="20"/>
          <w:szCs w:val="20"/>
          <w:color w:val="auto"/>
        </w:rPr>
      </w:pPr>
    </w:p>
    <w:p>
      <w:pPr>
        <w:ind w:left="820" w:right="60" w:hanging="276"/>
        <w:spacing w:after="0" w:line="286" w:lineRule="auto"/>
        <w:tabs>
          <w:tab w:leader="none" w:pos="816" w:val="left"/>
        </w:tabs>
        <w:numPr>
          <w:ilvl w:val="0"/>
          <w:numId w:val="3"/>
        </w:numPr>
        <w:rPr>
          <w:rFonts w:ascii="Arial" w:cs="Arial" w:eastAsia="Arial" w:hAnsi="Arial"/>
          <w:sz w:val="15"/>
          <w:szCs w:val="15"/>
          <w:color w:val="auto"/>
        </w:rPr>
      </w:pPr>
      <w:r>
        <w:rPr>
          <w:rFonts w:ascii="Arial" w:cs="Arial" w:eastAsia="Arial" w:hAnsi="Arial"/>
          <w:sz w:val="15"/>
          <w:szCs w:val="15"/>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48" w:lineRule="exact"/>
        <w:rPr>
          <w:rFonts w:ascii="Arial" w:cs="Arial" w:eastAsia="Arial" w:hAnsi="Arial"/>
          <w:sz w:val="15"/>
          <w:szCs w:val="15"/>
          <w:color w:val="auto"/>
        </w:rPr>
      </w:pPr>
    </w:p>
    <w:p>
      <w:pPr>
        <w:ind w:left="820" w:right="500" w:hanging="276"/>
        <w:spacing w:after="0" w:line="286" w:lineRule="auto"/>
        <w:tabs>
          <w:tab w:leader="none" w:pos="816" w:val="left"/>
        </w:tabs>
        <w:numPr>
          <w:ilvl w:val="0"/>
          <w:numId w:val="3"/>
        </w:numPr>
        <w:rPr>
          <w:rFonts w:ascii="Arial" w:cs="Arial" w:eastAsia="Arial" w:hAnsi="Arial"/>
          <w:sz w:val="15"/>
          <w:szCs w:val="15"/>
          <w:color w:val="auto"/>
        </w:rPr>
      </w:pPr>
      <w:r>
        <w:rPr>
          <w:rFonts w:ascii="Arial" w:cs="Arial" w:eastAsia="Arial" w:hAnsi="Arial"/>
          <w:sz w:val="15"/>
          <w:szCs w:val="15"/>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48" w:lineRule="exact"/>
        <w:rPr>
          <w:rFonts w:ascii="Arial" w:cs="Arial" w:eastAsia="Arial" w:hAnsi="Arial"/>
          <w:sz w:val="15"/>
          <w:szCs w:val="15"/>
          <w:color w:val="auto"/>
        </w:rPr>
      </w:pPr>
    </w:p>
    <w:p>
      <w:pPr>
        <w:ind w:left="820" w:hanging="276"/>
        <w:spacing w:after="0"/>
        <w:tabs>
          <w:tab w:leader="none" w:pos="820" w:val="left"/>
        </w:tabs>
        <w:numPr>
          <w:ilvl w:val="0"/>
          <w:numId w:val="3"/>
        </w:numPr>
        <w:rPr>
          <w:rFonts w:ascii="Arial" w:cs="Arial" w:eastAsia="Arial" w:hAnsi="Arial"/>
          <w:sz w:val="15"/>
          <w:szCs w:val="15"/>
          <w:color w:val="auto"/>
        </w:rPr>
      </w:pPr>
      <w:r>
        <w:rPr>
          <w:rFonts w:ascii="Arial" w:cs="Arial" w:eastAsia="Arial" w:hAnsi="Arial"/>
          <w:sz w:val="15"/>
          <w:szCs w:val="15"/>
          <w:color w:val="auto"/>
        </w:rPr>
        <w:t>Music - consisting of high-quality music tracks and sound effects, which are often used to complement images and footage.</w:t>
      </w:r>
    </w:p>
    <w:p>
      <w:pPr>
        <w:spacing w:after="0" w:line="103" w:lineRule="exact"/>
        <w:rPr>
          <w:rFonts w:ascii="Arial" w:cs="Arial" w:eastAsia="Arial" w:hAnsi="Arial"/>
          <w:sz w:val="15"/>
          <w:szCs w:val="15"/>
          <w:color w:val="auto"/>
        </w:rPr>
      </w:pPr>
    </w:p>
    <w:p>
      <w:pPr>
        <w:ind w:left="820" w:right="200" w:hanging="276"/>
        <w:spacing w:after="0" w:line="286" w:lineRule="auto"/>
        <w:tabs>
          <w:tab w:leader="none" w:pos="816" w:val="left"/>
        </w:tabs>
        <w:numPr>
          <w:ilvl w:val="0"/>
          <w:numId w:val="3"/>
        </w:numPr>
        <w:rPr>
          <w:rFonts w:ascii="Arial" w:cs="Arial" w:eastAsia="Arial" w:hAnsi="Arial"/>
          <w:sz w:val="15"/>
          <w:szCs w:val="15"/>
          <w:color w:val="auto"/>
        </w:rPr>
      </w:pPr>
      <w:r>
        <w:rPr>
          <w:rFonts w:ascii="Arial" w:cs="Arial" w:eastAsia="Arial" w:hAnsi="Arial"/>
          <w:sz w:val="15"/>
          <w:szCs w:val="15"/>
          <w:color w:val="auto"/>
        </w:rPr>
        <w:t>3D Models - following the Company’s acquisition of TurboSquid, Inc. on February 1, 2021, Shutterstock now offers 3D models, used in industries such as advertising, media &amp; video production, gaming, retail, education, design and architecture. See Note 3 Acquisition.</w:t>
      </w:r>
    </w:p>
    <w:p>
      <w:pPr>
        <w:spacing w:after="0" w:line="83" w:lineRule="exact"/>
        <w:rPr>
          <w:sz w:val="20"/>
          <w:szCs w:val="20"/>
          <w:color w:val="auto"/>
        </w:rPr>
      </w:pPr>
    </w:p>
    <w:p>
      <w:pPr>
        <w:ind w:right="600" w:firstLine="345"/>
        <w:spacing w:after="0" w:line="286" w:lineRule="auto"/>
        <w:rPr>
          <w:sz w:val="20"/>
          <w:szCs w:val="20"/>
          <w:color w:val="auto"/>
        </w:rPr>
      </w:pPr>
      <w:r>
        <w:rPr>
          <w:rFonts w:ascii="Arial" w:cs="Arial" w:eastAsia="Arial" w:hAnsi="Arial"/>
          <w:sz w:val="15"/>
          <w:szCs w:val="15"/>
          <w:color w:val="auto"/>
        </w:rPr>
        <w:t>The Company licenses content to its customers. Contributors upload their content to the Company’s web properties in exchange for royalty payments based on customer download activity.</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Basis of Presentation</w:t>
      </w:r>
    </w:p>
    <w:p>
      <w:pPr>
        <w:spacing w:after="0" w:line="103" w:lineRule="exact"/>
        <w:rPr>
          <w:sz w:val="20"/>
          <w:szCs w:val="20"/>
          <w:color w:val="auto"/>
        </w:rPr>
      </w:pPr>
    </w:p>
    <w:p>
      <w:pPr>
        <w:ind w:right="400" w:firstLine="345"/>
        <w:spacing w:after="0" w:line="271" w:lineRule="auto"/>
        <w:rPr>
          <w:sz w:val="20"/>
          <w:szCs w:val="20"/>
          <w:color w:val="auto"/>
        </w:rPr>
      </w:pPr>
      <w:r>
        <w:rPr>
          <w:rFonts w:ascii="Arial" w:cs="Arial" w:eastAsia="Arial" w:hAnsi="Arial"/>
          <w:sz w:val="15"/>
          <w:szCs w:val="15"/>
          <w:color w:val="auto"/>
        </w:rPr>
        <w:t>The unaudited condensed consolidated financial statements and accompanying notes have been prepared in accordance with accounting principles generally accepted in the United States of America (“GAAP”) for interim financial information and with the instructions to Form 10-Q and Article 10 of Regulation S-X. Accordingly, these financial statements do not include all information and footnotes required by GAAP for complete financial statements.</w:t>
      </w:r>
    </w:p>
    <w:p>
      <w:pPr>
        <w:spacing w:after="0" w:line="59" w:lineRule="exact"/>
        <w:rPr>
          <w:sz w:val="20"/>
          <w:szCs w:val="20"/>
          <w:color w:val="auto"/>
        </w:rPr>
      </w:pPr>
    </w:p>
    <w:p>
      <w:pPr>
        <w:ind w:right="40" w:firstLine="345"/>
        <w:spacing w:after="0" w:line="305" w:lineRule="auto"/>
        <w:rPr>
          <w:sz w:val="20"/>
          <w:szCs w:val="20"/>
          <w:color w:val="auto"/>
        </w:rPr>
      </w:pPr>
      <w:r>
        <w:rPr>
          <w:rFonts w:ascii="Arial" w:cs="Arial" w:eastAsia="Arial" w:hAnsi="Arial"/>
          <w:sz w:val="13"/>
          <w:szCs w:val="13"/>
          <w:color w:val="auto"/>
        </w:rPr>
        <w:t>The interim Consolidated Balance Sheet as of June 30, 2021, and the Consolidated Statements of Operations, Comprehensive Income and Stockholders’ Equity for the three and six months ended June 30, 2021 and 2020, and the Consolidated Statements of Cash Flows for the six months ended June 30, 2021 and 2020, are unaudited. The Consolidated Balance Sheet as of December 31, 2020, included herein, was derived from the audited financial statements as of that date, but does not include all disclosures required by GAAP. These unaudited interim financial statements have been prepared on a basis consistent with the Company’s annual financial statements and, in the opinion of management, reflect all adjustments, which include all normal recurring adjustments necessary to fairly state the Company’s financial position as of June 30, 2021, and its consolidated results of operations, comprehensive income and stockholders’ equity for the three and six months ended June 30, 2021 and 2020, and its cash flows for the six months ended June 30, 2021 and 2020. The financial data and the other financial information disclosed in the notes to the financial statements related to these periods are also unaudited. The results of operations for the six months ended June 30, 2021 are not necessarily indicative of the results to be expected for the fiscal year ending December 31, 2021 or for any other future annual or interim period.</w:t>
      </w:r>
    </w:p>
    <w:p>
      <w:pPr>
        <w:spacing w:after="0" w:line="43" w:lineRule="exact"/>
        <w:rPr>
          <w:sz w:val="20"/>
          <w:szCs w:val="20"/>
          <w:color w:val="auto"/>
        </w:rPr>
      </w:pPr>
    </w:p>
    <w:p>
      <w:pPr>
        <w:ind w:firstLine="345"/>
        <w:spacing w:after="0" w:line="266" w:lineRule="auto"/>
        <w:rPr>
          <w:sz w:val="20"/>
          <w:szCs w:val="20"/>
          <w:color w:val="auto"/>
        </w:rPr>
      </w:pPr>
      <w:r>
        <w:rPr>
          <w:rFonts w:ascii="Arial" w:cs="Arial" w:eastAsia="Arial" w:hAnsi="Arial"/>
          <w:sz w:val="15"/>
          <w:szCs w:val="15"/>
          <w:color w:val="auto"/>
        </w:rPr>
        <w:t>These financial statements should be read in conjunction with the Company’s audited consolidated financial statements and notes thereto as of and for the year ended December 31, 2020 included in the Company’s Annual Report on Form 10-K, which was filed with the SEC on February 11, 2021. The unaudited consolidated financial statements include the accounts of the Company and its wholly owned subsidiaries. All intercompany balances and transactions have been eliminated in consolidation. Certain immaterial changes in presentation have been made to conform the prior period presentation to current period reporting.</w:t>
      </w:r>
    </w:p>
    <w:p>
      <w:pPr>
        <w:spacing w:after="0" w:line="200" w:lineRule="exact"/>
        <w:rPr>
          <w:sz w:val="20"/>
          <w:szCs w:val="20"/>
          <w:color w:val="auto"/>
        </w:rPr>
      </w:pPr>
    </w:p>
    <w:p>
      <w:pPr>
        <w:spacing w:after="0" w:line="277"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9" w:name="page10"/>
    <w:bookmarkEnd w:id="9"/>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03" w:lineRule="exact"/>
        <w:rPr>
          <w:sz w:val="20"/>
          <w:szCs w:val="20"/>
          <w:color w:val="auto"/>
        </w:rPr>
      </w:pPr>
    </w:p>
    <w:p>
      <w:pPr>
        <w:ind w:right="60" w:firstLine="345"/>
        <w:spacing w:after="0" w:line="286" w:lineRule="auto"/>
        <w:rPr>
          <w:sz w:val="20"/>
          <w:szCs w:val="20"/>
          <w:color w:val="auto"/>
        </w:rPr>
      </w:pPr>
      <w:r>
        <w:rPr>
          <w:rFonts w:ascii="Arial" w:cs="Arial" w:eastAsia="Arial" w:hAnsi="Arial"/>
          <w:sz w:val="14"/>
          <w:szCs w:val="14"/>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Company’s cash and cash equivalents consist primarily of cash on hand, bank deposits, money market funds and commercial paper.</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Allowance for Doubtful Accounts</w:t>
      </w:r>
    </w:p>
    <w:p>
      <w:pPr>
        <w:spacing w:after="0" w:line="103" w:lineRule="exact"/>
        <w:rPr>
          <w:sz w:val="20"/>
          <w:szCs w:val="20"/>
          <w:color w:val="auto"/>
        </w:rPr>
      </w:pPr>
    </w:p>
    <w:p>
      <w:pPr>
        <w:ind w:firstLine="345"/>
        <w:spacing w:after="0" w:line="271" w:lineRule="auto"/>
        <w:rPr>
          <w:sz w:val="20"/>
          <w:szCs w:val="20"/>
          <w:color w:val="auto"/>
        </w:rPr>
      </w:pPr>
      <w:r>
        <w:rPr>
          <w:rFonts w:ascii="Arial" w:cs="Arial" w:eastAsia="Arial" w:hAnsi="Arial"/>
          <w:sz w:val="15"/>
          <w:szCs w:val="15"/>
          <w:color w:val="auto"/>
        </w:rPr>
        <w:t>The Company’s accounts receivable consists of customer obligations due under normal trade terms, carried at their face value less an allowance for doubtful accounts, if required. The Company determines its allowance for doubtful accounts based on an evaluation of (i) the aging of its accounts receivable considering historical receivables loss rates, (ii) on a customer-by-customer basis, where appropriate, and (iii) the economic environments in which the Company operates.</w:t>
      </w:r>
    </w:p>
    <w:p>
      <w:pPr>
        <w:spacing w:after="0" w:line="59" w:lineRule="exact"/>
        <w:rPr>
          <w:sz w:val="20"/>
          <w:szCs w:val="20"/>
          <w:color w:val="auto"/>
        </w:rPr>
      </w:pPr>
    </w:p>
    <w:p>
      <w:pPr>
        <w:ind w:right="60" w:firstLine="345"/>
        <w:spacing w:after="0" w:line="271" w:lineRule="auto"/>
        <w:rPr>
          <w:sz w:val="20"/>
          <w:szCs w:val="20"/>
          <w:color w:val="auto"/>
        </w:rPr>
      </w:pPr>
      <w:r>
        <w:rPr>
          <w:rFonts w:ascii="Arial" w:cs="Arial" w:eastAsia="Arial" w:hAnsi="Arial"/>
          <w:sz w:val="15"/>
          <w:szCs w:val="15"/>
          <w:color w:val="auto"/>
        </w:rPr>
        <w:t>During the six months ended June 30, 2021, the Company recorded bad debt expense of $0.2 million. As of June 30, 2021 and December 31, 2020, the Company’s allowance for doubtful accounts was approximately $2.4 million and $4.9 million, respectively. The allowance for doubtful accounts is included as a reduction of accounts receivable on the Consolidated Balance Sheets.</w:t>
      </w:r>
    </w:p>
    <w:p>
      <w:pPr>
        <w:spacing w:after="0" w:line="94" w:lineRule="exact"/>
        <w:rPr>
          <w:sz w:val="20"/>
          <w:szCs w:val="20"/>
          <w:color w:val="auto"/>
        </w:rPr>
      </w:pPr>
    </w:p>
    <w:p>
      <w:pPr>
        <w:ind w:firstLine="345"/>
        <w:spacing w:after="0" w:line="324" w:lineRule="auto"/>
        <w:rPr>
          <w:sz w:val="20"/>
          <w:szCs w:val="20"/>
          <w:color w:val="auto"/>
        </w:rPr>
      </w:pPr>
      <w:r>
        <w:rPr>
          <w:rFonts w:ascii="Arial" w:cs="Arial" w:eastAsia="Arial" w:hAnsi="Arial"/>
          <w:sz w:val="14"/>
          <w:szCs w:val="14"/>
          <w:color w:val="auto"/>
        </w:rPr>
        <w:t xml:space="preserve">The Company adopted ASU 2016-13, </w:t>
      </w:r>
      <w:r>
        <w:rPr>
          <w:rFonts w:ascii="Arial" w:cs="Arial" w:eastAsia="Arial" w:hAnsi="Arial"/>
          <w:sz w:val="14"/>
          <w:szCs w:val="14"/>
          <w:i w:val="1"/>
          <w:iCs w:val="1"/>
          <w:color w:val="auto"/>
        </w:rPr>
        <w:t>Financial Instruments - Credit Losses (Topic 326): Measurement of Credit Losses of Financial Instruments</w:t>
      </w:r>
      <w:r>
        <w:rPr>
          <w:rFonts w:ascii="Arial" w:cs="Arial" w:eastAsia="Arial" w:hAnsi="Arial"/>
          <w:sz w:val="14"/>
          <w:szCs w:val="14"/>
          <w:color w:val="auto"/>
        </w:rPr>
        <w:t xml:space="preserve"> (“ASU 2016-13”) on January 1, 2020, using the modified retrospective method and recorded a cumulative-effect adjustment of $0.2 million, net of tax, in retained earnings as of January 1, 2020.</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Chargeback and Sales Refund Allowance</w:t>
      </w:r>
    </w:p>
    <w:p>
      <w:pPr>
        <w:spacing w:after="0" w:line="103" w:lineRule="exact"/>
        <w:rPr>
          <w:sz w:val="20"/>
          <w:szCs w:val="20"/>
          <w:color w:val="auto"/>
        </w:rPr>
      </w:pPr>
    </w:p>
    <w:p>
      <w:pPr>
        <w:ind w:right="80" w:firstLine="345"/>
        <w:spacing w:after="0" w:line="271" w:lineRule="auto"/>
        <w:rPr>
          <w:sz w:val="20"/>
          <w:szCs w:val="20"/>
          <w:color w:val="auto"/>
        </w:rPr>
      </w:pPr>
      <w:r>
        <w:rPr>
          <w:rFonts w:ascii="Arial" w:cs="Arial" w:eastAsia="Arial" w:hAnsi="Arial"/>
          <w:sz w:val="15"/>
          <w:szCs w:val="15"/>
          <w:color w:val="auto"/>
        </w:rPr>
        <w:t>The Company establishes a chargeback allowance and sales refund reserve allowance based on factors surrounding historical credit card chargeback trends, historical sales refund trends and other information. As of June 30, 2021 and December 31, 2020, the Company’s combined allowance for chargebacks and sales refunds was $0.5 million, which was included as a component of other current liabilities on the Consolidated Balance Sheets.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03" w:lineRule="exact"/>
        <w:rPr>
          <w:sz w:val="20"/>
          <w:szCs w:val="20"/>
          <w:color w:val="auto"/>
        </w:rPr>
      </w:pPr>
    </w:p>
    <w:p>
      <w:pPr>
        <w:jc w:val="both"/>
        <w:ind w:right="120" w:firstLine="345"/>
        <w:spacing w:after="0" w:line="271" w:lineRule="auto"/>
        <w:rPr>
          <w:sz w:val="20"/>
          <w:szCs w:val="20"/>
          <w:color w:val="auto"/>
        </w:rPr>
      </w:pPr>
      <w:r>
        <w:rPr>
          <w:rFonts w:ascii="Arial" w:cs="Arial" w:eastAsia="Arial" w:hAnsi="Arial"/>
          <w:sz w:val="15"/>
          <w:szCs w:val="15"/>
          <w:color w:val="auto"/>
        </w:rPr>
        <w:t>The majority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w:t>
      </w:r>
    </w:p>
    <w:p>
      <w:pPr>
        <w:spacing w:after="0" w:line="59" w:lineRule="exact"/>
        <w:rPr>
          <w:sz w:val="20"/>
          <w:szCs w:val="20"/>
          <w:color w:val="auto"/>
        </w:rPr>
      </w:pPr>
    </w:p>
    <w:p>
      <w:pPr>
        <w:ind w:right="20" w:firstLine="345"/>
        <w:spacing w:after="0" w:line="262" w:lineRule="auto"/>
        <w:rPr>
          <w:sz w:val="20"/>
          <w:szCs w:val="20"/>
          <w:color w:val="auto"/>
        </w:rPr>
      </w:pPr>
      <w:r>
        <w:rPr>
          <w:rFonts w:ascii="Arial" w:cs="Arial" w:eastAsia="Arial" w:hAnsi="Arial"/>
          <w:sz w:val="15"/>
          <w:szCs w:val="15"/>
          <w:color w:val="auto"/>
        </w:rPr>
        <w:t>The Company recognizes revenue upon the satisfaction of performance obligations, which generally occurs when content is downloaded by a customer. The Company recognizes revenue on both its subscription-based and transaction-based products when content is downloaded, at which time the license is provided. In addition, management estimates expected unused licenses for subscription-based products and recognizes the estimated revenue associated with the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The Company expenses contract acquisition costs as incurred, to the extent that the amortization period would otherwise be one year or less.</w:t>
      </w:r>
    </w:p>
    <w:p>
      <w:pPr>
        <w:spacing w:after="0" w:line="89" w:lineRule="exact"/>
        <w:rPr>
          <w:sz w:val="20"/>
          <w:szCs w:val="20"/>
          <w:color w:val="auto"/>
        </w:rPr>
      </w:pPr>
    </w:p>
    <w:p>
      <w:pPr>
        <w:ind w:right="180" w:firstLine="345"/>
        <w:spacing w:after="0" w:line="319" w:lineRule="auto"/>
        <w:rPr>
          <w:sz w:val="20"/>
          <w:szCs w:val="20"/>
          <w:color w:val="auto"/>
        </w:rPr>
      </w:pPr>
      <w:r>
        <w:rPr>
          <w:rFonts w:ascii="Arial" w:cs="Arial" w:eastAsia="Arial" w:hAnsi="Arial"/>
          <w:sz w:val="13"/>
          <w:szCs w:val="13"/>
          <w:color w:val="auto"/>
        </w:rPr>
        <w:t>Collectability is reasonably assured at the time the electronic order or contract is entered. The majority of the Company’s customers purchase products by making an electronic payment with a credit card at the time of a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200" w:lineRule="exact"/>
        <w:rPr>
          <w:sz w:val="20"/>
          <w:szCs w:val="20"/>
          <w:color w:val="auto"/>
        </w:rPr>
      </w:pPr>
    </w:p>
    <w:p>
      <w:pPr>
        <w:spacing w:after="0" w:line="281"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0" w:name="page11"/>
    <w:bookmarkEnd w:id="10"/>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60" w:firstLine="345"/>
        <w:spacing w:after="0" w:line="331" w:lineRule="auto"/>
        <w:rPr>
          <w:sz w:val="20"/>
          <w:szCs w:val="20"/>
          <w:color w:val="auto"/>
        </w:rPr>
      </w:pPr>
      <w:r>
        <w:rPr>
          <w:rFonts w:ascii="Arial" w:cs="Arial" w:eastAsia="Arial" w:hAnsi="Arial"/>
          <w:sz w:val="13"/>
          <w:szCs w:val="13"/>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Recently Adopted Accounting Standard Updates</w:t>
      </w:r>
    </w:p>
    <w:p>
      <w:pPr>
        <w:spacing w:after="0" w:line="138" w:lineRule="exact"/>
        <w:rPr>
          <w:sz w:val="20"/>
          <w:szCs w:val="20"/>
          <w:color w:val="auto"/>
        </w:rPr>
      </w:pPr>
    </w:p>
    <w:p>
      <w:pPr>
        <w:ind w:firstLine="345"/>
        <w:spacing w:after="0" w:line="262" w:lineRule="auto"/>
        <w:rPr>
          <w:sz w:val="20"/>
          <w:szCs w:val="20"/>
          <w:color w:val="auto"/>
        </w:rPr>
      </w:pPr>
      <w:r>
        <w:rPr>
          <w:rFonts w:ascii="Arial" w:cs="Arial" w:eastAsia="Arial" w:hAnsi="Arial"/>
          <w:sz w:val="15"/>
          <w:szCs w:val="15"/>
          <w:color w:val="auto"/>
        </w:rPr>
        <w:t xml:space="preserve">In December 2019, the FASB issued ASU 2019-12, </w:t>
      </w:r>
      <w:r>
        <w:rPr>
          <w:rFonts w:ascii="Arial" w:cs="Arial" w:eastAsia="Arial" w:hAnsi="Arial"/>
          <w:sz w:val="15"/>
          <w:szCs w:val="15"/>
          <w:i w:val="1"/>
          <w:iCs w:val="1"/>
          <w:color w:val="auto"/>
        </w:rPr>
        <w:t>Income Taxes (Topic 740), Simplifying the Accounting for Income Taxes</w:t>
      </w:r>
      <w:r>
        <w:rPr>
          <w:rFonts w:ascii="Arial" w:cs="Arial" w:eastAsia="Arial" w:hAnsi="Arial"/>
          <w:sz w:val="15"/>
          <w:szCs w:val="15"/>
          <w:color w:val="auto"/>
        </w:rPr>
        <w:t xml:space="preserve"> (“ASU-2019-12”). ASU 2019-12 eliminates certain exceptions to the guidance in Topic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enacted changes in tax laws or rates and clarifies the accounting transactions that result in a step-up in the tax basis of goodwill. The guidance is effective for fiscal years beginning after December 15, 2020 and interim periods within those fiscal years. The Company adopted ASU 2019-12, effective January 1, 2021. The impact of adoption of this standard on the consolidated financial statements, including accounting policies, processes and systems, was not material.</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Fair Value Measurements and Long-term Investments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Fair Value Measurements</w:t>
      </w:r>
    </w:p>
    <w:p>
      <w:pPr>
        <w:spacing w:after="0" w:line="103" w:lineRule="exact"/>
        <w:rPr>
          <w:sz w:val="20"/>
          <w:szCs w:val="20"/>
          <w:color w:val="auto"/>
        </w:rPr>
      </w:pPr>
    </w:p>
    <w:p>
      <w:pPr>
        <w:ind w:right="1760" w:firstLine="345"/>
        <w:spacing w:after="0" w:line="383" w:lineRule="auto"/>
        <w:rPr>
          <w:sz w:val="20"/>
          <w:szCs w:val="20"/>
          <w:color w:val="auto"/>
        </w:rPr>
      </w:pPr>
      <w:r>
        <w:rPr>
          <w:rFonts w:ascii="Arial" w:cs="Arial" w:eastAsia="Arial" w:hAnsi="Arial"/>
          <w:sz w:val="15"/>
          <w:szCs w:val="15"/>
          <w:color w:val="auto"/>
        </w:rPr>
        <w:t xml:space="preserve">The Company had no assets or liabilities requiring fair value hierarchy disclosures as of June 30, 2021 or December 31, 2020, except as noted below. </w:t>
      </w:r>
      <w:r>
        <w:rPr>
          <w:rFonts w:ascii="Arial" w:cs="Arial" w:eastAsia="Arial" w:hAnsi="Arial"/>
          <w:sz w:val="15"/>
          <w:szCs w:val="15"/>
          <w:i w:val="1"/>
          <w:iCs w:val="1"/>
          <w:color w:val="auto"/>
        </w:rPr>
        <w:t>Cash Equivalents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Cash equivalents includes money market accounts and are classified as a level 1 measurement based on quoted prices in active markets for identical assets that the reporting</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entity can access at the measurement date. As of June 30, 2021 and December 31, 2020, the Company had cash equivalent balances of $280.1 million and $250.0 million,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Fair Value Measurements</w:t>
      </w:r>
    </w:p>
    <w:p>
      <w:pPr>
        <w:spacing w:after="0" w:line="57" w:lineRule="exact"/>
        <w:rPr>
          <w:sz w:val="20"/>
          <w:szCs w:val="20"/>
          <w:color w:val="auto"/>
        </w:rPr>
      </w:pPr>
    </w:p>
    <w:p>
      <w:pPr>
        <w:ind w:right="40" w:firstLine="345"/>
        <w:spacing w:after="0" w:line="266" w:lineRule="auto"/>
        <w:rPr>
          <w:sz w:val="20"/>
          <w:szCs w:val="20"/>
          <w:color w:val="auto"/>
        </w:rPr>
      </w:pPr>
      <w:r>
        <w:rPr>
          <w:rFonts w:ascii="Arial" w:cs="Arial" w:eastAsia="Arial" w:hAnsi="Arial"/>
          <w:sz w:val="15"/>
          <w:szCs w:val="15"/>
          <w:color w:val="auto"/>
        </w:rPr>
        <w:t>The carrying amounts of cash and cash equivalents, accounts receivable, accounts payable and accrued expenses approximate fair value because of the short-term nature of these instruments. The Company’s non-financial assets, which include property and equipment, intangible assets and goodwill, are not required to be measured at fair value on a recurring basis. However, if the Company is required to evaluate a non-financial asset for impairment, whether due to certain triggering events or because annual impairment testing is required, a resulting asset impairment would require that the non-financial asset be recorded at fair value.</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Long-term Investments</w:t>
      </w:r>
    </w:p>
    <w:p>
      <w:pPr>
        <w:spacing w:after="0" w:line="142" w:lineRule="exact"/>
        <w:rPr>
          <w:sz w:val="20"/>
          <w:szCs w:val="20"/>
          <w:color w:val="auto"/>
        </w:rPr>
      </w:pPr>
    </w:p>
    <w:p>
      <w:pPr>
        <w:ind w:right="20" w:firstLine="345"/>
        <w:spacing w:after="0" w:line="271" w:lineRule="auto"/>
        <w:rPr>
          <w:sz w:val="20"/>
          <w:szCs w:val="20"/>
          <w:color w:val="auto"/>
        </w:rPr>
      </w:pPr>
      <w:r>
        <w:rPr>
          <w:rFonts w:ascii="Arial" w:cs="Arial" w:eastAsia="Arial" w:hAnsi="Arial"/>
          <w:sz w:val="15"/>
          <w:szCs w:val="15"/>
          <w:color w:val="auto"/>
        </w:rPr>
        <w:t>As of June 30, 2021 and December 31, 2020, the Company’s long-term investments were in equity securities with no readily determinable fair value, totaled $20.0 million, and were reported within other assets on the Consolidated Balance Sheets. The Company uses the measurement alternative for these equity investments and their carrying value is reported at cost, adjusted for impairments or any observable price changes in ordinary transactions with identical or similar investments.</w:t>
      </w:r>
    </w:p>
    <w:p>
      <w:pPr>
        <w:spacing w:after="0" w:line="82" w:lineRule="exact"/>
        <w:rPr>
          <w:sz w:val="20"/>
          <w:szCs w:val="20"/>
          <w:color w:val="auto"/>
        </w:rPr>
      </w:pPr>
    </w:p>
    <w:p>
      <w:pPr>
        <w:ind w:right="120" w:firstLine="345"/>
        <w:spacing w:after="0" w:line="266" w:lineRule="auto"/>
        <w:rPr>
          <w:sz w:val="20"/>
          <w:szCs w:val="20"/>
          <w:color w:val="auto"/>
        </w:rPr>
      </w:pPr>
      <w:r>
        <w:rPr>
          <w:rFonts w:ascii="Arial" w:cs="Arial" w:eastAsia="Arial" w:hAnsi="Arial"/>
          <w:sz w:val="15"/>
          <w:szCs w:val="15"/>
          <w:color w:val="auto"/>
        </w:rPr>
        <w:t>On a quarterly basis, the Company evaluates the carrying value of its long-term investments for impairment, which includes an assessment of revenue growth, earnings performance, working capital and general market conditions. As of June 30, 2021, no adjustments to the carrying values of the Company’s long-term investments were identified as a result of this assessment. Changes in performance negatively impacting operating results and cash flows of these investments could result in the Company recording an impairment charge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1" w:name="page12"/>
    <w:bookmarkEnd w:id="11"/>
    <w:p>
      <w:pPr>
        <w:ind w:left="348"/>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32"/>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8" w:right="9900" w:hanging="348"/>
        <w:spacing w:after="0" w:line="446" w:lineRule="auto"/>
        <w:tabs>
          <w:tab w:leader="none" w:pos="212"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Acquisition </w:t>
      </w:r>
      <w:r>
        <w:rPr>
          <w:rFonts w:ascii="Arial" w:cs="Arial" w:eastAsia="Arial" w:hAnsi="Arial"/>
          <w:sz w:val="13"/>
          <w:szCs w:val="13"/>
          <w:i w:val="1"/>
          <w:iCs w:val="1"/>
          <w:color w:val="auto"/>
        </w:rPr>
        <w:t>TurboSquid, Inc.</w:t>
      </w:r>
    </w:p>
    <w:p>
      <w:pPr>
        <w:ind w:left="8" w:right="200" w:firstLine="345"/>
        <w:spacing w:after="0" w:line="266" w:lineRule="auto"/>
        <w:rPr>
          <w:sz w:val="20"/>
          <w:szCs w:val="20"/>
          <w:color w:val="auto"/>
        </w:rPr>
      </w:pPr>
      <w:r>
        <w:rPr>
          <w:rFonts w:ascii="Arial" w:cs="Arial" w:eastAsia="Arial" w:hAnsi="Arial"/>
          <w:sz w:val="15"/>
          <w:szCs w:val="15"/>
          <w:color w:val="auto"/>
        </w:rPr>
        <w:t>On February 1, 2021, the Company completed its acquisition of all of the outstanding shares of TurboSquid, Inc. (“TurboSquid”), for approximately $77.3 million. The total purchase price was paid with existing cash on hand in the three months ended March 31, 2021. The transaction was accounted for using the acquisition method and, accordingly, the results of the acquired business have been included in the Company’s results of operations from the acquisition date. In connection with the acquisition, the Company incurred approximately $1.6 million of transaction costs.</w:t>
      </w:r>
    </w:p>
    <w:p>
      <w:pPr>
        <w:spacing w:after="0" w:line="63" w:lineRule="exact"/>
        <w:rPr>
          <w:sz w:val="20"/>
          <w:szCs w:val="20"/>
          <w:color w:val="auto"/>
        </w:rPr>
      </w:pPr>
    </w:p>
    <w:p>
      <w:pPr>
        <w:jc w:val="both"/>
        <w:ind w:left="8" w:right="180" w:firstLine="345"/>
        <w:spacing w:after="0" w:line="271" w:lineRule="auto"/>
        <w:rPr>
          <w:sz w:val="20"/>
          <w:szCs w:val="20"/>
          <w:color w:val="auto"/>
        </w:rPr>
      </w:pPr>
      <w:r>
        <w:rPr>
          <w:rFonts w:ascii="Arial" w:cs="Arial" w:eastAsia="Arial" w:hAnsi="Arial"/>
          <w:sz w:val="15"/>
          <w:szCs w:val="15"/>
          <w:color w:val="auto"/>
        </w:rPr>
        <w:t>TurboSquid is a Louisiana-based company that operates a marketplace offering more than one million 3D models, a marketplace for 2D images derived from 3D objects and a digital asset management solution. The Company believes this acquisition establishes Shutterstock as the premium destination for 3D models as well as 3D models in an easy-to-use 2D format.</w:t>
      </w:r>
    </w:p>
    <w:p>
      <w:pPr>
        <w:spacing w:after="0" w:line="59" w:lineRule="exact"/>
        <w:rPr>
          <w:sz w:val="20"/>
          <w:szCs w:val="20"/>
          <w:color w:val="auto"/>
        </w:rPr>
      </w:pPr>
    </w:p>
    <w:p>
      <w:pPr>
        <w:ind w:left="8" w:right="40" w:firstLine="345"/>
        <w:spacing w:after="0" w:line="286" w:lineRule="auto"/>
        <w:rPr>
          <w:sz w:val="20"/>
          <w:szCs w:val="20"/>
          <w:color w:val="auto"/>
        </w:rPr>
      </w:pPr>
      <w:r>
        <w:rPr>
          <w:rFonts w:ascii="Arial" w:cs="Arial" w:eastAsia="Arial" w:hAnsi="Arial"/>
          <w:sz w:val="15"/>
          <w:szCs w:val="15"/>
          <w:color w:val="auto"/>
        </w:rPr>
        <w:t>The fair value of consideration transferred in this business combination was allocated to the intangible and tangible assets acquired and liabilities assumed at the acquisition date, with the remaining unallocated amount recorded as goodwill.</w:t>
      </w:r>
    </w:p>
    <w:p>
      <w:pPr>
        <w:spacing w:after="0" w:line="49" w:lineRule="exact"/>
        <w:rPr>
          <w:sz w:val="20"/>
          <w:szCs w:val="20"/>
          <w:color w:val="auto"/>
        </w:rPr>
      </w:pPr>
    </w:p>
    <w:p>
      <w:pPr>
        <w:ind w:left="348"/>
        <w:spacing w:after="0"/>
        <w:rPr>
          <w:sz w:val="20"/>
          <w:szCs w:val="20"/>
          <w:color w:val="auto"/>
        </w:rPr>
      </w:pPr>
      <w:r>
        <w:rPr>
          <w:rFonts w:ascii="Arial" w:cs="Arial" w:eastAsia="Arial" w:hAnsi="Arial"/>
          <w:sz w:val="15"/>
          <w:szCs w:val="15"/>
          <w:color w:val="auto"/>
        </w:rPr>
        <w:t>The aggregate purchase price was allocated to the assets acquired and liabilities assumed as follows (in thousands):</w:t>
      </w:r>
    </w:p>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94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 acquired and liabilities assumed:</w:t>
            </w:r>
          </w:p>
        </w:tc>
        <w:tc>
          <w:tcPr>
            <w:tcW w:w="10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2"/>
                <w:szCs w:val="12"/>
                <w:b w:val="1"/>
                <w:bCs w:val="1"/>
                <w:color w:val="auto"/>
                <w:w w:val="92"/>
              </w:rPr>
              <w:t>Fair Value at Acquisition Date</w:t>
            </w:r>
          </w:p>
        </w:tc>
      </w:tr>
      <w:tr>
        <w:trPr>
          <w:trHeight w:val="172"/>
        </w:trPr>
        <w:tc>
          <w:tcPr>
            <w:tcW w:w="9480" w:type="dxa"/>
            <w:vAlign w:val="bottom"/>
          </w:tcPr>
          <w:p>
            <w:pPr>
              <w:ind w:left="200"/>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12"/>
              <w:spacing w:after="0"/>
              <w:rPr>
                <w:sz w:val="20"/>
                <w:szCs w:val="20"/>
                <w:color w:val="auto"/>
              </w:rPr>
            </w:pPr>
            <w:r>
              <w:rPr>
                <w:rFonts w:ascii="Arial" w:cs="Arial" w:eastAsia="Arial" w:hAnsi="Arial"/>
                <w:sz w:val="14"/>
                <w:szCs w:val="14"/>
                <w:color w:val="auto"/>
              </w:rPr>
              <w:t>5,165</w:t>
            </w:r>
          </w:p>
        </w:tc>
      </w:tr>
      <w:tr>
        <w:trPr>
          <w:trHeight w:val="187"/>
        </w:trPr>
        <w:tc>
          <w:tcPr>
            <w:tcW w:w="9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1,553</w:t>
            </w:r>
          </w:p>
        </w:tc>
      </w:tr>
      <w:tr>
        <w:trPr>
          <w:trHeight w:val="181"/>
        </w:trPr>
        <w:tc>
          <w:tcPr>
            <w:tcW w:w="9480" w:type="dxa"/>
            <w:vAlign w:val="bottom"/>
          </w:tcPr>
          <w:p>
            <w:pPr>
              <w:ind w:left="200"/>
              <w:spacing w:after="0"/>
              <w:rPr>
                <w:sz w:val="20"/>
                <w:szCs w:val="20"/>
                <w:color w:val="auto"/>
              </w:rPr>
            </w:pPr>
            <w:r>
              <w:rPr>
                <w:rFonts w:ascii="Arial" w:cs="Arial" w:eastAsia="Arial" w:hAnsi="Arial"/>
                <w:sz w:val="14"/>
                <w:szCs w:val="14"/>
                <w:color w:val="auto"/>
              </w:rPr>
              <w:t>Property and equipment</w:t>
            </w:r>
          </w:p>
        </w:tc>
        <w:tc>
          <w:tcPr>
            <w:tcW w:w="100" w:type="dxa"/>
            <w:vAlign w:val="bottom"/>
          </w:tcPr>
          <w:p>
            <w:pPr>
              <w:spacing w:after="0"/>
              <w:rPr>
                <w:sz w:val="15"/>
                <w:szCs w:val="15"/>
                <w:color w:val="auto"/>
              </w:rPr>
            </w:pPr>
          </w:p>
        </w:tc>
        <w:tc>
          <w:tcPr>
            <w:tcW w:w="1680" w:type="dxa"/>
            <w:vAlign w:val="bottom"/>
          </w:tcPr>
          <w:p>
            <w:pPr>
              <w:jc w:val="right"/>
              <w:ind w:right="12"/>
              <w:spacing w:after="0"/>
              <w:rPr>
                <w:sz w:val="20"/>
                <w:szCs w:val="20"/>
                <w:color w:val="auto"/>
              </w:rPr>
            </w:pPr>
            <w:r>
              <w:rPr>
                <w:rFonts w:ascii="Arial" w:cs="Arial" w:eastAsia="Arial" w:hAnsi="Arial"/>
                <w:sz w:val="14"/>
                <w:szCs w:val="14"/>
                <w:color w:val="auto"/>
              </w:rPr>
              <w:t>472</w:t>
            </w:r>
          </w:p>
        </w:tc>
      </w:tr>
      <w:tr>
        <w:trPr>
          <w:trHeight w:val="187"/>
        </w:trPr>
        <w:tc>
          <w:tcPr>
            <w:tcW w:w="9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Intangible assets</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21,500</w:t>
            </w:r>
          </w:p>
        </w:tc>
      </w:tr>
      <w:tr>
        <w:trPr>
          <w:trHeight w:val="181"/>
        </w:trPr>
        <w:tc>
          <w:tcPr>
            <w:tcW w:w="94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Goodwill</w:t>
            </w: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59,491</w:t>
            </w:r>
          </w:p>
        </w:tc>
      </w:tr>
      <w:tr>
        <w:trPr>
          <w:trHeight w:val="178"/>
        </w:trPr>
        <w:tc>
          <w:tcPr>
            <w:tcW w:w="9480" w:type="dxa"/>
            <w:vAlign w:val="bottom"/>
            <w:shd w:val="clear" w:color="auto" w:fill="CCEEFF"/>
          </w:tcPr>
          <w:p>
            <w:pPr>
              <w:spacing w:after="0"/>
              <w:rPr>
                <w:sz w:val="20"/>
                <w:szCs w:val="20"/>
                <w:color w:val="auto"/>
              </w:rPr>
            </w:pPr>
            <w:r>
              <w:rPr>
                <w:rFonts w:ascii="Arial" w:cs="Arial" w:eastAsia="Arial" w:hAnsi="Arial"/>
                <w:sz w:val="14"/>
                <w:szCs w:val="14"/>
                <w:color w:val="auto"/>
              </w:rPr>
              <w:t>Total assets acquired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88,181</w:t>
            </w:r>
          </w:p>
        </w:tc>
      </w:tr>
      <w:tr>
        <w:trPr>
          <w:trHeight w:val="26"/>
        </w:trPr>
        <w:tc>
          <w:tcPr>
            <w:tcW w:w="9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84"/>
        </w:trPr>
        <w:tc>
          <w:tcPr>
            <w:tcW w:w="9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payable, accrued expenses and other liabilities</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(4,685)</w:t>
            </w:r>
          </w:p>
        </w:tc>
      </w:tr>
      <w:tr>
        <w:trPr>
          <w:trHeight w:val="181"/>
        </w:trPr>
        <w:tc>
          <w:tcPr>
            <w:tcW w:w="9480" w:type="dxa"/>
            <w:vAlign w:val="bottom"/>
          </w:tcPr>
          <w:p>
            <w:pPr>
              <w:ind w:left="200"/>
              <w:spacing w:after="0"/>
              <w:rPr>
                <w:sz w:val="20"/>
                <w:szCs w:val="20"/>
                <w:color w:val="auto"/>
              </w:rPr>
            </w:pPr>
            <w:r>
              <w:rPr>
                <w:rFonts w:ascii="Arial" w:cs="Arial" w:eastAsia="Arial" w:hAnsi="Arial"/>
                <w:sz w:val="14"/>
                <w:szCs w:val="14"/>
                <w:color w:val="auto"/>
              </w:rPr>
              <w:t>Contributor royalties payable</w:t>
            </w: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(2,243)</w:t>
            </w:r>
          </w:p>
        </w:tc>
      </w:tr>
      <w:tr>
        <w:trPr>
          <w:trHeight w:val="187"/>
        </w:trPr>
        <w:tc>
          <w:tcPr>
            <w:tcW w:w="9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Deferred tax liability</w:t>
            </w:r>
          </w:p>
        </w:tc>
        <w:tc>
          <w:tcPr>
            <w:tcW w:w="10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(3,923)</w:t>
            </w:r>
          </w:p>
        </w:tc>
      </w:tr>
      <w:tr>
        <w:trPr>
          <w:trHeight w:val="172"/>
        </w:trPr>
        <w:tc>
          <w:tcPr>
            <w:tcW w:w="9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liabilities assumed</w:t>
            </w: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(10,851)</w:t>
            </w:r>
          </w:p>
        </w:tc>
      </w:tr>
      <w:tr>
        <w:trPr>
          <w:trHeight w:val="203"/>
        </w:trPr>
        <w:tc>
          <w:tcPr>
            <w:tcW w:w="9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assets acquired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77,330</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ind w:left="8" w:right="60" w:firstLine="345"/>
        <w:spacing w:after="0" w:line="266" w:lineRule="auto"/>
        <w:rPr>
          <w:sz w:val="20"/>
          <w:szCs w:val="20"/>
          <w:color w:val="auto"/>
        </w:rPr>
      </w:pPr>
      <w:r>
        <w:rPr>
          <w:rFonts w:ascii="Arial" w:cs="Arial" w:eastAsia="Arial" w:hAnsi="Arial"/>
          <w:sz w:val="15"/>
          <w:szCs w:val="15"/>
          <w:color w:val="auto"/>
        </w:rPr>
        <w:t>The identifiable intangible assets, which include customer relationships, developed technology, trade names and contributor content, have a weighted average life of approximately 8.2 years and are being amortized on a straight-line basis. The fair value of the customer relationships was determined using a variation of the income approach known as the multiple-period excess earnings method. The fair value of the trade names and developed technology were determined using the relief-from-royalty method and the fair value of the contributor content was determined using the cost-to-recreate method.</w:t>
      </w:r>
    </w:p>
    <w:p>
      <w:pPr>
        <w:spacing w:after="0" w:line="63" w:lineRule="exact"/>
        <w:rPr>
          <w:sz w:val="20"/>
          <w:szCs w:val="20"/>
          <w:color w:val="auto"/>
        </w:rPr>
      </w:pPr>
    </w:p>
    <w:p>
      <w:pPr>
        <w:ind w:left="348"/>
        <w:spacing w:after="0"/>
        <w:rPr>
          <w:sz w:val="20"/>
          <w:szCs w:val="20"/>
          <w:color w:val="auto"/>
        </w:rPr>
      </w:pPr>
      <w:r>
        <w:rPr>
          <w:rFonts w:ascii="Arial" w:cs="Arial" w:eastAsia="Arial" w:hAnsi="Arial"/>
          <w:sz w:val="15"/>
          <w:szCs w:val="15"/>
          <w:color w:val="auto"/>
        </w:rPr>
        <w:t>The goodwill arising from the transaction is primarily attributable to expected operational synergies and is not deductible for income tax purposes.</w:t>
      </w:r>
    </w:p>
    <w:p>
      <w:pPr>
        <w:spacing w:after="0" w:line="200" w:lineRule="exact"/>
        <w:rPr>
          <w:sz w:val="20"/>
          <w:szCs w:val="20"/>
          <w:color w:val="auto"/>
        </w:rPr>
      </w:pPr>
    </w:p>
    <w:p>
      <w:pPr>
        <w:spacing w:after="0" w:line="317"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118110</wp:posOffset>
            </wp:positionV>
            <wp:extent cx="717804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9" w:right="319" w:bottom="1440" w:gutter="0" w:footer="0" w:header="0"/>
        </w:sectPr>
      </w:pPr>
    </w:p>
    <w:bookmarkStart w:id="12" w:name="page13"/>
    <w:bookmarkEnd w:id="12"/>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00" w:firstLine="345"/>
        <w:spacing w:after="0" w:line="264" w:lineRule="auto"/>
        <w:rPr>
          <w:sz w:val="20"/>
          <w:szCs w:val="20"/>
          <w:color w:val="auto"/>
        </w:rPr>
      </w:pPr>
      <w:r>
        <w:rPr>
          <w:rFonts w:ascii="Arial" w:cs="Arial" w:eastAsia="Arial" w:hAnsi="Arial"/>
          <w:sz w:val="15"/>
          <w:szCs w:val="15"/>
          <w:color w:val="auto"/>
        </w:rPr>
        <w:t>The following unaudited pro forma consolidated financial information (in thousands) reflects the results of operations of the Company for the three and six months ended June 30, 2021 and 2020, as if the TurboSquid acquisition had been completed on January 1, 2020, after giving effect to certain purchase accounting adjustments, primarily related to intangible assets. These pro forma results have been prepared for comparative purposes only and are not necessarily indicative of what the Company’s operating results would have been, had the acquisitions actually taken place at the beginning of the previous annual period: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500" w:type="dxa"/>
            <w:vAlign w:val="bottom"/>
            <w:tcBorders>
              <w:bottom w:val="single" w:sz="8" w:color="CCEEFF"/>
            </w:tcBorders>
          </w:tcPr>
          <w:p>
            <w:pPr>
              <w:spacing w:after="0"/>
              <w:rPr>
                <w:sz w:val="14"/>
                <w:szCs w:val="14"/>
                <w:color w:val="auto"/>
              </w:rPr>
            </w:pPr>
          </w:p>
        </w:tc>
        <w:tc>
          <w:tcPr>
            <w:tcW w:w="282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2"/>
                <w:szCs w:val="12"/>
                <w:b w:val="1"/>
                <w:bCs w:val="1"/>
                <w:color w:val="auto"/>
              </w:rPr>
              <w:t>Three Months Ended June 30,</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Six Months Ended June 30,</w:t>
            </w:r>
          </w:p>
        </w:tc>
        <w:tc>
          <w:tcPr>
            <w:tcW w:w="780" w:type="dxa"/>
            <w:vAlign w:val="bottom"/>
            <w:tcBorders>
              <w:bottom w:val="single" w:sz="8" w:color="auto"/>
            </w:tcBorders>
          </w:tcPr>
          <w:p>
            <w:pPr>
              <w:spacing w:after="0"/>
              <w:rPr>
                <w:sz w:val="14"/>
                <w:szCs w:val="14"/>
                <w:color w:val="auto"/>
              </w:rPr>
            </w:pPr>
          </w:p>
        </w:tc>
      </w:tr>
      <w:tr>
        <w:trPr>
          <w:trHeight w:val="157"/>
        </w:trPr>
        <w:tc>
          <w:tcPr>
            <w:tcW w:w="450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2021</w:t>
            </w:r>
          </w:p>
        </w:tc>
        <w:tc>
          <w:tcPr>
            <w:tcW w:w="5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2020</w:t>
            </w:r>
          </w:p>
        </w:tc>
        <w:tc>
          <w:tcPr>
            <w:tcW w:w="5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2"/>
                <w:szCs w:val="12"/>
                <w:b w:val="1"/>
                <w:bCs w:val="1"/>
                <w:color w:val="auto"/>
              </w:rPr>
              <w:t>2021</w:t>
            </w:r>
          </w:p>
        </w:tc>
        <w:tc>
          <w:tcPr>
            <w:tcW w:w="8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2"/>
                <w:szCs w:val="12"/>
                <w:b w:val="1"/>
                <w:bCs w:val="1"/>
                <w:color w:val="auto"/>
                <w:w w:val="89"/>
              </w:rPr>
              <w:t>2020</w:t>
            </w:r>
          </w:p>
        </w:tc>
      </w:tr>
      <w:tr>
        <w:trPr>
          <w:trHeight w:val="161"/>
        </w:trPr>
        <w:tc>
          <w:tcPr>
            <w:tcW w:w="4500" w:type="dxa"/>
            <w:vAlign w:val="bottom"/>
          </w:tcPr>
          <w:p>
            <w:pPr>
              <w:ind w:left="360"/>
              <w:spacing w:after="0" w:line="158" w:lineRule="exact"/>
              <w:rPr>
                <w:sz w:val="20"/>
                <w:szCs w:val="20"/>
                <w:color w:val="auto"/>
              </w:rPr>
            </w:pPr>
            <w:r>
              <w:rPr>
                <w:rFonts w:ascii="Arial" w:cs="Arial" w:eastAsia="Arial" w:hAnsi="Arial"/>
                <w:sz w:val="14"/>
                <w:szCs w:val="14"/>
                <w:color w:val="auto"/>
              </w:rPr>
              <w:t>Revenue</w:t>
            </w: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7"/>
        </w:trPr>
        <w:tc>
          <w:tcPr>
            <w:tcW w:w="45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As Reported</w:t>
            </w:r>
          </w:p>
        </w:tc>
        <w:tc>
          <w:tcPr>
            <w:tcW w:w="1120" w:type="dxa"/>
            <w:vAlign w:val="bottom"/>
            <w:shd w:val="clear" w:color="auto" w:fill="CCEEFF"/>
          </w:tcPr>
          <w:p>
            <w:pPr>
              <w:jc w:val="right"/>
              <w:ind w:right="615"/>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189,912</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159,230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373,193</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5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320,515</w:t>
            </w:r>
          </w:p>
        </w:tc>
      </w:tr>
      <w:tr>
        <w:trPr>
          <w:trHeight w:val="181"/>
        </w:trPr>
        <w:tc>
          <w:tcPr>
            <w:tcW w:w="4500" w:type="dxa"/>
            <w:vAlign w:val="bottom"/>
          </w:tcPr>
          <w:p>
            <w:pPr>
              <w:ind w:left="440"/>
              <w:spacing w:after="0"/>
              <w:rPr>
                <w:sz w:val="20"/>
                <w:szCs w:val="20"/>
                <w:color w:val="auto"/>
              </w:rPr>
            </w:pPr>
            <w:r>
              <w:rPr>
                <w:rFonts w:ascii="Arial" w:cs="Arial" w:eastAsia="Arial" w:hAnsi="Arial"/>
                <w:sz w:val="14"/>
                <w:szCs w:val="14"/>
                <w:color w:val="auto"/>
              </w:rPr>
              <w:t>Pro Forma</w:t>
            </w:r>
          </w:p>
        </w:tc>
        <w:tc>
          <w:tcPr>
            <w:tcW w:w="1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86"/>
              </w:rPr>
              <w:t>189,912</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164,762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375,256</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331,485</w:t>
            </w:r>
          </w:p>
        </w:tc>
      </w:tr>
      <w:tr>
        <w:trPr>
          <w:trHeight w:val="187"/>
        </w:trPr>
        <w:tc>
          <w:tcPr>
            <w:tcW w:w="4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before income taxes</w:t>
            </w:r>
          </w:p>
        </w:tc>
        <w:tc>
          <w:tcPr>
            <w:tcW w:w="1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81"/>
        </w:trPr>
        <w:tc>
          <w:tcPr>
            <w:tcW w:w="4500" w:type="dxa"/>
            <w:vAlign w:val="bottom"/>
          </w:tcPr>
          <w:p>
            <w:pPr>
              <w:ind w:left="440"/>
              <w:spacing w:after="0"/>
              <w:rPr>
                <w:sz w:val="20"/>
                <w:szCs w:val="20"/>
                <w:color w:val="auto"/>
              </w:rPr>
            </w:pPr>
            <w:r>
              <w:rPr>
                <w:rFonts w:ascii="Arial" w:cs="Arial" w:eastAsia="Arial" w:hAnsi="Arial"/>
                <w:sz w:val="14"/>
                <w:szCs w:val="14"/>
                <w:color w:val="auto"/>
              </w:rPr>
              <w:t>As Reported</w:t>
            </w:r>
          </w:p>
        </w:tc>
        <w:tc>
          <w:tcPr>
            <w:tcW w:w="1120" w:type="dxa"/>
            <w:vAlign w:val="bottom"/>
          </w:tcPr>
          <w:p>
            <w:pPr>
              <w:jc w:val="right"/>
              <w:ind w:right="615"/>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34,548</w:t>
            </w:r>
          </w:p>
        </w:tc>
        <w:tc>
          <w:tcPr>
            <w:tcW w:w="100" w:type="dxa"/>
            <w:vAlign w:val="bottom"/>
          </w:tcPr>
          <w:p>
            <w:pPr>
              <w:spacing w:after="0"/>
              <w:rPr>
                <w:sz w:val="15"/>
                <w:szCs w:val="15"/>
                <w:color w:val="auto"/>
              </w:rPr>
            </w:pPr>
          </w:p>
        </w:tc>
        <w:tc>
          <w:tcPr>
            <w:tcW w:w="1100" w:type="dxa"/>
            <w:vAlign w:val="bottom"/>
          </w:tcPr>
          <w:p>
            <w:pPr>
              <w:jc w:val="right"/>
              <w:ind w:right="614"/>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22,694</w:t>
            </w:r>
          </w:p>
        </w:tc>
        <w:tc>
          <w:tcPr>
            <w:tcW w:w="80" w:type="dxa"/>
            <w:vAlign w:val="bottom"/>
          </w:tcPr>
          <w:p>
            <w:pPr>
              <w:spacing w:after="0"/>
              <w:rPr>
                <w:sz w:val="15"/>
                <w:szCs w:val="15"/>
                <w:color w:val="auto"/>
              </w:rPr>
            </w:pPr>
          </w:p>
        </w:tc>
        <w:tc>
          <w:tcPr>
            <w:tcW w:w="6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70,204</w:t>
            </w:r>
          </w:p>
        </w:tc>
        <w:tc>
          <w:tcPr>
            <w:tcW w:w="80" w:type="dxa"/>
            <w:vAlign w:val="bottom"/>
          </w:tcPr>
          <w:p>
            <w:pPr>
              <w:spacing w:after="0"/>
              <w:rPr>
                <w:sz w:val="15"/>
                <w:szCs w:val="15"/>
                <w:color w:val="auto"/>
              </w:rPr>
            </w:pPr>
          </w:p>
        </w:tc>
        <w:tc>
          <w:tcPr>
            <w:tcW w:w="860" w:type="dxa"/>
            <w:vAlign w:val="bottom"/>
          </w:tcPr>
          <w:p>
            <w:pPr>
              <w:jc w:val="right"/>
              <w:ind w:right="35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28,988</w:t>
            </w:r>
          </w:p>
        </w:tc>
      </w:tr>
      <w:tr>
        <w:trPr>
          <w:trHeight w:val="187"/>
        </w:trPr>
        <w:tc>
          <w:tcPr>
            <w:tcW w:w="45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Pro Forma</w:t>
            </w:r>
          </w:p>
        </w:tc>
        <w:tc>
          <w:tcPr>
            <w:tcW w:w="1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34,548</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22,728</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71,505</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27,569</w:t>
            </w: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Property and Equipment</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Property and equipment is summarized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2"/>
                <w:szCs w:val="12"/>
                <w:b w:val="1"/>
                <w:bCs w:val="1"/>
                <w:color w:val="auto"/>
              </w:rPr>
              <w:t>As of June 30, 2021</w:t>
            </w:r>
          </w:p>
        </w:tc>
        <w:tc>
          <w:tcPr>
            <w:tcW w:w="440" w:type="dxa"/>
            <w:vAlign w:val="bottom"/>
          </w:tcPr>
          <w:p>
            <w:pPr>
              <w:spacing w:after="0"/>
              <w:rPr>
                <w:sz w:val="14"/>
                <w:szCs w:val="14"/>
                <w:color w:val="auto"/>
              </w:rPr>
            </w:pPr>
          </w:p>
        </w:tc>
        <w:tc>
          <w:tcPr>
            <w:tcW w:w="1440" w:type="dxa"/>
            <w:vAlign w:val="bottom"/>
          </w:tcPr>
          <w:p>
            <w:pPr>
              <w:jc w:val="right"/>
              <w:ind w:right="52"/>
              <w:spacing w:after="0"/>
              <w:rPr>
                <w:sz w:val="20"/>
                <w:szCs w:val="20"/>
                <w:color w:val="auto"/>
              </w:rPr>
            </w:pPr>
            <w:r>
              <w:rPr>
                <w:rFonts w:ascii="Arial" w:cs="Arial" w:eastAsia="Arial" w:hAnsi="Arial"/>
                <w:sz w:val="12"/>
                <w:szCs w:val="12"/>
                <w:b w:val="1"/>
                <w:bCs w:val="1"/>
                <w:color w:val="auto"/>
                <w:w w:val="91"/>
              </w:rPr>
              <w:t>As of December 31, 2020</w:t>
            </w:r>
          </w:p>
        </w:tc>
      </w:tr>
      <w:tr>
        <w:trPr>
          <w:trHeight w:val="180"/>
        </w:trPr>
        <w:tc>
          <w:tcPr>
            <w:tcW w:w="7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Computer equipment and software</w:t>
            </w:r>
          </w:p>
        </w:tc>
        <w:tc>
          <w:tcPr>
            <w:tcW w:w="5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208,018</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193,141</w:t>
            </w:r>
          </w:p>
        </w:tc>
      </w:tr>
      <w:tr>
        <w:trPr>
          <w:trHeight w:val="181"/>
        </w:trPr>
        <w:tc>
          <w:tcPr>
            <w:tcW w:w="7380" w:type="dxa"/>
            <w:vAlign w:val="bottom"/>
          </w:tcPr>
          <w:p>
            <w:pPr>
              <w:ind w:left="360"/>
              <w:spacing w:after="0"/>
              <w:rPr>
                <w:sz w:val="20"/>
                <w:szCs w:val="20"/>
                <w:color w:val="auto"/>
              </w:rPr>
            </w:pPr>
            <w:r>
              <w:rPr>
                <w:rFonts w:ascii="Arial" w:cs="Arial" w:eastAsia="Arial" w:hAnsi="Arial"/>
                <w:sz w:val="14"/>
                <w:szCs w:val="14"/>
                <w:color w:val="auto"/>
              </w:rPr>
              <w:t>Furniture and fixtures</w:t>
            </w:r>
          </w:p>
        </w:tc>
        <w:tc>
          <w:tcPr>
            <w:tcW w:w="5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10,246</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10,235</w:t>
            </w:r>
          </w:p>
        </w:tc>
      </w:tr>
      <w:tr>
        <w:trPr>
          <w:trHeight w:val="187"/>
        </w:trPr>
        <w:tc>
          <w:tcPr>
            <w:tcW w:w="7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Leasehold improvements</w:t>
            </w:r>
          </w:p>
        </w:tc>
        <w:tc>
          <w:tcPr>
            <w:tcW w:w="52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19,380</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19,382</w:t>
            </w:r>
          </w:p>
        </w:tc>
      </w:tr>
      <w:tr>
        <w:trPr>
          <w:trHeight w:val="172"/>
        </w:trPr>
        <w:tc>
          <w:tcPr>
            <w:tcW w:w="7380" w:type="dxa"/>
            <w:vAlign w:val="bottom"/>
          </w:tcPr>
          <w:p>
            <w:pPr>
              <w:ind w:left="460"/>
              <w:spacing w:after="0" w:line="158" w:lineRule="exact"/>
              <w:rPr>
                <w:sz w:val="20"/>
                <w:szCs w:val="20"/>
                <w:color w:val="auto"/>
              </w:rPr>
            </w:pPr>
            <w:r>
              <w:rPr>
                <w:rFonts w:ascii="Arial" w:cs="Arial" w:eastAsia="Arial" w:hAnsi="Arial"/>
                <w:sz w:val="14"/>
                <w:szCs w:val="14"/>
                <w:color w:val="auto"/>
              </w:rPr>
              <w:t>Property and equipment</w:t>
            </w:r>
          </w:p>
        </w:tc>
        <w:tc>
          <w:tcPr>
            <w:tcW w:w="5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237,644</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222,758</w:t>
            </w:r>
          </w:p>
        </w:tc>
      </w:tr>
      <w:tr>
        <w:trPr>
          <w:trHeight w:val="187"/>
        </w:trPr>
        <w:tc>
          <w:tcPr>
            <w:tcW w:w="7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accumulated depreciation</w:t>
            </w:r>
          </w:p>
        </w:tc>
        <w:tc>
          <w:tcPr>
            <w:tcW w:w="52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(187,654)</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(171,852)</w:t>
            </w:r>
          </w:p>
        </w:tc>
      </w:tr>
      <w:tr>
        <w:trPr>
          <w:trHeight w:val="172"/>
        </w:trPr>
        <w:tc>
          <w:tcPr>
            <w:tcW w:w="7380" w:type="dxa"/>
            <w:vAlign w:val="bottom"/>
          </w:tcPr>
          <w:p>
            <w:pPr>
              <w:ind w:left="460"/>
              <w:spacing w:after="0" w:line="158" w:lineRule="exact"/>
              <w:rPr>
                <w:sz w:val="20"/>
                <w:szCs w:val="20"/>
                <w:color w:val="auto"/>
              </w:rPr>
            </w:pPr>
            <w:r>
              <w:rPr>
                <w:rFonts w:ascii="Arial" w:cs="Arial" w:eastAsia="Arial" w:hAnsi="Arial"/>
                <w:sz w:val="14"/>
                <w:szCs w:val="14"/>
                <w:color w:val="auto"/>
              </w:rPr>
              <w:t>Property and equipment, net</w:t>
            </w: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49,990</w:t>
            </w: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50,906</w:t>
            </w:r>
          </w:p>
        </w:tc>
      </w:tr>
      <w:tr>
        <w:trPr>
          <w:trHeight w:val="20"/>
        </w:trPr>
        <w:tc>
          <w:tcPr>
            <w:tcW w:w="7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right="60" w:firstLine="345"/>
        <w:spacing w:after="0" w:line="263" w:lineRule="auto"/>
        <w:rPr>
          <w:sz w:val="20"/>
          <w:szCs w:val="20"/>
          <w:color w:val="auto"/>
        </w:rPr>
      </w:pPr>
      <w:r>
        <w:rPr>
          <w:rFonts w:ascii="Arial" w:cs="Arial" w:eastAsia="Arial" w:hAnsi="Arial"/>
          <w:sz w:val="15"/>
          <w:szCs w:val="15"/>
          <w:color w:val="auto"/>
        </w:rPr>
        <w:t>Depreciation expense related to property and equipment was $7.9 million and $9.6 million for the three months ended June 30, 2021 and 2020, respectively, and $15.9 million and $18.9 million for the six months ended June 30, 2021 and 2020, respectively. Cost of revenues included depreciation expense of $7.1 million and $8.6 million for the three months ended June 30, 2021 and 2020, respectively, and $14.2 million and $16.8 million for the six months ended June 30, 2021 and 2020, respectively. General and administrative expense included depreciation expense of $0.8 million and $1.0 million for the three months ended June 30, 2021 and 2020, respectively, and $1.7 million and $2.1 million for the six months ended June 30, 2021 and 2020,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Capitalized Internal-Use Software</w:t>
      </w:r>
    </w:p>
    <w:p>
      <w:pPr>
        <w:spacing w:after="0" w:line="57" w:lineRule="exact"/>
        <w:rPr>
          <w:sz w:val="20"/>
          <w:szCs w:val="20"/>
          <w:color w:val="auto"/>
        </w:rPr>
      </w:pPr>
    </w:p>
    <w:p>
      <w:pPr>
        <w:ind w:right="300" w:firstLine="345"/>
        <w:spacing w:after="0" w:line="271" w:lineRule="auto"/>
        <w:rPr>
          <w:sz w:val="20"/>
          <w:szCs w:val="20"/>
          <w:color w:val="auto"/>
        </w:rPr>
      </w:pPr>
      <w:r>
        <w:rPr>
          <w:rFonts w:ascii="Arial" w:cs="Arial" w:eastAsia="Arial" w:hAnsi="Arial"/>
          <w:sz w:val="15"/>
          <w:szCs w:val="15"/>
          <w:color w:val="auto"/>
        </w:rPr>
        <w:t>The Company capitalized costs related to the development of internal-use software of $7.2 million and $6.5 million for the three months ended June 30, 2021 and 2020, respectively, and $14.2 million and $13.1 million for the six months ended June 30, 2021 and 2020, respectively. Capitalized amounts are included as a component of property and equipment under computer equipment and software on the Consolidated Balance Sheets.</w:t>
      </w:r>
    </w:p>
    <w:p>
      <w:pPr>
        <w:spacing w:after="0" w:line="59" w:lineRule="exact"/>
        <w:rPr>
          <w:sz w:val="20"/>
          <w:szCs w:val="20"/>
          <w:color w:val="auto"/>
        </w:rPr>
      </w:pPr>
    </w:p>
    <w:p>
      <w:pPr>
        <w:ind w:right="220" w:firstLine="345"/>
        <w:spacing w:after="0" w:line="271" w:lineRule="auto"/>
        <w:rPr>
          <w:sz w:val="20"/>
          <w:szCs w:val="20"/>
          <w:color w:val="auto"/>
        </w:rPr>
      </w:pPr>
      <w:r>
        <w:rPr>
          <w:rFonts w:ascii="Arial" w:cs="Arial" w:eastAsia="Arial" w:hAnsi="Arial"/>
          <w:sz w:val="15"/>
          <w:szCs w:val="15"/>
          <w:color w:val="auto"/>
        </w:rPr>
        <w:t>The portion of total depreciation expense related to capitalized internal-use software was $6.6 million and $7.8 million for the three months ended June 30, 2021 and 2020, respectively, and $13.3 million and $14.9 million for the six months ended June 30, 2021 and 2020, respectively. Depreciation expense related to capitalized internal-use software is included in cost of revenue in the Consolidated Statements of Operations.</w:t>
      </w:r>
    </w:p>
    <w:p>
      <w:pPr>
        <w:spacing w:after="0" w:line="59" w:lineRule="exact"/>
        <w:rPr>
          <w:sz w:val="20"/>
          <w:szCs w:val="20"/>
          <w:color w:val="auto"/>
        </w:rPr>
      </w:pPr>
    </w:p>
    <w:p>
      <w:pPr>
        <w:ind w:right="800" w:firstLine="345"/>
        <w:spacing w:after="0" w:line="286" w:lineRule="auto"/>
        <w:rPr>
          <w:sz w:val="20"/>
          <w:szCs w:val="20"/>
          <w:color w:val="auto"/>
        </w:rPr>
      </w:pPr>
      <w:r>
        <w:rPr>
          <w:rFonts w:ascii="Arial" w:cs="Arial" w:eastAsia="Arial" w:hAnsi="Arial"/>
          <w:sz w:val="15"/>
          <w:szCs w:val="15"/>
          <w:color w:val="auto"/>
        </w:rPr>
        <w:t>As of June 30, 2021 and December 31, 2020, the Company had capitalized internal-use software of $38.9 million and $38.0 million, respectively, net of accumulated depreciation, which was included in property and equipment, net.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3" w:name="page14"/>
    <w:bookmarkEnd w:id="13"/>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Goodwill and Intangible Assets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Goodwill</w:t>
      </w:r>
    </w:p>
    <w:p>
      <w:pPr>
        <w:spacing w:after="0" w:line="103" w:lineRule="exact"/>
        <w:rPr>
          <w:sz w:val="20"/>
          <w:szCs w:val="20"/>
          <w:color w:val="auto"/>
        </w:rPr>
      </w:pPr>
    </w:p>
    <w:p>
      <w:pPr>
        <w:ind w:right="120" w:firstLine="345"/>
        <w:spacing w:after="0" w:line="286" w:lineRule="auto"/>
        <w:rPr>
          <w:sz w:val="20"/>
          <w:szCs w:val="20"/>
          <w:color w:val="auto"/>
        </w:rPr>
      </w:pPr>
      <w:r>
        <w:rPr>
          <w:rFonts w:ascii="Arial" w:cs="Arial" w:eastAsia="Arial" w:hAnsi="Arial"/>
          <w:sz w:val="15"/>
          <w:szCs w:val="15"/>
          <w:color w:val="auto"/>
        </w:rPr>
        <w:t>The Company’s goodwill balance is attributable to its Content reporting unit and is tested for impairment annually on October 1 or upon a triggering event. No triggering events were identified during the six months ended June 30, 2021.</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summarizes the changes in the Company’s goodwill balance during the six months ended June 30, 2021 (in thousands):</w:t>
      </w:r>
    </w:p>
    <w:p>
      <w:pPr>
        <w:spacing w:after="0" w:line="37" w:lineRule="exact"/>
        <w:rPr>
          <w:sz w:val="20"/>
          <w:szCs w:val="20"/>
          <w:color w:val="auto"/>
        </w:rPr>
      </w:pPr>
    </w:p>
    <w:p>
      <w:pPr>
        <w:ind w:left="10160"/>
        <w:spacing w:after="0"/>
        <w:rPr>
          <w:sz w:val="20"/>
          <w:szCs w:val="20"/>
          <w:color w:val="auto"/>
        </w:rPr>
      </w:pPr>
      <w:r>
        <w:rPr>
          <w:rFonts w:ascii="Arial" w:cs="Arial" w:eastAsia="Arial" w:hAnsi="Arial"/>
          <w:sz w:val="12"/>
          <w:szCs w:val="12"/>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7152640" cy="123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2640" cy="12382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p>
      <w:pPr>
        <w:spacing w:after="0" w:line="4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Balance as of December 31, 2020</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Goodwill related to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52640" cy="1168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2640" cy="11684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1"/>
          <w:szCs w:val="11"/>
          <w:color w:val="auto"/>
        </w:rPr>
        <w:t>Foreign currency translation adjustment</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Balance as of June 30, 2021</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1273" w:hanging="1273"/>
        <w:spacing w:after="0"/>
        <w:tabs>
          <w:tab w:leader="none" w:pos="1273" w:val="left"/>
        </w:tabs>
        <w:numPr>
          <w:ilvl w:val="0"/>
          <w:numId w:val="5"/>
        </w:numPr>
        <w:rPr>
          <w:rFonts w:ascii="Arial" w:cs="Arial" w:eastAsia="Arial" w:hAnsi="Arial"/>
          <w:sz w:val="11"/>
          <w:szCs w:val="11"/>
          <w:color w:val="auto"/>
        </w:rPr>
      </w:pPr>
      <w:r>
        <w:rPr>
          <w:rFonts w:ascii="Arial" w:cs="Arial" w:eastAsia="Arial" w:hAnsi="Arial"/>
          <w:sz w:val="11"/>
          <w:szCs w:val="11"/>
          <w:color w:val="auto"/>
        </w:rPr>
        <w:t>89,413</w:t>
      </w:r>
    </w:p>
    <w:p>
      <w:pPr>
        <w:spacing w:after="0" w:line="57" w:lineRule="exact"/>
        <w:rPr>
          <w:sz w:val="20"/>
          <w:szCs w:val="20"/>
          <w:color w:val="auto"/>
        </w:rPr>
      </w:pPr>
    </w:p>
    <w:p>
      <w:pPr>
        <w:ind w:left="1273" w:hanging="1273"/>
        <w:spacing w:after="0"/>
        <w:tabs>
          <w:tab w:leader="none" w:pos="1273" w:val="left"/>
        </w:tabs>
        <w:numPr>
          <w:ilvl w:val="0"/>
          <w:numId w:val="6"/>
        </w:numPr>
        <w:rPr>
          <w:rFonts w:ascii="Arial" w:cs="Arial" w:eastAsia="Arial" w:hAnsi="Arial"/>
          <w:sz w:val="11"/>
          <w:szCs w:val="11"/>
          <w:color w:val="auto"/>
        </w:rPr>
      </w:pPr>
      <w:r>
        <w:rPr>
          <w:rFonts w:ascii="Arial" w:cs="Arial" w:eastAsia="Arial" w:hAnsi="Arial"/>
          <w:sz w:val="11"/>
          <w:szCs w:val="11"/>
          <w:color w:val="auto"/>
        </w:rPr>
        <w:t>59,491</w:t>
      </w:r>
    </w:p>
    <w:p>
      <w:pPr>
        <w:spacing w:after="0" w:line="57" w:lineRule="exact"/>
        <w:rPr>
          <w:rFonts w:ascii="Arial" w:cs="Arial" w:eastAsia="Arial" w:hAnsi="Arial"/>
          <w:sz w:val="11"/>
          <w:szCs w:val="11"/>
          <w:color w:val="auto"/>
        </w:rPr>
      </w:pPr>
    </w:p>
    <w:p>
      <w:pPr>
        <w:ind w:left="1453"/>
        <w:spacing w:after="0"/>
        <w:rPr>
          <w:rFonts w:ascii="Arial" w:cs="Arial" w:eastAsia="Arial" w:hAnsi="Arial"/>
          <w:sz w:val="11"/>
          <w:szCs w:val="11"/>
          <w:color w:val="auto"/>
        </w:rPr>
      </w:pPr>
      <w:r>
        <w:rPr>
          <w:rFonts w:ascii="Arial" w:cs="Arial" w:eastAsia="Arial" w:hAnsi="Arial"/>
          <w:sz w:val="11"/>
          <w:szCs w:val="11"/>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34290</wp:posOffset>
            </wp:positionV>
            <wp:extent cx="131381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13815" cy="6985"/>
                    </a:xfrm>
                    <a:prstGeom prst="rect">
                      <a:avLst/>
                    </a:prstGeom>
                    <a:noFill/>
                  </pic:spPr>
                </pic:pic>
              </a:graphicData>
            </a:graphic>
          </wp:anchor>
        </w:drawing>
      </w:r>
    </w:p>
    <w:p>
      <w:pPr>
        <w:spacing w:after="0" w:line="49" w:lineRule="exact"/>
        <w:rPr>
          <w:sz w:val="20"/>
          <w:szCs w:val="20"/>
          <w:color w:val="auto"/>
        </w:rPr>
      </w:pPr>
    </w:p>
    <w:p>
      <w:pPr>
        <w:ind w:left="1213" w:hanging="1213"/>
        <w:spacing w:after="0"/>
        <w:tabs>
          <w:tab w:leader="none" w:pos="1213" w:val="left"/>
        </w:tabs>
        <w:numPr>
          <w:ilvl w:val="0"/>
          <w:numId w:val="7"/>
        </w:numPr>
        <w:rPr>
          <w:rFonts w:ascii="Arial" w:cs="Arial" w:eastAsia="Arial" w:hAnsi="Arial"/>
          <w:sz w:val="11"/>
          <w:szCs w:val="11"/>
          <w:color w:val="auto"/>
        </w:rPr>
      </w:pPr>
      <w:r>
        <w:rPr>
          <w:rFonts w:ascii="Arial" w:cs="Arial" w:eastAsia="Arial" w:hAnsi="Arial"/>
          <w:sz w:val="11"/>
          <w:szCs w:val="11"/>
          <w:color w:val="auto"/>
        </w:rPr>
        <w:t>149,069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34290</wp:posOffset>
            </wp:positionV>
            <wp:extent cx="131381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13815" cy="698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56515</wp:posOffset>
            </wp:positionV>
            <wp:extent cx="131381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13815" cy="6985"/>
                    </a:xfrm>
                    <a:prstGeom prst="rect">
                      <a:avLst/>
                    </a:prstGeom>
                    <a:noFill/>
                  </pic:spPr>
                </pic:pic>
              </a:graphicData>
            </a:graphic>
          </wp:anchor>
        </w:drawing>
      </w:r>
    </w:p>
    <w:p>
      <w:pPr>
        <w:spacing w:after="0" w:line="257" w:lineRule="exact"/>
        <w:rPr>
          <w:sz w:val="20"/>
          <w:szCs w:val="20"/>
          <w:color w:val="auto"/>
        </w:rPr>
      </w:pPr>
    </w:p>
    <w:p>
      <w:pPr>
        <w:sectPr>
          <w:pgSz w:w="11900" w:h="16838" w:orient="portrait"/>
          <w:cols w:equalWidth="0" w:num="2">
            <w:col w:w="8827" w:space="720"/>
            <w:col w:w="1713"/>
          </w:cols>
          <w:pgMar w:left="320" w:top="129" w:right="319" w:bottom="1440" w:gutter="0" w:footer="0" w:header="0"/>
          <w:type w:val="continuous"/>
        </w:sectPr>
      </w:pP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Intangible Assets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Intangible assets consisted of the following as of June 30, 2021 and December 31, 2020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360"/>
              <w:spacing w:after="0"/>
              <w:rPr>
                <w:sz w:val="20"/>
                <w:szCs w:val="20"/>
                <w:color w:val="auto"/>
              </w:rPr>
            </w:pPr>
            <w:r>
              <w:rPr>
                <w:rFonts w:ascii="Arial" w:cs="Arial" w:eastAsia="Arial" w:hAnsi="Arial"/>
                <w:sz w:val="12"/>
                <w:szCs w:val="12"/>
                <w:b w:val="1"/>
                <w:bCs w:val="1"/>
                <w:color w:val="auto"/>
                <w:w w:val="96"/>
              </w:rPr>
              <w:t>As of June 30, 2021</w:t>
            </w: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0"/>
              </w:rPr>
              <w:t>As of December 31, 2020</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gridSpan w:val="2"/>
          </w:tcPr>
          <w:p>
            <w:pPr>
              <w:ind w:left="240"/>
              <w:spacing w:after="0" w:line="115" w:lineRule="exact"/>
              <w:rPr>
                <w:sz w:val="20"/>
                <w:szCs w:val="20"/>
                <w:color w:val="auto"/>
              </w:rPr>
            </w:pPr>
            <w:r>
              <w:rPr>
                <w:rFonts w:ascii="Arial" w:cs="Arial" w:eastAsia="Arial" w:hAnsi="Arial"/>
                <w:sz w:val="12"/>
                <w:szCs w:val="12"/>
                <w:b w:val="1"/>
                <w:bCs w:val="1"/>
                <w:color w:val="auto"/>
              </w:rPr>
              <w:t>Gross</w:t>
            </w:r>
          </w:p>
        </w:tc>
        <w:tc>
          <w:tcPr>
            <w:tcW w:w="460" w:type="dxa"/>
            <w:vAlign w:val="bottom"/>
          </w:tcPr>
          <w:p>
            <w:pPr>
              <w:spacing w:after="0"/>
              <w:rPr>
                <w:sz w:val="9"/>
                <w:szCs w:val="9"/>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Accumulated</w:t>
            </w:r>
          </w:p>
        </w:tc>
        <w:tc>
          <w:tcPr>
            <w:tcW w:w="440" w:type="dxa"/>
            <w:vAlign w:val="bottom"/>
          </w:tcPr>
          <w:p>
            <w:pPr>
              <w:spacing w:after="0"/>
              <w:rPr>
                <w:sz w:val="9"/>
                <w:szCs w:val="9"/>
                <w:color w:val="auto"/>
              </w:rPr>
            </w:pPr>
          </w:p>
        </w:tc>
        <w:tc>
          <w:tcPr>
            <w:tcW w:w="880" w:type="dxa"/>
            <w:vAlign w:val="bottom"/>
          </w:tcPr>
          <w:p>
            <w:pPr>
              <w:jc w:val="right"/>
              <w:ind w:right="333"/>
              <w:spacing w:after="0" w:line="115" w:lineRule="exact"/>
              <w:rPr>
                <w:sz w:val="20"/>
                <w:szCs w:val="20"/>
                <w:color w:val="auto"/>
              </w:rPr>
            </w:pPr>
            <w:r>
              <w:rPr>
                <w:rFonts w:ascii="Arial" w:cs="Arial" w:eastAsia="Arial" w:hAnsi="Arial"/>
                <w:sz w:val="12"/>
                <w:szCs w:val="12"/>
                <w:b w:val="1"/>
                <w:bCs w:val="1"/>
                <w:color w:val="auto"/>
              </w:rPr>
              <w:t>Net</w:t>
            </w:r>
          </w:p>
        </w:tc>
        <w:tc>
          <w:tcPr>
            <w:tcW w:w="80" w:type="dxa"/>
            <w:vAlign w:val="bottom"/>
          </w:tcPr>
          <w:p>
            <w:pPr>
              <w:spacing w:after="0"/>
              <w:rPr>
                <w:sz w:val="9"/>
                <w:szCs w:val="9"/>
                <w:color w:val="auto"/>
              </w:rPr>
            </w:pPr>
          </w:p>
        </w:tc>
        <w:tc>
          <w:tcPr>
            <w:tcW w:w="1060" w:type="dxa"/>
            <w:vAlign w:val="bottom"/>
            <w:gridSpan w:val="2"/>
          </w:tcPr>
          <w:p>
            <w:pPr>
              <w:ind w:left="400"/>
              <w:spacing w:after="0" w:line="115" w:lineRule="exact"/>
              <w:rPr>
                <w:sz w:val="20"/>
                <w:szCs w:val="20"/>
                <w:color w:val="auto"/>
              </w:rPr>
            </w:pPr>
            <w:r>
              <w:rPr>
                <w:rFonts w:ascii="Arial" w:cs="Arial" w:eastAsia="Arial" w:hAnsi="Arial"/>
                <w:sz w:val="12"/>
                <w:szCs w:val="12"/>
                <w:b w:val="1"/>
                <w:bCs w:val="1"/>
                <w:color w:val="auto"/>
              </w:rPr>
              <w:t>Weighted</w:t>
            </w:r>
          </w:p>
        </w:tc>
        <w:tc>
          <w:tcPr>
            <w:tcW w:w="440" w:type="dxa"/>
            <w:vAlign w:val="bottom"/>
          </w:tcPr>
          <w:p>
            <w:pPr>
              <w:spacing w:after="0"/>
              <w:rPr>
                <w:sz w:val="9"/>
                <w:szCs w:val="9"/>
                <w:color w:val="auto"/>
              </w:rPr>
            </w:pPr>
          </w:p>
        </w:tc>
        <w:tc>
          <w:tcPr>
            <w:tcW w:w="960" w:type="dxa"/>
            <w:vAlign w:val="bottom"/>
            <w:gridSpan w:val="2"/>
          </w:tcPr>
          <w:p>
            <w:pPr>
              <w:ind w:left="240"/>
              <w:spacing w:after="0" w:line="115" w:lineRule="exact"/>
              <w:rPr>
                <w:sz w:val="20"/>
                <w:szCs w:val="20"/>
                <w:color w:val="auto"/>
              </w:rPr>
            </w:pPr>
            <w:r>
              <w:rPr>
                <w:rFonts w:ascii="Arial" w:cs="Arial" w:eastAsia="Arial" w:hAnsi="Arial"/>
                <w:sz w:val="12"/>
                <w:szCs w:val="12"/>
                <w:b w:val="1"/>
                <w:bCs w:val="1"/>
                <w:color w:val="auto"/>
              </w:rPr>
              <w:t>Gross</w:t>
            </w:r>
          </w:p>
        </w:tc>
        <w:tc>
          <w:tcPr>
            <w:tcW w:w="480" w:type="dxa"/>
            <w:vAlign w:val="bottom"/>
          </w:tcPr>
          <w:p>
            <w:pPr>
              <w:spacing w:after="0"/>
              <w:rPr>
                <w:sz w:val="9"/>
                <w:szCs w:val="9"/>
                <w:color w:val="auto"/>
              </w:rPr>
            </w:pPr>
          </w:p>
        </w:tc>
        <w:tc>
          <w:tcPr>
            <w:tcW w:w="1180" w:type="dxa"/>
            <w:vAlign w:val="bottom"/>
            <w:gridSpan w:val="3"/>
            <w:vMerge w:val="restart"/>
          </w:tcPr>
          <w:p>
            <w:pPr>
              <w:jc w:val="center"/>
              <w:ind w:right="400"/>
              <w:spacing w:after="0"/>
              <w:rPr>
                <w:sz w:val="20"/>
                <w:szCs w:val="20"/>
                <w:color w:val="auto"/>
              </w:rPr>
            </w:pPr>
            <w:r>
              <w:rPr>
                <w:rFonts w:ascii="Arial" w:cs="Arial" w:eastAsia="Arial" w:hAnsi="Arial"/>
                <w:sz w:val="12"/>
                <w:szCs w:val="12"/>
                <w:b w:val="1"/>
                <w:bCs w:val="1"/>
                <w:color w:val="auto"/>
                <w:w w:val="92"/>
              </w:rPr>
              <w:t>Accumulated</w:t>
            </w:r>
          </w:p>
        </w:tc>
        <w:tc>
          <w:tcPr>
            <w:tcW w:w="240" w:type="dxa"/>
            <w:vAlign w:val="bottom"/>
          </w:tcPr>
          <w:p>
            <w:pPr>
              <w:spacing w:after="0"/>
              <w:rPr>
                <w:sz w:val="9"/>
                <w:szCs w:val="9"/>
                <w:color w:val="auto"/>
              </w:rPr>
            </w:pPr>
          </w:p>
        </w:tc>
        <w:tc>
          <w:tcPr>
            <w:tcW w:w="880" w:type="dxa"/>
            <w:vAlign w:val="bottom"/>
          </w:tcPr>
          <w:p>
            <w:pPr>
              <w:jc w:val="right"/>
              <w:ind w:right="333"/>
              <w:spacing w:after="0" w:line="115" w:lineRule="exact"/>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15"/>
        </w:trPr>
        <w:tc>
          <w:tcPr>
            <w:tcW w:w="1760" w:type="dxa"/>
            <w:vAlign w:val="bottom"/>
          </w:tcPr>
          <w:p>
            <w:pPr>
              <w:spacing w:after="0"/>
              <w:rPr>
                <w:sz w:val="9"/>
                <w:szCs w:val="9"/>
                <w:color w:val="auto"/>
              </w:rPr>
            </w:pPr>
          </w:p>
        </w:tc>
        <w:tc>
          <w:tcPr>
            <w:tcW w:w="1400" w:type="dxa"/>
            <w:vAlign w:val="bottom"/>
            <w:gridSpan w:val="3"/>
          </w:tcPr>
          <w:p>
            <w:pPr>
              <w:jc w:val="center"/>
              <w:ind w:right="100"/>
              <w:spacing w:after="0" w:line="115" w:lineRule="exact"/>
              <w:rPr>
                <w:sz w:val="20"/>
                <w:szCs w:val="20"/>
                <w:color w:val="auto"/>
              </w:rPr>
            </w:pPr>
            <w:r>
              <w:rPr>
                <w:rFonts w:ascii="Arial" w:cs="Arial" w:eastAsia="Arial" w:hAnsi="Arial"/>
                <w:sz w:val="12"/>
                <w:szCs w:val="12"/>
                <w:b w:val="1"/>
                <w:bCs w:val="1"/>
                <w:color w:val="auto"/>
              </w:rPr>
              <w:t>Carrying</w:t>
            </w:r>
          </w:p>
        </w:tc>
        <w:tc>
          <w:tcPr>
            <w:tcW w:w="4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320" w:type="dxa"/>
            <w:vAlign w:val="bottom"/>
            <w:gridSpan w:val="2"/>
          </w:tcPr>
          <w:p>
            <w:pPr>
              <w:jc w:val="right"/>
              <w:ind w:right="353"/>
              <w:spacing w:after="0" w:line="115" w:lineRule="exact"/>
              <w:rPr>
                <w:sz w:val="20"/>
                <w:szCs w:val="20"/>
                <w:color w:val="auto"/>
              </w:rPr>
            </w:pPr>
            <w:r>
              <w:rPr>
                <w:rFonts w:ascii="Arial" w:cs="Arial" w:eastAsia="Arial" w:hAnsi="Arial"/>
                <w:sz w:val="12"/>
                <w:szCs w:val="12"/>
                <w:b w:val="1"/>
                <w:bCs w:val="1"/>
                <w:color w:val="auto"/>
              </w:rPr>
              <w:t>Carrying</w:t>
            </w:r>
          </w:p>
        </w:tc>
        <w:tc>
          <w:tcPr>
            <w:tcW w:w="80" w:type="dxa"/>
            <w:vAlign w:val="bottom"/>
          </w:tcPr>
          <w:p>
            <w:pPr>
              <w:spacing w:after="0"/>
              <w:rPr>
                <w:sz w:val="9"/>
                <w:szCs w:val="9"/>
                <w:color w:val="auto"/>
              </w:rPr>
            </w:pPr>
          </w:p>
        </w:tc>
        <w:tc>
          <w:tcPr>
            <w:tcW w:w="1060" w:type="dxa"/>
            <w:vAlign w:val="bottom"/>
            <w:gridSpan w:val="2"/>
          </w:tcPr>
          <w:p>
            <w:pPr>
              <w:jc w:val="center"/>
              <w:ind w:right="100"/>
              <w:spacing w:after="0" w:line="115" w:lineRule="exact"/>
              <w:rPr>
                <w:sz w:val="20"/>
                <w:szCs w:val="20"/>
                <w:color w:val="auto"/>
              </w:rPr>
            </w:pPr>
            <w:r>
              <w:rPr>
                <w:rFonts w:ascii="Arial" w:cs="Arial" w:eastAsia="Arial" w:hAnsi="Arial"/>
                <w:sz w:val="12"/>
                <w:szCs w:val="12"/>
                <w:b w:val="1"/>
                <w:bCs w:val="1"/>
                <w:color w:val="auto"/>
                <w:w w:val="94"/>
              </w:rPr>
              <w:t>Average Life</w:t>
            </w:r>
          </w:p>
        </w:tc>
        <w:tc>
          <w:tcPr>
            <w:tcW w:w="1400" w:type="dxa"/>
            <w:vAlign w:val="bottom"/>
            <w:gridSpan w:val="3"/>
          </w:tcPr>
          <w:p>
            <w:pPr>
              <w:jc w:val="center"/>
              <w:ind w:right="80"/>
              <w:spacing w:after="0" w:line="115" w:lineRule="exact"/>
              <w:rPr>
                <w:sz w:val="20"/>
                <w:szCs w:val="20"/>
                <w:color w:val="auto"/>
              </w:rPr>
            </w:pPr>
            <w:r>
              <w:rPr>
                <w:rFonts w:ascii="Arial" w:cs="Arial" w:eastAsia="Arial" w:hAnsi="Arial"/>
                <w:sz w:val="12"/>
                <w:szCs w:val="12"/>
                <w:b w:val="1"/>
                <w:bCs w:val="1"/>
                <w:color w:val="auto"/>
                <w:w w:val="97"/>
              </w:rPr>
              <w:t>Carrying</w:t>
            </w:r>
          </w:p>
        </w:tc>
        <w:tc>
          <w:tcPr>
            <w:tcW w:w="48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120" w:type="dxa"/>
            <w:vAlign w:val="bottom"/>
            <w:gridSpan w:val="2"/>
          </w:tcPr>
          <w:p>
            <w:pPr>
              <w:jc w:val="right"/>
              <w:ind w:right="353"/>
              <w:spacing w:after="0" w:line="115" w:lineRule="exact"/>
              <w:rPr>
                <w:sz w:val="20"/>
                <w:szCs w:val="20"/>
                <w:color w:val="auto"/>
              </w:rPr>
            </w:pPr>
            <w:r>
              <w:rPr>
                <w:rFonts w:ascii="Arial" w:cs="Arial" w:eastAsia="Arial" w:hAnsi="Arial"/>
                <w:sz w:val="12"/>
                <w:szCs w:val="12"/>
                <w:b w:val="1"/>
                <w:bCs w:val="1"/>
                <w:color w:val="auto"/>
              </w:rPr>
              <w:t>Carrying</w:t>
            </w:r>
          </w:p>
        </w:tc>
        <w:tc>
          <w:tcPr>
            <w:tcW w:w="0" w:type="dxa"/>
            <w:vAlign w:val="bottom"/>
          </w:tcPr>
          <w:p>
            <w:pPr>
              <w:spacing w:after="0"/>
              <w:rPr>
                <w:sz w:val="1"/>
                <w:szCs w:val="1"/>
                <w:color w:val="auto"/>
              </w:rPr>
            </w:pPr>
          </w:p>
        </w:tc>
      </w:tr>
      <w:tr>
        <w:trPr>
          <w:trHeight w:val="160"/>
        </w:trPr>
        <w:tc>
          <w:tcPr>
            <w:tcW w:w="1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2"/>
              </w:rPr>
              <w:t>Amount</w:t>
            </w:r>
          </w:p>
        </w:tc>
        <w:tc>
          <w:tcPr>
            <w:tcW w:w="1460" w:type="dxa"/>
            <w:vAlign w:val="bottom"/>
            <w:gridSpan w:val="3"/>
          </w:tcPr>
          <w:p>
            <w:pPr>
              <w:ind w:left="340"/>
              <w:spacing w:after="0"/>
              <w:rPr>
                <w:sz w:val="20"/>
                <w:szCs w:val="20"/>
                <w:color w:val="auto"/>
              </w:rPr>
            </w:pPr>
            <w:r>
              <w:rPr>
                <w:rFonts w:ascii="Arial" w:cs="Arial" w:eastAsia="Arial" w:hAnsi="Arial"/>
                <w:sz w:val="12"/>
                <w:szCs w:val="12"/>
                <w:b w:val="1"/>
                <w:bCs w:val="1"/>
                <w:color w:val="auto"/>
              </w:rPr>
              <w:t>Amortization</w:t>
            </w:r>
          </w:p>
        </w:tc>
        <w:tc>
          <w:tcPr>
            <w:tcW w:w="440" w:type="dxa"/>
            <w:vAlign w:val="bottom"/>
          </w:tcPr>
          <w:p>
            <w:pPr>
              <w:spacing w:after="0"/>
              <w:rPr>
                <w:sz w:val="13"/>
                <w:szCs w:val="13"/>
                <w:color w:val="auto"/>
              </w:rPr>
            </w:pPr>
          </w:p>
        </w:tc>
        <w:tc>
          <w:tcPr>
            <w:tcW w:w="880" w:type="dxa"/>
            <w:vAlign w:val="bottom"/>
          </w:tcPr>
          <w:p>
            <w:pPr>
              <w:jc w:val="right"/>
              <w:ind w:right="373"/>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3"/>
                <w:szCs w:val="13"/>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3"/>
              </w:rPr>
              <w:t>(Years)</w:t>
            </w:r>
          </w:p>
        </w:tc>
        <w:tc>
          <w:tcPr>
            <w:tcW w:w="440" w:type="dxa"/>
            <w:vAlign w:val="bottom"/>
          </w:tcPr>
          <w:p>
            <w:pPr>
              <w:spacing w:after="0"/>
              <w:rPr>
                <w:sz w:val="13"/>
                <w:szCs w:val="13"/>
                <w:color w:val="auto"/>
              </w:rPr>
            </w:pPr>
          </w:p>
        </w:tc>
        <w:tc>
          <w:tcPr>
            <w:tcW w:w="96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6"/>
              </w:rPr>
              <w:t>Amount</w:t>
            </w:r>
          </w:p>
        </w:tc>
        <w:tc>
          <w:tcPr>
            <w:tcW w:w="1660" w:type="dxa"/>
            <w:vAlign w:val="bottom"/>
            <w:gridSpan w:val="4"/>
          </w:tcPr>
          <w:p>
            <w:pPr>
              <w:ind w:left="340"/>
              <w:spacing w:after="0"/>
              <w:rPr>
                <w:sz w:val="20"/>
                <w:szCs w:val="20"/>
                <w:color w:val="auto"/>
              </w:rPr>
            </w:pPr>
            <w:r>
              <w:rPr>
                <w:rFonts w:ascii="Arial" w:cs="Arial" w:eastAsia="Arial" w:hAnsi="Arial"/>
                <w:sz w:val="12"/>
                <w:szCs w:val="12"/>
                <w:b w:val="1"/>
                <w:bCs w:val="1"/>
                <w:color w:val="auto"/>
              </w:rPr>
              <w:t>Amortization</w:t>
            </w:r>
          </w:p>
        </w:tc>
        <w:tc>
          <w:tcPr>
            <w:tcW w:w="240" w:type="dxa"/>
            <w:vAlign w:val="bottom"/>
          </w:tcPr>
          <w:p>
            <w:pPr>
              <w:spacing w:after="0"/>
              <w:rPr>
                <w:sz w:val="13"/>
                <w:szCs w:val="13"/>
                <w:color w:val="auto"/>
              </w:rPr>
            </w:pPr>
          </w:p>
        </w:tc>
        <w:tc>
          <w:tcPr>
            <w:tcW w:w="880" w:type="dxa"/>
            <w:vAlign w:val="bottom"/>
          </w:tcPr>
          <w:p>
            <w:pPr>
              <w:jc w:val="right"/>
              <w:ind w:right="373"/>
              <w:spacing w:after="0"/>
              <w:rPr>
                <w:sz w:val="20"/>
                <w:szCs w:val="20"/>
                <w:color w:val="auto"/>
              </w:rPr>
            </w:pPr>
            <w:r>
              <w:rPr>
                <w:rFonts w:ascii="Arial" w:cs="Arial" w:eastAsia="Arial" w:hAnsi="Arial"/>
                <w:sz w:val="12"/>
                <w:szCs w:val="12"/>
                <w:b w:val="1"/>
                <w:bCs w:val="1"/>
                <w:color w:val="auto"/>
                <w:w w:val="92"/>
              </w:rPr>
              <w:t>Amount</w:t>
            </w:r>
          </w:p>
        </w:tc>
        <w:tc>
          <w:tcPr>
            <w:tcW w:w="0" w:type="dxa"/>
            <w:vAlign w:val="bottom"/>
          </w:tcPr>
          <w:p>
            <w:pPr>
              <w:spacing w:after="0"/>
              <w:rPr>
                <w:sz w:val="1"/>
                <w:szCs w:val="1"/>
                <w:color w:val="auto"/>
              </w:rPr>
            </w:pPr>
          </w:p>
        </w:tc>
      </w:tr>
      <w:tr>
        <w:trPr>
          <w:trHeight w:val="122"/>
        </w:trPr>
        <w:tc>
          <w:tcPr>
            <w:tcW w:w="1760" w:type="dxa"/>
            <w:vAlign w:val="bottom"/>
            <w:tcBorders>
              <w:top w:val="single" w:sz="8" w:color="CCEEFF"/>
            </w:tcBorders>
            <w:shd w:val="clear" w:color="auto" w:fill="CCEEFF"/>
          </w:tcPr>
          <w:p>
            <w:pPr>
              <w:ind w:left="360"/>
              <w:spacing w:after="0" w:line="122" w:lineRule="exact"/>
              <w:rPr>
                <w:sz w:val="20"/>
                <w:szCs w:val="20"/>
                <w:color w:val="auto"/>
              </w:rPr>
            </w:pPr>
            <w:r>
              <w:rPr>
                <w:rFonts w:ascii="Arial" w:cs="Arial" w:eastAsia="Arial" w:hAnsi="Arial"/>
                <w:sz w:val="14"/>
                <w:szCs w:val="14"/>
                <w:color w:val="auto"/>
              </w:rPr>
              <w:t>Amortizing intangible</w:t>
            </w:r>
          </w:p>
        </w:tc>
        <w:tc>
          <w:tcPr>
            <w:tcW w:w="4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6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60" w:type="dxa"/>
            <w:vAlign w:val="bottom"/>
          </w:tcPr>
          <w:p>
            <w:pPr>
              <w:ind w:left="460"/>
              <w:spacing w:after="0"/>
              <w:rPr>
                <w:sz w:val="20"/>
                <w:szCs w:val="20"/>
                <w:color w:val="auto"/>
              </w:rPr>
            </w:pPr>
            <w:r>
              <w:rPr>
                <w:rFonts w:ascii="Arial" w:cs="Arial" w:eastAsia="Arial" w:hAnsi="Arial"/>
                <w:sz w:val="14"/>
                <w:szCs w:val="14"/>
                <w:color w:val="auto"/>
                <w:w w:val="89"/>
              </w:rPr>
              <w:t>Customer relationships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27,282</w:t>
            </w:r>
          </w:p>
        </w:tc>
        <w:tc>
          <w:tcPr>
            <w:tcW w:w="100" w:type="dxa"/>
            <w:vAlign w:val="bottom"/>
          </w:tcPr>
          <w:p>
            <w:pPr>
              <w:spacing w:after="0"/>
              <w:rPr>
                <w:sz w:val="15"/>
                <w:szCs w:val="15"/>
                <w:color w:val="auto"/>
              </w:rPr>
            </w:pPr>
          </w:p>
        </w:tc>
        <w:tc>
          <w:tcPr>
            <w:tcW w:w="460" w:type="dxa"/>
            <w:vAlign w:val="bottom"/>
          </w:tcPr>
          <w:p>
            <w:pPr>
              <w:ind w:left="3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(12,181)</w:t>
            </w: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15,101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18,132</w:t>
            </w: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(11,032)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7,100</w:t>
            </w:r>
          </w:p>
        </w:tc>
        <w:tc>
          <w:tcPr>
            <w:tcW w:w="0" w:type="dxa"/>
            <w:vAlign w:val="bottom"/>
          </w:tcPr>
          <w:p>
            <w:pPr>
              <w:spacing w:after="0"/>
              <w:rPr>
                <w:sz w:val="1"/>
                <w:szCs w:val="1"/>
                <w:color w:val="auto"/>
              </w:rPr>
            </w:pPr>
          </w:p>
        </w:tc>
      </w:tr>
      <w:tr>
        <w:trPr>
          <w:trHeight w:val="187"/>
        </w:trPr>
        <w:tc>
          <w:tcPr>
            <w:tcW w:w="17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Trade name</w:t>
            </w: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8,926</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(6,592)</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6,669</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81"/>
        </w:trPr>
        <w:tc>
          <w:tcPr>
            <w:tcW w:w="1760" w:type="dxa"/>
            <w:vAlign w:val="bottom"/>
          </w:tcPr>
          <w:p>
            <w:pPr>
              <w:ind w:left="460"/>
              <w:spacing w:after="0"/>
              <w:rPr>
                <w:sz w:val="20"/>
                <w:szCs w:val="20"/>
                <w:color w:val="auto"/>
              </w:rPr>
            </w:pPr>
            <w:r>
              <w:rPr>
                <w:rFonts w:ascii="Arial" w:cs="Arial" w:eastAsia="Arial" w:hAnsi="Arial"/>
                <w:sz w:val="14"/>
                <w:szCs w:val="14"/>
                <w:color w:val="auto"/>
                <w:w w:val="92"/>
              </w:rPr>
              <w:t>Developed technology</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14,763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(6,131)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8,632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6,930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(5,039)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1,891</w:t>
            </w:r>
          </w:p>
        </w:tc>
        <w:tc>
          <w:tcPr>
            <w:tcW w:w="0" w:type="dxa"/>
            <w:vAlign w:val="bottom"/>
          </w:tcPr>
          <w:p>
            <w:pPr>
              <w:spacing w:after="0"/>
              <w:rPr>
                <w:sz w:val="1"/>
                <w:szCs w:val="1"/>
                <w:color w:val="auto"/>
              </w:rPr>
            </w:pPr>
          </w:p>
        </w:tc>
      </w:tr>
      <w:tr>
        <w:trPr>
          <w:trHeight w:val="187"/>
        </w:trPr>
        <w:tc>
          <w:tcPr>
            <w:tcW w:w="17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Contributor content</w:t>
            </w: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32,623</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(12,416)</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26,669</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16,291</w:t>
            </w:r>
          </w:p>
        </w:tc>
        <w:tc>
          <w:tcPr>
            <w:tcW w:w="0" w:type="dxa"/>
            <w:vAlign w:val="bottom"/>
          </w:tcPr>
          <w:p>
            <w:pPr>
              <w:spacing w:after="0"/>
              <w:rPr>
                <w:sz w:val="1"/>
                <w:szCs w:val="1"/>
                <w:color w:val="auto"/>
              </w:rPr>
            </w:pPr>
          </w:p>
        </w:tc>
      </w:tr>
      <w:tr>
        <w:trPr>
          <w:trHeight w:val="181"/>
        </w:trPr>
        <w:tc>
          <w:tcPr>
            <w:tcW w:w="17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Patents</w:t>
            </w: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00"/>
        </w:trPr>
        <w:tc>
          <w:tcPr>
            <w:tcW w:w="17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83,853</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(37,444)</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46,409</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58,659</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(32,894)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25,765</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right="200" w:firstLine="345"/>
        <w:spacing w:after="0" w:line="263" w:lineRule="auto"/>
        <w:rPr>
          <w:sz w:val="20"/>
          <w:szCs w:val="20"/>
          <w:color w:val="auto"/>
        </w:rPr>
      </w:pPr>
      <w:r>
        <w:rPr>
          <w:rFonts w:ascii="Arial" w:cs="Arial" w:eastAsia="Arial" w:hAnsi="Arial"/>
          <w:sz w:val="15"/>
          <w:szCs w:val="15"/>
          <w:color w:val="auto"/>
        </w:rPr>
        <w:t>Amortization expense was $2.3 million and $1.2 million for the three months ended June 30, 2021 and 2020, respectively, and $4.4 million and $2.5 million for the six months ended June 30, 2021 and 2020, respectively. Cost of revenue included amortization expense of $1.2 million and $0.7 million for the three months ended June 30, 2021 and 2020, respectively, and $2.3 million and $1.3 million for the six months ended June 30, 2021 and 2020, respectively. General and administrative expense included amortization expense of $1.1 million and $0.5 million for the three months ended June 30, 2021 and 2020, respectively, and $2.0 million and $1.2 million for the six months ended June 30, 2021 and 2020, respectively.</w:t>
      </w:r>
    </w:p>
    <w:p>
      <w:pPr>
        <w:spacing w:after="0" w:line="66" w:lineRule="exact"/>
        <w:rPr>
          <w:sz w:val="20"/>
          <w:szCs w:val="20"/>
          <w:color w:val="auto"/>
        </w:rPr>
      </w:pPr>
    </w:p>
    <w:p>
      <w:pPr>
        <w:ind w:right="260" w:firstLine="345"/>
        <w:spacing w:after="0" w:line="324" w:lineRule="auto"/>
        <w:rPr>
          <w:sz w:val="20"/>
          <w:szCs w:val="20"/>
          <w:color w:val="auto"/>
        </w:rPr>
      </w:pPr>
      <w:r>
        <w:rPr>
          <w:rFonts w:ascii="Arial" w:cs="Arial" w:eastAsia="Arial" w:hAnsi="Arial"/>
          <w:sz w:val="14"/>
          <w:szCs w:val="14"/>
          <w:color w:val="auto"/>
        </w:rPr>
        <w:t>The Company determined that there was no indication of impairment of the intangible assets for any period presented. Estimated amortization expense is: $4.6 million for the remaining six months of 2021, $8.9 million in 2022, $8.6 million in 2023, $7.6 million in 2024, $4.3 million in 2025, $3.2 million in 2026 and $9.2 million thereafter.</w:t>
      </w: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Accrued Expenses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Accrued expenses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2"/>
                <w:szCs w:val="12"/>
                <w:b w:val="1"/>
                <w:bCs w:val="1"/>
                <w:color w:val="auto"/>
              </w:rPr>
              <w:t>As of June 30, 2021</w:t>
            </w:r>
          </w:p>
        </w:tc>
        <w:tc>
          <w:tcPr>
            <w:tcW w:w="440" w:type="dxa"/>
            <w:vAlign w:val="bottom"/>
          </w:tcPr>
          <w:p>
            <w:pPr>
              <w:spacing w:after="0"/>
              <w:rPr>
                <w:sz w:val="14"/>
                <w:szCs w:val="14"/>
                <w:color w:val="auto"/>
              </w:rPr>
            </w:pPr>
          </w:p>
        </w:tc>
        <w:tc>
          <w:tcPr>
            <w:tcW w:w="1380" w:type="dxa"/>
            <w:vAlign w:val="bottom"/>
          </w:tcPr>
          <w:p>
            <w:pPr>
              <w:jc w:val="right"/>
              <w:ind w:right="32"/>
              <w:spacing w:after="0"/>
              <w:rPr>
                <w:sz w:val="20"/>
                <w:szCs w:val="20"/>
                <w:color w:val="auto"/>
              </w:rPr>
            </w:pPr>
            <w:r>
              <w:rPr>
                <w:rFonts w:ascii="Arial" w:cs="Arial" w:eastAsia="Arial" w:hAnsi="Arial"/>
                <w:sz w:val="12"/>
                <w:szCs w:val="12"/>
                <w:b w:val="1"/>
                <w:bCs w:val="1"/>
                <w:color w:val="auto"/>
                <w:w w:val="89"/>
              </w:rPr>
              <w:t>As of December 31, 2020</w:t>
            </w:r>
          </w:p>
        </w:tc>
      </w:tr>
      <w:tr>
        <w:trPr>
          <w:trHeight w:val="180"/>
        </w:trPr>
        <w:tc>
          <w:tcPr>
            <w:tcW w:w="7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Compensation</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27,016</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31,499</w:t>
            </w:r>
          </w:p>
        </w:tc>
      </w:tr>
      <w:tr>
        <w:trPr>
          <w:trHeight w:val="181"/>
        </w:trPr>
        <w:tc>
          <w:tcPr>
            <w:tcW w:w="7380" w:type="dxa"/>
            <w:vAlign w:val="bottom"/>
          </w:tcPr>
          <w:p>
            <w:pPr>
              <w:ind w:left="360"/>
              <w:spacing w:after="0"/>
              <w:rPr>
                <w:sz w:val="20"/>
                <w:szCs w:val="20"/>
                <w:color w:val="auto"/>
              </w:rPr>
            </w:pPr>
            <w:r>
              <w:rPr>
                <w:rFonts w:ascii="Arial" w:cs="Arial" w:eastAsia="Arial" w:hAnsi="Arial"/>
                <w:sz w:val="14"/>
                <w:szCs w:val="14"/>
                <w:color w:val="auto"/>
              </w:rPr>
              <w:t>Non-income taxes</w:t>
            </w:r>
          </w:p>
        </w:tc>
        <w:tc>
          <w:tcPr>
            <w:tcW w:w="5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20,937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17,164</w:t>
            </w:r>
          </w:p>
        </w:tc>
      </w:tr>
      <w:tr>
        <w:trPr>
          <w:trHeight w:val="187"/>
        </w:trPr>
        <w:tc>
          <w:tcPr>
            <w:tcW w:w="7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Website hosting and marketing fees</w:t>
            </w:r>
          </w:p>
        </w:tc>
        <w:tc>
          <w:tcPr>
            <w:tcW w:w="5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9,991</w:t>
            </w:r>
          </w:p>
        </w:tc>
      </w:tr>
      <w:tr>
        <w:trPr>
          <w:trHeight w:val="181"/>
        </w:trPr>
        <w:tc>
          <w:tcPr>
            <w:tcW w:w="73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expenses</w:t>
            </w:r>
          </w:p>
        </w:tc>
        <w:tc>
          <w:tcPr>
            <w:tcW w:w="5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13,105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9,255</w:t>
            </w:r>
          </w:p>
        </w:tc>
      </w:tr>
      <w:tr>
        <w:trPr>
          <w:trHeight w:val="200"/>
        </w:trPr>
        <w:tc>
          <w:tcPr>
            <w:tcW w:w="7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accrued expenses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73,889</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67,909</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type w:val="continuous"/>
        </w:sectPr>
      </w:pPr>
    </w:p>
    <w:bookmarkStart w:id="14" w:name="page15"/>
    <w:bookmarkEnd w:id="14"/>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Stockholders’ Equity and Equity-Based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Stockholders’ Equity</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Common Stock</w:t>
      </w:r>
    </w:p>
    <w:p>
      <w:pPr>
        <w:spacing w:after="0" w:line="57" w:lineRule="exact"/>
        <w:rPr>
          <w:sz w:val="20"/>
          <w:szCs w:val="20"/>
          <w:color w:val="auto"/>
        </w:rPr>
      </w:pPr>
    </w:p>
    <w:p>
      <w:pPr>
        <w:ind w:firstLine="345"/>
        <w:spacing w:after="0" w:line="286" w:lineRule="auto"/>
        <w:rPr>
          <w:sz w:val="20"/>
          <w:szCs w:val="20"/>
          <w:color w:val="auto"/>
        </w:rPr>
      </w:pPr>
      <w:r>
        <w:rPr>
          <w:rFonts w:ascii="Arial" w:cs="Arial" w:eastAsia="Arial" w:hAnsi="Arial"/>
          <w:sz w:val="15"/>
          <w:szCs w:val="15"/>
          <w:color w:val="auto"/>
        </w:rPr>
        <w:t>The Company issued approximately 163,000 and 126,000 shares of common stock during the three months ended June 30, 2021 and 2020, respectively, and 370,000 and 190,000 for the six months ended June 30, 2021 and 2020, respectively, related to the exercise of stock options and the vesting of Restricted Stock Units.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Treasury Stock</w:t>
      </w:r>
    </w:p>
    <w:p>
      <w:pPr>
        <w:spacing w:after="0" w:line="57" w:lineRule="exact"/>
        <w:rPr>
          <w:sz w:val="20"/>
          <w:szCs w:val="20"/>
          <w:color w:val="auto"/>
        </w:rPr>
      </w:pPr>
    </w:p>
    <w:p>
      <w:pPr>
        <w:ind w:right="160" w:firstLine="345"/>
        <w:spacing w:after="0" w:line="290" w:lineRule="auto"/>
        <w:rPr>
          <w:sz w:val="20"/>
          <w:szCs w:val="20"/>
          <w:color w:val="auto"/>
        </w:rPr>
      </w:pPr>
      <w:r>
        <w:rPr>
          <w:rFonts w:ascii="Arial" w:cs="Arial" w:eastAsia="Arial" w:hAnsi="Arial"/>
          <w:sz w:val="14"/>
          <w:szCs w:val="14"/>
          <w:color w:val="auto"/>
        </w:rPr>
        <w:t>In October 2015, the Company’s Board of Directors approved a share repurchase program, authorizing the Company to purchase up to $100 million of its common stock. In February 2017, the Company’s Board of Directors approved an increase to the share repurchase program, authorizing the Company to repurchase up to an additional $100 million of its outstanding common stock. During the six months ended June 30, 2021 and 2020, the Company did not repurchase any shares of its common stock under the share repurchase program. As of June 30, 2021, the Company had $100 million of remaining authorization for purchases under the share repurchase program.</w:t>
      </w:r>
    </w:p>
    <w:p>
      <w:pPr>
        <w:spacing w:after="0" w:line="49" w:lineRule="exact"/>
        <w:rPr>
          <w:sz w:val="20"/>
          <w:szCs w:val="20"/>
          <w:color w:val="auto"/>
        </w:rPr>
      </w:pPr>
    </w:p>
    <w:p>
      <w:pPr>
        <w:ind w:right="140" w:firstLine="345"/>
        <w:spacing w:after="0" w:line="266" w:lineRule="auto"/>
        <w:rPr>
          <w:sz w:val="20"/>
          <w:szCs w:val="20"/>
          <w:color w:val="auto"/>
        </w:rPr>
      </w:pPr>
      <w:r>
        <w:rPr>
          <w:rFonts w:ascii="Arial" w:cs="Arial" w:eastAsia="Arial" w:hAnsi="Arial"/>
          <w:sz w:val="15"/>
          <w:szCs w:val="15"/>
          <w:color w:val="auto"/>
        </w:rPr>
        <w:t>The Company expects to fund future repurchases, if any, through a combination of cash on hand, cash generated by operations and future financing transactions, if appropriate. Accordingly, the share repurchase program is subject to the Company having available cash to fund repurchases. Under the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Dividends</w:t>
      </w:r>
    </w:p>
    <w:p>
      <w:pPr>
        <w:spacing w:after="0" w:line="103" w:lineRule="exact"/>
        <w:rPr>
          <w:sz w:val="20"/>
          <w:szCs w:val="20"/>
          <w:color w:val="auto"/>
        </w:rPr>
      </w:pPr>
    </w:p>
    <w:p>
      <w:pPr>
        <w:ind w:firstLine="345"/>
        <w:spacing w:after="0" w:line="324" w:lineRule="auto"/>
        <w:rPr>
          <w:sz w:val="20"/>
          <w:szCs w:val="20"/>
          <w:color w:val="auto"/>
        </w:rPr>
      </w:pPr>
      <w:r>
        <w:rPr>
          <w:rFonts w:ascii="Arial" w:cs="Arial" w:eastAsia="Arial" w:hAnsi="Arial"/>
          <w:sz w:val="14"/>
          <w:szCs w:val="14"/>
          <w:color w:val="auto"/>
        </w:rPr>
        <w:t>The Company declared and paid cash dividends of $0.21 and $0.42 per share of common stock, or $7.7 million and $15.3 million, during the three and six months ended June 30, 2021, respectively, and $0.17 and $0.34 per share of common stock, or $6.1 million and $12.1 million, during the three and six months ended June 30, 2020, respectively.</w:t>
      </w:r>
    </w:p>
    <w:p>
      <w:pPr>
        <w:spacing w:after="0" w:line="117" w:lineRule="exact"/>
        <w:rPr>
          <w:sz w:val="20"/>
          <w:szCs w:val="20"/>
          <w:color w:val="auto"/>
        </w:rPr>
      </w:pPr>
    </w:p>
    <w:p>
      <w:pPr>
        <w:ind w:right="60" w:firstLine="345"/>
        <w:spacing w:after="0" w:line="290" w:lineRule="auto"/>
        <w:rPr>
          <w:sz w:val="20"/>
          <w:szCs w:val="20"/>
          <w:color w:val="auto"/>
        </w:rPr>
      </w:pPr>
      <w:r>
        <w:rPr>
          <w:rFonts w:ascii="Arial" w:cs="Arial" w:eastAsia="Arial" w:hAnsi="Arial"/>
          <w:sz w:val="14"/>
          <w:szCs w:val="14"/>
          <w:color w:val="auto"/>
        </w:rPr>
        <w:t>On July 19, 2021, the Company’s Board of Directors declared a quarterly cash dividend of $0.21 per share of outstanding common stock payable on September 16, 2021 to stockholders of record at the close of business on September 2, 2021. Future declarations of dividends are subject to the final determination of the Board of Directors, and will depend on, among other things, the Company’s future financial condition, results of operations, capital requirements, capital expenditure requirements, contractual restrictions, anticipated cash needs, business prospects, provisions of applicable law and other factors the Board of Directors may deem relevant.</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Equity-Based Compensation</w:t>
      </w:r>
    </w:p>
    <w:p>
      <w:pPr>
        <w:spacing w:after="0" w:line="103" w:lineRule="exact"/>
        <w:rPr>
          <w:sz w:val="20"/>
          <w:szCs w:val="20"/>
          <w:color w:val="auto"/>
        </w:rPr>
      </w:pPr>
    </w:p>
    <w:p>
      <w:pPr>
        <w:jc w:val="both"/>
        <w:ind w:right="40" w:firstLine="345"/>
        <w:spacing w:after="0" w:line="271" w:lineRule="auto"/>
        <w:rPr>
          <w:sz w:val="20"/>
          <w:szCs w:val="20"/>
          <w:color w:val="auto"/>
        </w:rPr>
      </w:pPr>
      <w:r>
        <w:rPr>
          <w:rFonts w:ascii="Arial" w:cs="Arial" w:eastAsia="Arial" w:hAnsi="Arial"/>
          <w:sz w:val="15"/>
          <w:szCs w:val="15"/>
          <w:color w:val="auto"/>
        </w:rPr>
        <w:t>The Company recognizes stock-based compensation expense for all equity-based payment awards, including employee Restricted Stock Units and Performance-based Restricted Stock Units (“PRSUs” and, collectively with Restricted Stock Units, “RSUs”) and stock options granted under the Company’s Amended and Restated 2012 Omnibus Equity Incentive Plan (the “2012 Plan”), based on the fair value of each award on the grant date.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5" w:name="page16"/>
    <w:bookmarkEnd w:id="15"/>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80" w:firstLine="345"/>
        <w:spacing w:after="0" w:line="286" w:lineRule="auto"/>
        <w:rPr>
          <w:sz w:val="20"/>
          <w:szCs w:val="20"/>
          <w:color w:val="auto"/>
        </w:rPr>
      </w:pPr>
      <w:r>
        <w:rPr>
          <w:rFonts w:ascii="Arial" w:cs="Arial" w:eastAsia="Arial" w:hAnsi="Arial"/>
          <w:sz w:val="15"/>
          <w:szCs w:val="15"/>
          <w:color w:val="auto"/>
        </w:rPr>
        <w:t>The following table summarizes non-cash equity-based compensation expense, net of forfeitures, by financial statement line item included in the accompanying Consolidated Statements of Operations for the three and six months ended June 30, 2021 and 2020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420" w:type="dxa"/>
            <w:vAlign w:val="bottom"/>
          </w:tcPr>
          <w:p>
            <w:pPr>
              <w:spacing w:after="0"/>
              <w:rPr>
                <w:sz w:val="14"/>
                <w:szCs w:val="14"/>
                <w:color w:val="auto"/>
              </w:rPr>
            </w:pPr>
          </w:p>
        </w:tc>
        <w:tc>
          <w:tcPr>
            <w:tcW w:w="240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2"/>
                <w:szCs w:val="12"/>
                <w:b w:val="1"/>
                <w:bCs w:val="1"/>
                <w:color w:val="auto"/>
              </w:rPr>
              <w:t>Three Months Ended 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2"/>
                <w:szCs w:val="12"/>
                <w:b w:val="1"/>
                <w:bCs w:val="1"/>
                <w:color w:val="auto"/>
              </w:rPr>
              <w:t>Six Months Ended June 30,</w:t>
            </w:r>
          </w:p>
        </w:tc>
      </w:tr>
      <w:tr>
        <w:trPr>
          <w:trHeight w:val="157"/>
        </w:trPr>
        <w:tc>
          <w:tcPr>
            <w:tcW w:w="54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2021</w:t>
            </w: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rPr>
              <w:t>2020</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3"/>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2"/>
                <w:szCs w:val="12"/>
                <w:b w:val="1"/>
                <w:bCs w:val="1"/>
                <w:color w:val="auto"/>
              </w:rPr>
              <w:t>2020</w:t>
            </w:r>
          </w:p>
        </w:tc>
      </w:tr>
      <w:tr>
        <w:trPr>
          <w:trHeight w:val="176"/>
        </w:trPr>
        <w:tc>
          <w:tcPr>
            <w:tcW w:w="5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Cost of revenue</w:t>
            </w:r>
          </w:p>
        </w:tc>
        <w:tc>
          <w:tcPr>
            <w:tcW w:w="920" w:type="dxa"/>
            <w:vAlign w:val="bottom"/>
            <w:shd w:val="clear" w:color="auto" w:fill="CCEEFF"/>
          </w:tcPr>
          <w:p>
            <w:pPr>
              <w:jc w:val="right"/>
              <w:ind w:right="755"/>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4"/>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r>
      <w:tr>
        <w:trPr>
          <w:trHeight w:val="181"/>
        </w:trPr>
        <w:tc>
          <w:tcPr>
            <w:tcW w:w="5420" w:type="dxa"/>
            <w:vAlign w:val="bottom"/>
          </w:tcPr>
          <w:p>
            <w:pPr>
              <w:spacing w:after="0"/>
              <w:rPr>
                <w:sz w:val="20"/>
                <w:szCs w:val="20"/>
                <w:color w:val="auto"/>
              </w:rPr>
            </w:pPr>
            <w:r>
              <w:rPr>
                <w:rFonts w:ascii="Arial" w:cs="Arial" w:eastAsia="Arial" w:hAnsi="Arial"/>
                <w:sz w:val="14"/>
                <w:szCs w:val="14"/>
                <w:color w:val="auto"/>
              </w:rPr>
              <w:t>Sales and marketing</w:t>
            </w:r>
          </w:p>
        </w:tc>
        <w:tc>
          <w:tcPr>
            <w:tcW w:w="9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926</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1,393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834</w:t>
            </w:r>
          </w:p>
        </w:tc>
      </w:tr>
      <w:tr>
        <w:trPr>
          <w:trHeight w:val="187"/>
        </w:trPr>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Product development</w:t>
            </w: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1,799</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2,193</w:t>
            </w:r>
          </w:p>
        </w:tc>
      </w:tr>
      <w:tr>
        <w:trPr>
          <w:trHeight w:val="181"/>
        </w:trPr>
        <w:tc>
          <w:tcPr>
            <w:tcW w:w="54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General and administrative</w:t>
            </w: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6,767</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13,117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6,219</w:t>
            </w:r>
          </w:p>
        </w:tc>
      </w:tr>
      <w:tr>
        <w:trPr>
          <w:trHeight w:val="200"/>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92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9,686</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17,896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9,396</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summarizes non-cash equity-based compensation expense, net of forfeitures, by award type included in the accompanying Consolidated Statements of</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Operations for the three and six months ended June 30, 2021 and 2020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500" w:type="dxa"/>
            <w:vAlign w:val="bottom"/>
          </w:tcPr>
          <w:p>
            <w:pPr>
              <w:spacing w:after="0"/>
              <w:rPr>
                <w:sz w:val="14"/>
                <w:szCs w:val="14"/>
                <w:color w:val="auto"/>
              </w:rPr>
            </w:pPr>
          </w:p>
        </w:tc>
        <w:tc>
          <w:tcPr>
            <w:tcW w:w="288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2"/>
                <w:szCs w:val="12"/>
                <w:b w:val="1"/>
                <w:bCs w:val="1"/>
                <w:color w:val="auto"/>
              </w:rPr>
              <w:t>Three Months Ended June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1"/>
              </w:rPr>
              <w:t>Six Months Ended June 30,</w:t>
            </w:r>
          </w:p>
        </w:tc>
        <w:tc>
          <w:tcPr>
            <w:tcW w:w="780" w:type="dxa"/>
            <w:vAlign w:val="bottom"/>
            <w:tcBorders>
              <w:bottom w:val="single" w:sz="8" w:color="auto"/>
            </w:tcBorders>
          </w:tcPr>
          <w:p>
            <w:pPr>
              <w:spacing w:after="0"/>
              <w:rPr>
                <w:sz w:val="14"/>
                <w:szCs w:val="14"/>
                <w:color w:val="auto"/>
              </w:rPr>
            </w:pPr>
          </w:p>
        </w:tc>
      </w:tr>
      <w:tr>
        <w:trPr>
          <w:trHeight w:val="157"/>
        </w:trPr>
        <w:tc>
          <w:tcPr>
            <w:tcW w:w="450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2020</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53"/>
              <w:spacing w:after="0"/>
              <w:rPr>
                <w:sz w:val="20"/>
                <w:szCs w:val="20"/>
                <w:color w:val="auto"/>
              </w:rPr>
            </w:pPr>
            <w:r>
              <w:rPr>
                <w:rFonts w:ascii="Arial" w:cs="Arial" w:eastAsia="Arial" w:hAnsi="Arial"/>
                <w:sz w:val="12"/>
                <w:szCs w:val="12"/>
                <w:b w:val="1"/>
                <w:bCs w:val="1"/>
                <w:color w:val="auto"/>
                <w:w w:val="89"/>
              </w:rPr>
              <w:t>2020</w:t>
            </w:r>
          </w:p>
        </w:tc>
      </w:tr>
      <w:tr>
        <w:trPr>
          <w:trHeight w:val="176"/>
        </w:trPr>
        <w:tc>
          <w:tcPr>
            <w:tcW w:w="450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Stock options</w:t>
            </w:r>
          </w:p>
        </w:tc>
        <w:tc>
          <w:tcPr>
            <w:tcW w:w="1180" w:type="dxa"/>
            <w:vAlign w:val="bottom"/>
            <w:shd w:val="clear" w:color="auto" w:fill="CCEEFF"/>
          </w:tcPr>
          <w:p>
            <w:pPr>
              <w:jc w:val="right"/>
              <w:ind w:right="675"/>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3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1,730</w:t>
            </w:r>
          </w:p>
        </w:tc>
      </w:tr>
      <w:tr>
        <w:trPr>
          <w:trHeight w:val="181"/>
        </w:trPr>
        <w:tc>
          <w:tcPr>
            <w:tcW w:w="45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RSUs</w:t>
            </w:r>
          </w:p>
        </w:tc>
        <w:tc>
          <w:tcPr>
            <w:tcW w:w="1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9,509</w:t>
            </w: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3,222</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17,544</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7,666</w:t>
            </w:r>
          </w:p>
        </w:tc>
      </w:tr>
      <w:tr>
        <w:trPr>
          <w:trHeight w:val="200"/>
        </w:trPr>
        <w:tc>
          <w:tcPr>
            <w:tcW w:w="4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w:t>
            </w:r>
          </w:p>
        </w:tc>
        <w:tc>
          <w:tcPr>
            <w:tcW w:w="118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9,686</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3,636</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17,896</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9,396</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Stock Option Awards</w:t>
      </w:r>
    </w:p>
    <w:p>
      <w:pPr>
        <w:spacing w:after="0" w:line="195" w:lineRule="exact"/>
        <w:rPr>
          <w:sz w:val="20"/>
          <w:szCs w:val="20"/>
          <w:color w:val="auto"/>
        </w:rPr>
      </w:pPr>
    </w:p>
    <w:p>
      <w:pPr>
        <w:ind w:right="280" w:firstLine="345"/>
        <w:spacing w:after="0" w:line="271" w:lineRule="auto"/>
        <w:rPr>
          <w:sz w:val="20"/>
          <w:szCs w:val="20"/>
          <w:color w:val="auto"/>
        </w:rPr>
      </w:pPr>
      <w:r>
        <w:rPr>
          <w:rFonts w:ascii="Arial" w:cs="Arial" w:eastAsia="Arial" w:hAnsi="Arial"/>
          <w:sz w:val="15"/>
          <w:szCs w:val="15"/>
          <w:color w:val="auto"/>
        </w:rPr>
        <w:t>During the six months ended June 30, 2021, no options to purchase shares of its common stock were granted. As of June 30, 2021, there were approximately 300,000 options vested and exercisable with a weighted average exercise price of $34.43. As of June 30, 2021, the total unrecognized compensation charge related to non-vested options was approximately $1.3 million, which is expected to be recognized through 2023.</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Restricted Stock Unit Awards</w:t>
      </w:r>
    </w:p>
    <w:p>
      <w:pPr>
        <w:spacing w:after="0" w:line="57" w:lineRule="exact"/>
        <w:rPr>
          <w:sz w:val="20"/>
          <w:szCs w:val="20"/>
          <w:color w:val="auto"/>
        </w:rPr>
      </w:pPr>
    </w:p>
    <w:p>
      <w:pPr>
        <w:jc w:val="both"/>
        <w:ind w:right="60" w:firstLine="345"/>
        <w:spacing w:after="0" w:line="271" w:lineRule="auto"/>
        <w:rPr>
          <w:sz w:val="20"/>
          <w:szCs w:val="20"/>
          <w:color w:val="auto"/>
        </w:rPr>
      </w:pPr>
      <w:r>
        <w:rPr>
          <w:rFonts w:ascii="Arial" w:cs="Arial" w:eastAsia="Arial" w:hAnsi="Arial"/>
          <w:sz w:val="15"/>
          <w:szCs w:val="15"/>
          <w:color w:val="auto"/>
        </w:rPr>
        <w:t>During the six months ended June 30, 2021, the Company had RSU grants, net of forfeitures, of approximately 382,000. As of June 30, 2021, there are approximately 1,242,000 non-vested RSUs outstanding with a weighted average grant-date fair value of $56.89. As of June 30, 2021, the total unrecognized non-cash equity-based compensation charge related to the non-vested RSUs was approximately $56.7 million, which is expected to be recognized through 2024.</w:t>
      </w:r>
    </w:p>
    <w:p>
      <w:pPr>
        <w:spacing w:after="0" w:line="59" w:lineRule="exact"/>
        <w:rPr>
          <w:sz w:val="20"/>
          <w:szCs w:val="20"/>
          <w:color w:val="auto"/>
        </w:rPr>
      </w:pPr>
    </w:p>
    <w:p>
      <w:pPr>
        <w:ind w:right="220" w:firstLine="345"/>
        <w:spacing w:after="0" w:line="286" w:lineRule="auto"/>
        <w:rPr>
          <w:sz w:val="20"/>
          <w:szCs w:val="20"/>
          <w:color w:val="auto"/>
        </w:rPr>
      </w:pPr>
      <w:r>
        <w:rPr>
          <w:rFonts w:ascii="Arial" w:cs="Arial" w:eastAsia="Arial" w:hAnsi="Arial"/>
          <w:sz w:val="15"/>
          <w:szCs w:val="15"/>
          <w:color w:val="auto"/>
        </w:rPr>
        <w:t>During the six months ended June 30, 2021 and 2020, shares of common stock with an aggregate value of $20.2 million and $3.4 million were withheld upon vesting of RSUs and paid in connection with related remittance of employee withholding taxes to taxing authorities.</w:t>
      </w: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Revenue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 distributes its content offerings through two primary channels:</w:t>
      </w:r>
    </w:p>
    <w:p>
      <w:pPr>
        <w:spacing w:after="0" w:line="103" w:lineRule="exact"/>
        <w:rPr>
          <w:sz w:val="20"/>
          <w:szCs w:val="20"/>
          <w:color w:val="auto"/>
        </w:rPr>
      </w:pPr>
    </w:p>
    <w:p>
      <w:pPr>
        <w:ind w:right="100" w:firstLine="345"/>
        <w:spacing w:after="0" w:line="266" w:lineRule="auto"/>
        <w:rPr>
          <w:sz w:val="20"/>
          <w:szCs w:val="20"/>
          <w:color w:val="auto"/>
        </w:rPr>
      </w:pPr>
      <w:r>
        <w:rPr>
          <w:rFonts w:ascii="Arial" w:cs="Arial" w:eastAsia="Arial" w:hAnsi="Arial"/>
          <w:sz w:val="15"/>
          <w:szCs w:val="15"/>
          <w:i w:val="1"/>
          <w:iCs w:val="1"/>
          <w:color w:val="auto"/>
        </w:rPr>
        <w:t xml:space="preserve">E-commerce: </w:t>
      </w:r>
      <w:r>
        <w:rPr>
          <w:rFonts w:ascii="Arial" w:cs="Arial" w:eastAsia="Arial" w:hAnsi="Arial"/>
          <w:sz w:val="15"/>
          <w:szCs w:val="15"/>
          <w:color w:val="auto"/>
        </w:rPr>
        <w:t>The majority of the Company’s customers license content directly through the Company’s self-service web properties. E-commerce customers have the flexibility</w:t>
      </w:r>
      <w:r>
        <w:rPr>
          <w:rFonts w:ascii="Arial" w:cs="Arial" w:eastAsia="Arial" w:hAnsi="Arial"/>
          <w:sz w:val="15"/>
          <w:szCs w:val="15"/>
          <w:i w:val="1"/>
          <w:iCs w:val="1"/>
          <w:color w:val="auto"/>
        </w:rPr>
        <w:t xml:space="preserve"> </w:t>
      </w:r>
      <w:r>
        <w:rPr>
          <w:rFonts w:ascii="Arial" w:cs="Arial" w:eastAsia="Arial" w:hAnsi="Arial"/>
          <w:sz w:val="15"/>
          <w:szCs w:val="15"/>
          <w:color w:val="auto"/>
        </w:rPr>
        <w:t>to purchase a subscription plan that is paid on a monthly or annual basis or to license content on a transactional basis. These customers generally license content under the Company’s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63" w:lineRule="exact"/>
        <w:rPr>
          <w:sz w:val="20"/>
          <w:szCs w:val="20"/>
          <w:color w:val="auto"/>
        </w:rPr>
      </w:pPr>
    </w:p>
    <w:p>
      <w:pPr>
        <w:ind w:right="220" w:firstLine="345"/>
        <w:spacing w:after="0" w:line="266" w:lineRule="auto"/>
        <w:rPr>
          <w:sz w:val="20"/>
          <w:szCs w:val="20"/>
          <w:color w:val="auto"/>
        </w:rPr>
      </w:pPr>
      <w:r>
        <w:rPr>
          <w:rFonts w:ascii="Arial" w:cs="Arial" w:eastAsia="Arial" w:hAnsi="Arial"/>
          <w:sz w:val="15"/>
          <w:szCs w:val="15"/>
          <w:i w:val="1"/>
          <w:iCs w:val="1"/>
          <w:color w:val="auto"/>
        </w:rPr>
        <w:t xml:space="preserve">Enterprise: </w:t>
      </w:r>
      <w:r>
        <w:rPr>
          <w:rFonts w:ascii="Arial" w:cs="Arial" w:eastAsia="Arial" w:hAnsi="Arial"/>
          <w:sz w:val="15"/>
          <w:szCs w:val="15"/>
          <w:color w:val="auto"/>
        </w:rPr>
        <w:t>The Company also has a base of customers with unique content, licensing and workflow needs. These customers benefit from communication with dedicated sales</w:t>
      </w:r>
      <w:r>
        <w:rPr>
          <w:rFonts w:ascii="Arial" w:cs="Arial" w:eastAsia="Arial" w:hAnsi="Arial"/>
          <w:sz w:val="15"/>
          <w:szCs w:val="15"/>
          <w:i w:val="1"/>
          <w:iCs w:val="1"/>
          <w:color w:val="auto"/>
        </w:rPr>
        <w:t xml:space="preserve"> </w:t>
      </w:r>
      <w:r>
        <w:rPr>
          <w:rFonts w:ascii="Arial" w:cs="Arial" w:eastAsia="Arial" w:hAnsi="Arial"/>
          <w:sz w:val="15"/>
          <w:szCs w:val="15"/>
          <w:color w:val="auto"/>
        </w:rPr>
        <w:t>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200" w:lineRule="exact"/>
        <w:rPr>
          <w:sz w:val="20"/>
          <w:szCs w:val="20"/>
          <w:color w:val="auto"/>
        </w:rPr>
      </w:pPr>
    </w:p>
    <w:p>
      <w:pPr>
        <w:spacing w:after="0" w:line="277"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6" w:name="page17"/>
    <w:bookmarkEnd w:id="16"/>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Company’s revenues by distribution channel for the three and six months ended June 30, 2021 and 2020 are as follows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38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2"/>
                <w:szCs w:val="12"/>
                <w:b w:val="1"/>
                <w:bCs w:val="1"/>
                <w:color w:val="auto"/>
              </w:rPr>
              <w:t>Three Months Ended June 30,</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Six Months Ended June 30,</w:t>
            </w:r>
          </w:p>
        </w:tc>
        <w:tc>
          <w:tcPr>
            <w:tcW w:w="800" w:type="dxa"/>
            <w:vAlign w:val="bottom"/>
            <w:tcBorders>
              <w:bottom w:val="single" w:sz="8" w:color="auto"/>
            </w:tcBorders>
          </w:tcPr>
          <w:p>
            <w:pPr>
              <w:spacing w:after="0"/>
              <w:rPr>
                <w:sz w:val="14"/>
                <w:szCs w:val="14"/>
                <w:color w:val="auto"/>
              </w:rPr>
            </w:pPr>
          </w:p>
        </w:tc>
      </w:tr>
      <w:tr>
        <w:trPr>
          <w:trHeight w:val="159"/>
        </w:trPr>
        <w:tc>
          <w:tcPr>
            <w:tcW w:w="4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2020</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jc w:val="right"/>
              <w:ind w:right="454"/>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jc w:val="right"/>
              <w:ind w:right="473"/>
              <w:spacing w:after="0"/>
              <w:rPr>
                <w:sz w:val="20"/>
                <w:szCs w:val="20"/>
                <w:color w:val="auto"/>
              </w:rPr>
            </w:pPr>
            <w:r>
              <w:rPr>
                <w:rFonts w:ascii="Arial" w:cs="Arial" w:eastAsia="Arial" w:hAnsi="Arial"/>
                <w:sz w:val="12"/>
                <w:szCs w:val="12"/>
                <w:b w:val="1"/>
                <w:bCs w:val="1"/>
                <w:color w:val="auto"/>
                <w:w w:val="89"/>
              </w:rPr>
              <w:t>2020</w:t>
            </w:r>
          </w:p>
        </w:tc>
      </w:tr>
      <w:tr>
        <w:trPr>
          <w:trHeight w:val="21"/>
        </w:trPr>
        <w:tc>
          <w:tcPr>
            <w:tcW w:w="43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5"/>
        </w:trPr>
        <w:tc>
          <w:tcPr>
            <w:tcW w:w="4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E-commerce</w:t>
            </w:r>
          </w:p>
        </w:tc>
        <w:tc>
          <w:tcPr>
            <w:tcW w:w="1120" w:type="dxa"/>
            <w:vAlign w:val="bottom"/>
            <w:shd w:val="clear" w:color="auto" w:fill="CCEEFF"/>
          </w:tcPr>
          <w:p>
            <w:pPr>
              <w:jc w:val="right"/>
              <w:ind w:right="615"/>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2"/>
              </w:rPr>
              <w:t>120,715</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98,164</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239,115</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7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197,900</w:t>
            </w:r>
          </w:p>
        </w:tc>
      </w:tr>
      <w:tr>
        <w:trPr>
          <w:trHeight w:val="181"/>
        </w:trPr>
        <w:tc>
          <w:tcPr>
            <w:tcW w:w="43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Enterprise</w:t>
            </w:r>
          </w:p>
        </w:tc>
        <w:tc>
          <w:tcPr>
            <w:tcW w:w="1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69,197</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61,066</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134,078</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122,615</w:t>
            </w:r>
          </w:p>
        </w:tc>
      </w:tr>
      <w:tr>
        <w:trPr>
          <w:trHeight w:val="203"/>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Revenues</w:t>
            </w:r>
          </w:p>
        </w:tc>
        <w:tc>
          <w:tcPr>
            <w:tcW w:w="112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2"/>
              </w:rPr>
              <w:t>189,912</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159,230</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373,193</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320,515</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ind w:right="220" w:firstLine="345"/>
        <w:spacing w:after="0" w:line="367" w:lineRule="auto"/>
        <w:rPr>
          <w:sz w:val="20"/>
          <w:szCs w:val="20"/>
          <w:color w:val="auto"/>
        </w:rPr>
      </w:pPr>
      <w:r>
        <w:rPr>
          <w:rFonts w:ascii="Arial" w:cs="Arial" w:eastAsia="Arial" w:hAnsi="Arial"/>
          <w:sz w:val="13"/>
          <w:szCs w:val="13"/>
          <w:color w:val="auto"/>
        </w:rPr>
        <w:t>The June 30, 2021 deferred revenue balance will be earned as content is downloaded or upon the expiration of subscription-based products, and nearly all is expected to be earned within the next twelve months. $99.2 million of total revenue recognized for the six months ended June 30, 2021 was reflected in deferred revenue as of December 31, 2020.</w:t>
      </w:r>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Other Income / (Loss), net</w:t>
      </w:r>
    </w:p>
    <w:p>
      <w:pPr>
        <w:spacing w:after="0" w:line="107" w:lineRule="exact"/>
        <w:rPr>
          <w:sz w:val="20"/>
          <w:szCs w:val="20"/>
          <w:color w:val="auto"/>
        </w:rPr>
      </w:pPr>
    </w:p>
    <w:p>
      <w:pPr>
        <w:ind w:right="100" w:firstLine="345"/>
        <w:spacing w:after="0" w:line="273" w:lineRule="auto"/>
        <w:rPr>
          <w:sz w:val="20"/>
          <w:szCs w:val="20"/>
          <w:color w:val="auto"/>
        </w:rPr>
      </w:pPr>
      <w:r>
        <w:rPr>
          <w:rFonts w:ascii="Arial" w:cs="Arial" w:eastAsia="Arial" w:hAnsi="Arial"/>
          <w:sz w:val="15"/>
          <w:szCs w:val="15"/>
          <w:color w:val="auto"/>
        </w:rPr>
        <w:t>The following table presents a summary of the Company’s other income and expense activity included in the accompanying Consolidated Statements of Operations for the three and six months ended June 30, 2021 and 2020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460" w:type="dxa"/>
            <w:vAlign w:val="bottom"/>
          </w:tcPr>
          <w:p>
            <w:pPr>
              <w:spacing w:after="0"/>
              <w:rPr>
                <w:sz w:val="14"/>
                <w:szCs w:val="14"/>
                <w:color w:val="auto"/>
              </w:rPr>
            </w:pPr>
          </w:p>
        </w:tc>
        <w:tc>
          <w:tcPr>
            <w:tcW w:w="290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2"/>
                <w:szCs w:val="12"/>
                <w:b w:val="1"/>
                <w:bCs w:val="1"/>
                <w:color w:val="auto"/>
              </w:rPr>
              <w:t>Three Months Ended 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Six Months Ended June 30,</w:t>
            </w:r>
          </w:p>
        </w:tc>
        <w:tc>
          <w:tcPr>
            <w:tcW w:w="800" w:type="dxa"/>
            <w:vAlign w:val="bottom"/>
            <w:tcBorders>
              <w:bottom w:val="single" w:sz="8" w:color="auto"/>
            </w:tcBorders>
          </w:tcPr>
          <w:p>
            <w:pPr>
              <w:spacing w:after="0"/>
              <w:rPr>
                <w:sz w:val="14"/>
                <w:szCs w:val="14"/>
                <w:color w:val="auto"/>
              </w:rPr>
            </w:pPr>
          </w:p>
        </w:tc>
      </w:tr>
      <w:tr>
        <w:trPr>
          <w:trHeight w:val="157"/>
        </w:trPr>
        <w:tc>
          <w:tcPr>
            <w:tcW w:w="446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rPr>
              <w:t>2020</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73"/>
              <w:spacing w:after="0"/>
              <w:rPr>
                <w:sz w:val="20"/>
                <w:szCs w:val="20"/>
                <w:color w:val="auto"/>
              </w:rPr>
            </w:pPr>
            <w:r>
              <w:rPr>
                <w:rFonts w:ascii="Arial" w:cs="Arial" w:eastAsia="Arial" w:hAnsi="Arial"/>
                <w:sz w:val="12"/>
                <w:szCs w:val="12"/>
                <w:b w:val="1"/>
                <w:bCs w:val="1"/>
                <w:color w:val="auto"/>
                <w:w w:val="89"/>
              </w:rPr>
              <w:t>2020</w:t>
            </w:r>
          </w:p>
        </w:tc>
      </w:tr>
      <w:tr>
        <w:trPr>
          <w:trHeight w:val="176"/>
        </w:trPr>
        <w:tc>
          <w:tcPr>
            <w:tcW w:w="446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Foreign currency gain / (loss)</w:t>
            </w:r>
          </w:p>
        </w:tc>
        <w:tc>
          <w:tcPr>
            <w:tcW w:w="1160" w:type="dxa"/>
            <w:vAlign w:val="bottom"/>
            <w:shd w:val="clear" w:color="auto" w:fill="CCEEFF"/>
          </w:tcPr>
          <w:p>
            <w:pPr>
              <w:jc w:val="right"/>
              <w:ind w:right="675"/>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94"/>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5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r>
      <w:tr>
        <w:trPr>
          <w:trHeight w:val="181"/>
        </w:trPr>
        <w:tc>
          <w:tcPr>
            <w:tcW w:w="44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Interest income, net</w:t>
            </w:r>
          </w:p>
        </w:tc>
        <w:tc>
          <w:tcPr>
            <w:tcW w:w="1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1,128</w:t>
            </w:r>
          </w:p>
        </w:tc>
      </w:tr>
      <w:tr>
        <w:trPr>
          <w:trHeight w:val="200"/>
        </w:trPr>
        <w:tc>
          <w:tcPr>
            <w:tcW w:w="44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other income / (loss)</w:t>
            </w:r>
          </w:p>
        </w:tc>
        <w:tc>
          <w:tcPr>
            <w:tcW w:w="116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1,323</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(1,139)</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662</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Income Taxes</w:t>
      </w:r>
    </w:p>
    <w:p>
      <w:pPr>
        <w:spacing w:after="0" w:line="107" w:lineRule="exact"/>
        <w:rPr>
          <w:sz w:val="20"/>
          <w:szCs w:val="20"/>
          <w:color w:val="auto"/>
        </w:rPr>
      </w:pPr>
    </w:p>
    <w:p>
      <w:pPr>
        <w:jc w:val="both"/>
        <w:ind w:right="180" w:firstLine="345"/>
        <w:spacing w:after="0" w:line="286" w:lineRule="auto"/>
        <w:rPr>
          <w:sz w:val="20"/>
          <w:szCs w:val="20"/>
          <w:color w:val="auto"/>
        </w:rPr>
      </w:pPr>
      <w:r>
        <w:rPr>
          <w:rFonts w:ascii="Arial" w:cs="Arial" w:eastAsia="Arial" w:hAnsi="Arial"/>
          <w:sz w:val="15"/>
          <w:szCs w:val="15"/>
          <w:color w:val="auto"/>
        </w:rPr>
        <w:t>The Company’s effective tax rates yielded a net expense of 14.7% and 16.3% for the three months ended June 30, 2021 and 2020, respectively, and a net expense of 16.0% and 19.6% for the six months ended June 30, 2021 and 2020, respectively.</w:t>
      </w:r>
    </w:p>
    <w:p>
      <w:pPr>
        <w:spacing w:after="0" w:line="49" w:lineRule="exact"/>
        <w:rPr>
          <w:sz w:val="20"/>
          <w:szCs w:val="20"/>
          <w:color w:val="auto"/>
        </w:rPr>
      </w:pPr>
    </w:p>
    <w:p>
      <w:pPr>
        <w:jc w:val="both"/>
        <w:ind w:right="160" w:firstLine="345"/>
        <w:spacing w:after="0" w:line="299" w:lineRule="auto"/>
        <w:rPr>
          <w:sz w:val="20"/>
          <w:szCs w:val="20"/>
          <w:color w:val="auto"/>
        </w:rPr>
      </w:pPr>
      <w:r>
        <w:rPr>
          <w:rFonts w:ascii="Arial" w:cs="Arial" w:eastAsia="Arial" w:hAnsi="Arial"/>
          <w:sz w:val="14"/>
          <w:szCs w:val="14"/>
          <w:color w:val="auto"/>
        </w:rPr>
        <w:t>During the three months ended June 30, 2021, the net effect of discrete items decreased the effective tax rate by 5.3%. For the six months ended June 30, 2021, the net effect of discrete items decreased the effective tax rate by 4.0%. The discrete items for the three and six months ended June 30, 2021, primarily relate to windfall tax benefits associated with equity-based compensation. Excluding discrete items, the Company’s effective tax rate would have been 20.0% for the three and six months ended June 30, 2021.</w:t>
      </w:r>
    </w:p>
    <w:p>
      <w:pPr>
        <w:spacing w:after="0" w:line="42" w:lineRule="exact"/>
        <w:rPr>
          <w:sz w:val="20"/>
          <w:szCs w:val="20"/>
          <w:color w:val="auto"/>
        </w:rPr>
      </w:pPr>
    </w:p>
    <w:p>
      <w:pPr>
        <w:ind w:right="60" w:firstLine="345"/>
        <w:spacing w:after="0" w:line="271" w:lineRule="auto"/>
        <w:rPr>
          <w:sz w:val="20"/>
          <w:szCs w:val="20"/>
          <w:color w:val="auto"/>
        </w:rPr>
      </w:pPr>
      <w:r>
        <w:rPr>
          <w:rFonts w:ascii="Arial" w:cs="Arial" w:eastAsia="Arial" w:hAnsi="Arial"/>
          <w:sz w:val="15"/>
          <w:szCs w:val="15"/>
          <w:color w:val="auto"/>
        </w:rPr>
        <w:t>During the three months ended June 30, 2020, the net effect of discrete items decreased the effective tax rate by 0.3%. For the six months ended June 30, 2020, the effective tax rate increased by 1.6% as a result of a loss jurisdiction with no tax benefit. Discrete items further increased the effective tax rate by 1.4%. Excluding the discrete items, the Company’s effective tax rate would have been 16.6% for the three and six months ended June 30, 2020.</w:t>
      </w:r>
    </w:p>
    <w:p>
      <w:pPr>
        <w:spacing w:after="0" w:line="59" w:lineRule="exact"/>
        <w:rPr>
          <w:sz w:val="20"/>
          <w:szCs w:val="20"/>
          <w:color w:val="auto"/>
        </w:rPr>
      </w:pPr>
    </w:p>
    <w:p>
      <w:pPr>
        <w:ind w:right="160" w:firstLine="345"/>
        <w:spacing w:after="0" w:line="286" w:lineRule="auto"/>
        <w:rPr>
          <w:sz w:val="20"/>
          <w:szCs w:val="20"/>
          <w:color w:val="auto"/>
        </w:rPr>
      </w:pPr>
      <w:r>
        <w:rPr>
          <w:rFonts w:ascii="Arial" w:cs="Arial" w:eastAsia="Arial" w:hAnsi="Arial"/>
          <w:sz w:val="15"/>
          <w:szCs w:val="15"/>
          <w:color w:val="auto"/>
        </w:rPr>
        <w:t>The Company has computed the provision for income taxes based on the estimated annual effective tax rate excluding a loss jurisdiction with no tax benefit and the application of discrete items, if any, in the applicable period.</w:t>
      </w:r>
    </w:p>
    <w:p>
      <w:pPr>
        <w:spacing w:after="0" w:line="49" w:lineRule="exact"/>
        <w:rPr>
          <w:sz w:val="20"/>
          <w:szCs w:val="20"/>
          <w:color w:val="auto"/>
        </w:rPr>
      </w:pPr>
    </w:p>
    <w:p>
      <w:pPr>
        <w:ind w:right="120" w:firstLine="345"/>
        <w:spacing w:after="0" w:line="286" w:lineRule="auto"/>
        <w:rPr>
          <w:sz w:val="20"/>
          <w:szCs w:val="20"/>
          <w:color w:val="auto"/>
        </w:rPr>
      </w:pPr>
      <w:r>
        <w:rPr>
          <w:rFonts w:ascii="Arial" w:cs="Arial" w:eastAsia="Arial" w:hAnsi="Arial"/>
          <w:sz w:val="15"/>
          <w:szCs w:val="15"/>
          <w:color w:val="auto"/>
        </w:rPr>
        <w:t>During the three and six months ended June 30, 2021 and 2020, uncertain tax positions recorded by the Company were not significant. To the extent the remaining uncertain tax positions are ultimately recognized, the Company’s effective tax rate may be impacted in future periods.</w:t>
      </w:r>
    </w:p>
    <w:p>
      <w:pPr>
        <w:spacing w:after="0" w:line="49" w:lineRule="exact"/>
        <w:rPr>
          <w:sz w:val="20"/>
          <w:szCs w:val="20"/>
          <w:color w:val="auto"/>
        </w:rPr>
      </w:pPr>
    </w:p>
    <w:p>
      <w:pPr>
        <w:ind w:right="500" w:firstLine="345"/>
        <w:spacing w:after="0" w:line="324" w:lineRule="auto"/>
        <w:rPr>
          <w:sz w:val="20"/>
          <w:szCs w:val="20"/>
          <w:color w:val="auto"/>
        </w:rPr>
      </w:pPr>
      <w:r>
        <w:rPr>
          <w:rFonts w:ascii="Arial" w:cs="Arial" w:eastAsia="Arial" w:hAnsi="Arial"/>
          <w:sz w:val="14"/>
          <w:szCs w:val="14"/>
          <w:color w:val="auto"/>
        </w:rPr>
        <w:t>The Company recognizes interest expense and tax penalties related to unrecognized tax benefits in income tax expense in the Consolidated Statements of Operations. The Company’s accrual for interest and penalties related to unrecognized tax benefits was not significant for the three and six months ended June 30, 2021 and 2020.</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During the six months ended June 30, 2021 and 2020, the Company paid net cash taxes of $9.5 million and $0.9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7" w:name="page18"/>
    <w:bookmarkEnd w:id="17"/>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Net Income Per Share</w:t>
      </w:r>
    </w:p>
    <w:p>
      <w:pPr>
        <w:spacing w:after="0" w:line="142" w:lineRule="exact"/>
        <w:rPr>
          <w:sz w:val="20"/>
          <w:szCs w:val="20"/>
          <w:color w:val="auto"/>
        </w:rPr>
      </w:pPr>
    </w:p>
    <w:p>
      <w:pPr>
        <w:ind w:right="160" w:firstLine="345"/>
        <w:spacing w:after="0" w:line="271" w:lineRule="auto"/>
        <w:rPr>
          <w:sz w:val="20"/>
          <w:szCs w:val="20"/>
          <w:color w:val="auto"/>
        </w:rPr>
      </w:pPr>
      <w:r>
        <w:rPr>
          <w:rFonts w:ascii="Arial" w:cs="Arial" w:eastAsia="Arial" w:hAnsi="Arial"/>
          <w:sz w:val="15"/>
          <w:szCs w:val="15"/>
          <w:color w:val="auto"/>
        </w:rPr>
        <w:t>Basic net income per share is computed using the weighted average number of shares of common stock outstanding for the period, excluding unvested RSUs and stock options. Diluted net income per share is based upon the weighted average shares of common stock outstanding for the period plus dilutive potential shares of common stock, including unvested RSUs and stock options using the treasury stock method.</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sets forth the computation of basic and diluted net income per share for the three and six months ended June 30, 2021 and 2020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46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2"/>
                <w:szCs w:val="12"/>
                <w:b w:val="1"/>
                <w:bCs w:val="1"/>
                <w:color w:val="auto"/>
              </w:rPr>
              <w:t>Three Months Ended 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Six Months Ended June 30,</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46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52"/>
              <w:spacing w:after="0"/>
              <w:rPr>
                <w:sz w:val="20"/>
                <w:szCs w:val="20"/>
                <w:color w:val="auto"/>
              </w:rPr>
            </w:pPr>
            <w:r>
              <w:rPr>
                <w:rFonts w:ascii="Arial" w:cs="Arial" w:eastAsia="Arial" w:hAnsi="Arial"/>
                <w:sz w:val="12"/>
                <w:szCs w:val="12"/>
                <w:b w:val="1"/>
                <w:bCs w:val="1"/>
                <w:color w:val="auto"/>
                <w:w w:val="89"/>
              </w:rPr>
              <w:t>2020</w:t>
            </w:r>
          </w:p>
        </w:tc>
        <w:tc>
          <w:tcPr>
            <w:tcW w:w="0" w:type="dxa"/>
            <w:vAlign w:val="bottom"/>
          </w:tcPr>
          <w:p>
            <w:pPr>
              <w:spacing w:after="0"/>
              <w:rPr>
                <w:sz w:val="1"/>
                <w:szCs w:val="1"/>
                <w:color w:val="auto"/>
              </w:rPr>
            </w:pPr>
          </w:p>
        </w:tc>
      </w:tr>
      <w:tr>
        <w:trPr>
          <w:trHeight w:val="201"/>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income</w:t>
            </w:r>
          </w:p>
        </w:tc>
        <w:tc>
          <w:tcPr>
            <w:tcW w:w="114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29,454</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18,987</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58,968</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23,305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color w:val="auto"/>
              </w:rPr>
              <w:t>Shares used to compute basic net income per share</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4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4"/>
                <w:szCs w:val="14"/>
                <w:color w:val="auto"/>
                <w:w w:val="93"/>
              </w:rPr>
              <w:t>36,570</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4"/>
                <w:szCs w:val="14"/>
                <w:color w:val="auto"/>
                <w:w w:val="93"/>
              </w:rPr>
              <w:t>35,652</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4"/>
                <w:szCs w:val="14"/>
                <w:color w:val="auto"/>
              </w:rPr>
              <w:t>36,453</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Arial" w:cs="Arial" w:eastAsia="Arial" w:hAnsi="Arial"/>
                <w:sz w:val="14"/>
                <w:szCs w:val="14"/>
                <w:color w:val="auto"/>
              </w:rPr>
              <w:t>35,587</w:t>
            </w:r>
          </w:p>
        </w:tc>
        <w:tc>
          <w:tcPr>
            <w:tcW w:w="0" w:type="dxa"/>
            <w:vAlign w:val="bottom"/>
          </w:tcPr>
          <w:p>
            <w:pPr>
              <w:spacing w:after="0"/>
              <w:rPr>
                <w:sz w:val="1"/>
                <w:szCs w:val="1"/>
                <w:color w:val="auto"/>
              </w:rPr>
            </w:pPr>
          </w:p>
        </w:tc>
      </w:tr>
      <w:tr>
        <w:trPr>
          <w:trHeight w:val="187"/>
        </w:trPr>
        <w:tc>
          <w:tcPr>
            <w:tcW w:w="44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Dilutive potential common shares</w:t>
            </w:r>
          </w:p>
        </w:tc>
        <w:tc>
          <w:tcPr>
            <w:tcW w:w="1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460" w:type="dxa"/>
            <w:vAlign w:val="bottom"/>
          </w:tcPr>
          <w:p>
            <w:pPr>
              <w:ind w:left="520"/>
              <w:spacing w:after="0"/>
              <w:rPr>
                <w:sz w:val="20"/>
                <w:szCs w:val="20"/>
                <w:color w:val="auto"/>
              </w:rPr>
            </w:pPr>
            <w:r>
              <w:rPr>
                <w:rFonts w:ascii="Arial" w:cs="Arial" w:eastAsia="Arial" w:hAnsi="Arial"/>
                <w:sz w:val="14"/>
                <w:szCs w:val="14"/>
                <w:color w:val="auto"/>
              </w:rPr>
              <w:t>Stock options</w:t>
            </w:r>
          </w:p>
        </w:tc>
        <w:tc>
          <w:tcPr>
            <w:tcW w:w="1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4"/>
        </w:trPr>
        <w:tc>
          <w:tcPr>
            <w:tcW w:w="44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Unvested restricted stock awards</w:t>
            </w:r>
          </w:p>
        </w:tc>
        <w:tc>
          <w:tcPr>
            <w:tcW w:w="11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78"/>
        </w:trPr>
        <w:tc>
          <w:tcPr>
            <w:tcW w:w="4460" w:type="dxa"/>
            <w:vAlign w:val="bottom"/>
          </w:tcPr>
          <w:p>
            <w:pPr>
              <w:ind w:left="460"/>
              <w:spacing w:after="0"/>
              <w:rPr>
                <w:sz w:val="20"/>
                <w:szCs w:val="20"/>
                <w:color w:val="auto"/>
              </w:rPr>
            </w:pPr>
            <w:r>
              <w:rPr>
                <w:rFonts w:ascii="Arial" w:cs="Arial" w:eastAsia="Arial" w:hAnsi="Arial"/>
                <w:sz w:val="14"/>
                <w:szCs w:val="14"/>
                <w:color w:val="auto"/>
              </w:rPr>
              <w:t>Shares used to compute diluted net income per share</w:t>
            </w:r>
          </w:p>
        </w:tc>
        <w:tc>
          <w:tcPr>
            <w:tcW w:w="1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37,189</w:t>
            </w:r>
          </w:p>
        </w:tc>
        <w:tc>
          <w:tcPr>
            <w:tcW w:w="1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35,906</w:t>
            </w: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37,218</w:t>
            </w:r>
          </w:p>
        </w:tc>
        <w:tc>
          <w:tcPr>
            <w:tcW w:w="1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35,894</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Basic net income per share</w:t>
            </w:r>
          </w:p>
        </w:tc>
        <w:tc>
          <w:tcPr>
            <w:tcW w:w="114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0.81</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60" w:type="dxa"/>
            <w:vAlign w:val="bottom"/>
          </w:tcPr>
          <w:p>
            <w:pPr>
              <w:ind w:left="460"/>
              <w:spacing w:after="0" w:line="150" w:lineRule="exact"/>
              <w:rPr>
                <w:sz w:val="20"/>
                <w:szCs w:val="20"/>
                <w:color w:val="auto"/>
              </w:rPr>
            </w:pPr>
            <w:r>
              <w:rPr>
                <w:rFonts w:ascii="Arial" w:cs="Arial" w:eastAsia="Arial" w:hAnsi="Arial"/>
                <w:sz w:val="14"/>
                <w:szCs w:val="14"/>
                <w:color w:val="auto"/>
              </w:rPr>
              <w:t>Diluted net income per share</w:t>
            </w:r>
          </w:p>
        </w:tc>
        <w:tc>
          <w:tcPr>
            <w:tcW w:w="1140" w:type="dxa"/>
            <w:vAlign w:val="bottom"/>
            <w:tcBorders>
              <w:bottom w:val="single" w:sz="8" w:color="auto"/>
            </w:tcBorders>
          </w:tcPr>
          <w:p>
            <w:pPr>
              <w:jc w:val="right"/>
              <w:ind w:right="654"/>
              <w:spacing w:after="0" w:line="150"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0.79</w:t>
            </w: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right"/>
              <w:ind w:right="653"/>
              <w:spacing w:after="0" w:line="150"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0.53</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ind w:right="151"/>
              <w:spacing w:after="0" w:line="150"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1.58</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ind w:right="351"/>
              <w:spacing w:after="0" w:line="150"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0.65</w:t>
            </w:r>
          </w:p>
        </w:tc>
        <w:tc>
          <w:tcPr>
            <w:tcW w:w="0" w:type="dxa"/>
            <w:vAlign w:val="bottom"/>
          </w:tcPr>
          <w:p>
            <w:pPr>
              <w:spacing w:after="0"/>
              <w:rPr>
                <w:sz w:val="1"/>
                <w:szCs w:val="1"/>
                <w:color w:val="auto"/>
              </w:rPr>
            </w:pPr>
          </w:p>
        </w:tc>
      </w:tr>
      <w:tr>
        <w:trPr>
          <w:trHeight w:val="80"/>
        </w:trPr>
        <w:tc>
          <w:tcPr>
            <w:tcW w:w="446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4460" w:type="dxa"/>
            <w:vAlign w:val="bottom"/>
            <w:tcBorders>
              <w:top w:val="single" w:sz="8" w:color="CCEEFF"/>
            </w:tcBorders>
          </w:tcPr>
          <w:p>
            <w:pPr>
              <w:ind w:left="360"/>
              <w:spacing w:after="0"/>
              <w:rPr>
                <w:sz w:val="20"/>
                <w:szCs w:val="20"/>
                <w:color w:val="auto"/>
              </w:rPr>
            </w:pPr>
            <w:r>
              <w:rPr>
                <w:rFonts w:ascii="Arial" w:cs="Arial" w:eastAsia="Arial" w:hAnsi="Arial"/>
                <w:sz w:val="14"/>
                <w:szCs w:val="14"/>
                <w:color w:val="auto"/>
              </w:rPr>
              <w:t>Dilutive shares included in the calculation</w:t>
            </w:r>
          </w:p>
        </w:tc>
        <w:tc>
          <w:tcPr>
            <w:tcW w:w="114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1,221</w:t>
            </w:r>
          </w:p>
        </w:tc>
        <w:tc>
          <w:tcPr>
            <w:tcW w:w="10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1,304</w:t>
            </w:r>
          </w:p>
        </w:tc>
        <w:tc>
          <w:tcPr>
            <w:tcW w:w="10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1,328</w:t>
            </w:r>
          </w:p>
        </w:tc>
        <w:tc>
          <w:tcPr>
            <w:tcW w:w="10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187"/>
        </w:trPr>
        <w:tc>
          <w:tcPr>
            <w:tcW w:w="44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Anti-dilutive shares excluded from the calculation</w:t>
            </w:r>
          </w:p>
        </w:tc>
        <w:tc>
          <w:tcPr>
            <w:tcW w:w="1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Geographic Information</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presents the Company’s revenue based on customer location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80" w:type="dxa"/>
            <w:vAlign w:val="bottom"/>
          </w:tcPr>
          <w:p>
            <w:pPr>
              <w:spacing w:after="0"/>
              <w:rPr>
                <w:sz w:val="11"/>
                <w:szCs w:val="11"/>
                <w:color w:val="auto"/>
              </w:rPr>
            </w:pPr>
          </w:p>
        </w:tc>
        <w:tc>
          <w:tcPr>
            <w:tcW w:w="2340" w:type="dxa"/>
            <w:vAlign w:val="bottom"/>
            <w:gridSpan w:val="4"/>
            <w:vMerge w:val="restart"/>
          </w:tcPr>
          <w:p>
            <w:pPr>
              <w:jc w:val="right"/>
              <w:ind w:right="54"/>
              <w:spacing w:after="0"/>
              <w:rPr>
                <w:sz w:val="20"/>
                <w:szCs w:val="20"/>
                <w:color w:val="auto"/>
              </w:rPr>
            </w:pPr>
            <w:r>
              <w:rPr>
                <w:rFonts w:ascii="Arial" w:cs="Arial" w:eastAsia="Arial" w:hAnsi="Arial"/>
                <w:sz w:val="12"/>
                <w:szCs w:val="12"/>
                <w:b w:val="1"/>
                <w:bCs w:val="1"/>
                <w:color w:val="auto"/>
              </w:rPr>
              <w:t>Three Months Ended June 30,</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8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380" w:type="dxa"/>
            <w:vAlign w:val="bottom"/>
          </w:tcPr>
          <w:p>
            <w:pPr>
              <w:spacing w:after="0"/>
              <w:rPr>
                <w:sz w:val="13"/>
                <w:szCs w:val="13"/>
                <w:color w:val="auto"/>
              </w:rPr>
            </w:pPr>
          </w:p>
        </w:tc>
        <w:tc>
          <w:tcPr>
            <w:tcW w:w="2340" w:type="dxa"/>
            <w:vAlign w:val="bottom"/>
            <w:tcBorders>
              <w:bottom w:val="single" w:sz="8" w:color="auto"/>
            </w:tcBorders>
            <w:gridSpan w:val="4"/>
            <w:vMerge w:val="continue"/>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271"/>
              <w:spacing w:after="0"/>
              <w:rPr>
                <w:sz w:val="20"/>
                <w:szCs w:val="20"/>
                <w:color w:val="auto"/>
              </w:rPr>
            </w:pPr>
            <w:r>
              <w:rPr>
                <w:rFonts w:ascii="Arial" w:cs="Arial" w:eastAsia="Arial" w:hAnsi="Arial"/>
                <w:sz w:val="12"/>
                <w:szCs w:val="12"/>
                <w:b w:val="1"/>
                <w:bCs w:val="1"/>
                <w:color w:val="auto"/>
              </w:rPr>
              <w:t>June 30,</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3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76"/>
        </w:trPr>
        <w:tc>
          <w:tcPr>
            <w:tcW w:w="53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North America</w:t>
            </w:r>
          </w:p>
        </w:tc>
        <w:tc>
          <w:tcPr>
            <w:tcW w:w="840" w:type="dxa"/>
            <w:vAlign w:val="bottom"/>
            <w:shd w:val="clear" w:color="auto" w:fill="CCEEFF"/>
          </w:tcPr>
          <w:p>
            <w:pPr>
              <w:jc w:val="right"/>
              <w:ind w:right="695"/>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68,954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14"/>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56,211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133,263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113,229</w:t>
            </w:r>
          </w:p>
        </w:tc>
        <w:tc>
          <w:tcPr>
            <w:tcW w:w="0" w:type="dxa"/>
            <w:vAlign w:val="bottom"/>
          </w:tcPr>
          <w:p>
            <w:pPr>
              <w:spacing w:after="0"/>
              <w:rPr>
                <w:sz w:val="1"/>
                <w:szCs w:val="1"/>
                <w:color w:val="auto"/>
              </w:rPr>
            </w:pPr>
          </w:p>
        </w:tc>
      </w:tr>
      <w:tr>
        <w:trPr>
          <w:trHeight w:val="181"/>
        </w:trPr>
        <w:tc>
          <w:tcPr>
            <w:tcW w:w="5380" w:type="dxa"/>
            <w:vAlign w:val="bottom"/>
          </w:tcPr>
          <w:p>
            <w:pPr>
              <w:spacing w:after="0"/>
              <w:rPr>
                <w:sz w:val="20"/>
                <w:szCs w:val="20"/>
                <w:color w:val="auto"/>
              </w:rPr>
            </w:pPr>
            <w:r>
              <w:rPr>
                <w:rFonts w:ascii="Arial" w:cs="Arial" w:eastAsia="Arial" w:hAnsi="Arial"/>
                <w:sz w:val="14"/>
                <w:szCs w:val="14"/>
                <w:color w:val="auto"/>
              </w:rPr>
              <w:t>Europe</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64,778</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52,207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127,055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106,003</w:t>
            </w:r>
          </w:p>
        </w:tc>
        <w:tc>
          <w:tcPr>
            <w:tcW w:w="0" w:type="dxa"/>
            <w:vAlign w:val="bottom"/>
          </w:tcPr>
          <w:p>
            <w:pPr>
              <w:spacing w:after="0"/>
              <w:rPr>
                <w:sz w:val="1"/>
                <w:szCs w:val="1"/>
                <w:color w:val="auto"/>
              </w:rPr>
            </w:pPr>
          </w:p>
        </w:tc>
      </w:tr>
      <w:tr>
        <w:trPr>
          <w:trHeight w:val="187"/>
        </w:trPr>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Rest of the world</w:t>
            </w:r>
          </w:p>
        </w:tc>
        <w:tc>
          <w:tcPr>
            <w:tcW w:w="8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56,180</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50,812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112,875</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101,283</w:t>
            </w:r>
          </w:p>
        </w:tc>
        <w:tc>
          <w:tcPr>
            <w:tcW w:w="0" w:type="dxa"/>
            <w:vAlign w:val="bottom"/>
          </w:tcPr>
          <w:p>
            <w:pPr>
              <w:spacing w:after="0"/>
              <w:rPr>
                <w:sz w:val="1"/>
                <w:szCs w:val="1"/>
                <w:color w:val="auto"/>
              </w:rPr>
            </w:pPr>
          </w:p>
        </w:tc>
      </w:tr>
      <w:tr>
        <w:trPr>
          <w:trHeight w:val="172"/>
        </w:trPr>
        <w:tc>
          <w:tcPr>
            <w:tcW w:w="5380" w:type="dxa"/>
            <w:vAlign w:val="bottom"/>
          </w:tcPr>
          <w:p>
            <w:pPr>
              <w:ind w:left="120"/>
              <w:spacing w:after="0" w:line="158" w:lineRule="exact"/>
              <w:rPr>
                <w:sz w:val="20"/>
                <w:szCs w:val="20"/>
                <w:color w:val="auto"/>
              </w:rPr>
            </w:pPr>
            <w:r>
              <w:rPr>
                <w:rFonts w:ascii="Arial" w:cs="Arial" w:eastAsia="Arial" w:hAnsi="Arial"/>
                <w:sz w:val="14"/>
                <w:szCs w:val="14"/>
                <w:color w:val="auto"/>
              </w:rPr>
              <w:t>Total revenue</w:t>
            </w:r>
          </w:p>
        </w:tc>
        <w:tc>
          <w:tcPr>
            <w:tcW w:w="84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189,912</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159,230</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373,193</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320,515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40" w:firstLine="380"/>
        <w:spacing w:after="0" w:line="286" w:lineRule="auto"/>
        <w:rPr>
          <w:sz w:val="20"/>
          <w:szCs w:val="20"/>
          <w:color w:val="auto"/>
        </w:rPr>
      </w:pPr>
      <w:r>
        <w:rPr>
          <w:rFonts w:ascii="Arial" w:cs="Arial" w:eastAsia="Arial" w:hAnsi="Arial"/>
          <w:sz w:val="15"/>
          <w:szCs w:val="15"/>
          <w:color w:val="auto"/>
        </w:rPr>
        <w:t>The United States, included in North America in the above table, accounted for 31% and 32% of consolidated revenue for the six months ended June 30, 2021 and 2020, respectively. No other country accounts for more than 10% of the Company’s revenue in any period presented.</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Company’s long-lived tangible assets were located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1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b w:val="1"/>
                <w:bCs w:val="1"/>
                <w:color w:val="auto"/>
              </w:rPr>
              <w:t>As of June 30,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20" w:type="dxa"/>
            <w:vAlign w:val="bottom"/>
          </w:tcPr>
          <w:p>
            <w:pPr>
              <w:jc w:val="right"/>
              <w:ind w:right="234"/>
              <w:spacing w:after="0"/>
              <w:rPr>
                <w:sz w:val="20"/>
                <w:szCs w:val="20"/>
                <w:color w:val="auto"/>
              </w:rPr>
            </w:pPr>
            <w:r>
              <w:rPr>
                <w:rFonts w:ascii="Arial" w:cs="Arial" w:eastAsia="Arial" w:hAnsi="Arial"/>
                <w:sz w:val="12"/>
                <w:szCs w:val="12"/>
                <w:b w:val="1"/>
                <w:bCs w:val="1"/>
                <w:color w:val="auto"/>
                <w:w w:val="98"/>
              </w:rPr>
              <w:t>As of December 31,</w:t>
            </w:r>
          </w:p>
        </w:tc>
      </w:tr>
      <w:tr>
        <w:trPr>
          <w:trHeight w:val="166"/>
        </w:trPr>
        <w:tc>
          <w:tcPr>
            <w:tcW w:w="712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ind w:right="195"/>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14"/>
              <w:spacing w:after="0"/>
              <w:rPr>
                <w:sz w:val="20"/>
                <w:szCs w:val="20"/>
                <w:color w:val="auto"/>
              </w:rPr>
            </w:pPr>
            <w:r>
              <w:rPr>
                <w:rFonts w:ascii="Arial" w:cs="Arial" w:eastAsia="Arial" w:hAnsi="Arial"/>
                <w:sz w:val="12"/>
                <w:szCs w:val="12"/>
                <w:b w:val="1"/>
                <w:bCs w:val="1"/>
                <w:color w:val="auto"/>
              </w:rPr>
              <w:t>2020</w:t>
            </w:r>
          </w:p>
        </w:tc>
      </w:tr>
      <w:tr>
        <w:trPr>
          <w:trHeight w:val="180"/>
        </w:trPr>
        <w:tc>
          <w:tcPr>
            <w:tcW w:w="71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North America</w:t>
            </w:r>
          </w:p>
        </w:tc>
        <w:tc>
          <w:tcPr>
            <w:tcW w:w="1540" w:type="dxa"/>
            <w:vAlign w:val="bottom"/>
            <w:shd w:val="clear" w:color="auto" w:fill="CCEEFF"/>
          </w:tcPr>
          <w:p>
            <w:pPr>
              <w:jc w:val="right"/>
              <w:ind w:right="1035"/>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42,324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43,451</w:t>
            </w:r>
          </w:p>
        </w:tc>
      </w:tr>
      <w:tr>
        <w:trPr>
          <w:trHeight w:val="181"/>
        </w:trPr>
        <w:tc>
          <w:tcPr>
            <w:tcW w:w="7120" w:type="dxa"/>
            <w:vAlign w:val="bottom"/>
          </w:tcPr>
          <w:p>
            <w:pPr>
              <w:ind w:left="360"/>
              <w:spacing w:after="0"/>
              <w:rPr>
                <w:sz w:val="20"/>
                <w:szCs w:val="20"/>
                <w:color w:val="auto"/>
              </w:rPr>
            </w:pPr>
            <w:r>
              <w:rPr>
                <w:rFonts w:ascii="Arial" w:cs="Arial" w:eastAsia="Arial" w:hAnsi="Arial"/>
                <w:sz w:val="14"/>
                <w:szCs w:val="14"/>
                <w:color w:val="auto"/>
              </w:rPr>
              <w:t>Europe</w:t>
            </w:r>
          </w:p>
        </w:tc>
        <w:tc>
          <w:tcPr>
            <w:tcW w:w="15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7,470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7,192</w:t>
            </w:r>
          </w:p>
        </w:tc>
      </w:tr>
      <w:tr>
        <w:trPr>
          <w:trHeight w:val="187"/>
        </w:trPr>
        <w:tc>
          <w:tcPr>
            <w:tcW w:w="71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Rest of the world</w:t>
            </w:r>
          </w:p>
        </w:tc>
        <w:tc>
          <w:tcPr>
            <w:tcW w:w="15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w:t>
            </w:r>
          </w:p>
        </w:tc>
      </w:tr>
      <w:tr>
        <w:trPr>
          <w:trHeight w:val="172"/>
        </w:trPr>
        <w:tc>
          <w:tcPr>
            <w:tcW w:w="7120" w:type="dxa"/>
            <w:vAlign w:val="bottom"/>
          </w:tcPr>
          <w:p>
            <w:pPr>
              <w:ind w:left="460"/>
              <w:spacing w:after="0" w:line="158" w:lineRule="exact"/>
              <w:rPr>
                <w:sz w:val="20"/>
                <w:szCs w:val="20"/>
                <w:color w:val="auto"/>
              </w:rPr>
            </w:pPr>
            <w:r>
              <w:rPr>
                <w:rFonts w:ascii="Arial" w:cs="Arial" w:eastAsia="Arial" w:hAnsi="Arial"/>
                <w:sz w:val="14"/>
                <w:szCs w:val="14"/>
                <w:color w:val="auto"/>
              </w:rPr>
              <w:t>Total long-lived tangible assets</w:t>
            </w:r>
          </w:p>
        </w:tc>
        <w:tc>
          <w:tcPr>
            <w:tcW w:w="1540" w:type="dxa"/>
            <w:vAlign w:val="bottom"/>
            <w:tcBorders>
              <w:bottom w:val="single" w:sz="8" w:color="auto"/>
            </w:tcBorders>
          </w:tcPr>
          <w:p>
            <w:pPr>
              <w:jc w:val="right"/>
              <w:ind w:right="1035"/>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49,990</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50,906</w:t>
            </w:r>
          </w:p>
        </w:tc>
      </w:tr>
      <w:tr>
        <w:trPr>
          <w:trHeight w:val="20"/>
        </w:trPr>
        <w:tc>
          <w:tcPr>
            <w:tcW w:w="7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ind w:right="340" w:firstLine="345"/>
        <w:spacing w:after="0" w:line="286" w:lineRule="auto"/>
        <w:rPr>
          <w:sz w:val="20"/>
          <w:szCs w:val="20"/>
          <w:color w:val="auto"/>
        </w:rPr>
      </w:pPr>
      <w:r>
        <w:rPr>
          <w:rFonts w:ascii="Arial" w:cs="Arial" w:eastAsia="Arial" w:hAnsi="Arial"/>
          <w:sz w:val="15"/>
          <w:szCs w:val="15"/>
          <w:color w:val="auto"/>
        </w:rPr>
        <w:t>The United States, included in North America in the above table, accounted for 75% of total long-lived tangible assets as of June 30, 2021 and December 31, 2020. No other country accounts for more than 10% of the Company’s long-lived tangible assets in any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8" w:name="page19"/>
    <w:bookmarkEnd w:id="18"/>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Commitments and Contingencies</w:t>
      </w:r>
    </w:p>
    <w:p>
      <w:pPr>
        <w:spacing w:after="0" w:line="107" w:lineRule="exact"/>
        <w:rPr>
          <w:sz w:val="20"/>
          <w:szCs w:val="20"/>
          <w:color w:val="auto"/>
        </w:rPr>
      </w:pPr>
    </w:p>
    <w:p>
      <w:pPr>
        <w:jc w:val="both"/>
        <w:ind w:right="160" w:firstLine="345"/>
        <w:spacing w:after="0" w:line="299" w:lineRule="auto"/>
        <w:rPr>
          <w:sz w:val="20"/>
          <w:szCs w:val="20"/>
          <w:color w:val="auto"/>
        </w:rPr>
      </w:pPr>
      <w:r>
        <w:rPr>
          <w:rFonts w:ascii="Arial" w:cs="Arial" w:eastAsia="Arial" w:hAnsi="Arial"/>
          <w:sz w:val="14"/>
          <w:szCs w:val="14"/>
          <w:color w:val="auto"/>
        </w:rPr>
        <w:t>As of June 30, 2021, the Company had total non-lease obligations in the amount of approximately $45.4 million, which consisted primarily of minimum royalty guarantees and unconditional purchase obligations related to contracts for infrastructure and other business services. As of June 30, 2021, the Company’s non-lease obligations for the remainder of 2021 and for the years ending December 31, 2022, 2023, 2024 and 2025 were approximately $14.2 million, $14.2 million, $9.9 million, $4.7 million and $2.1 million,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Legal Matters</w:t>
      </w:r>
    </w:p>
    <w:p>
      <w:pPr>
        <w:spacing w:after="0" w:line="138" w:lineRule="exact"/>
        <w:rPr>
          <w:sz w:val="20"/>
          <w:szCs w:val="20"/>
          <w:color w:val="auto"/>
        </w:rPr>
      </w:pPr>
    </w:p>
    <w:p>
      <w:pPr>
        <w:ind w:firstLine="345"/>
        <w:spacing w:after="0" w:line="279" w:lineRule="auto"/>
        <w:rPr>
          <w:sz w:val="20"/>
          <w:szCs w:val="20"/>
          <w:color w:val="auto"/>
        </w:rPr>
      </w:pPr>
      <w:r>
        <w:rPr>
          <w:rFonts w:ascii="Arial" w:cs="Arial" w:eastAsia="Arial" w:hAnsi="Arial"/>
          <w:sz w:val="14"/>
          <w:szCs w:val="14"/>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accordingly, no material reserves related to litigation.</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Indemnification and Employment Agreements</w:t>
      </w:r>
    </w:p>
    <w:p>
      <w:pPr>
        <w:spacing w:after="0" w:line="103" w:lineRule="exact"/>
        <w:rPr>
          <w:sz w:val="20"/>
          <w:szCs w:val="20"/>
          <w:color w:val="auto"/>
        </w:rPr>
      </w:pPr>
    </w:p>
    <w:p>
      <w:pPr>
        <w:ind w:right="80" w:firstLine="345"/>
        <w:spacing w:after="0" w:line="260" w:lineRule="auto"/>
        <w:rPr>
          <w:sz w:val="20"/>
          <w:szCs w:val="20"/>
          <w:color w:val="auto"/>
        </w:rPr>
      </w:pPr>
      <w:r>
        <w:rPr>
          <w:rFonts w:ascii="Arial" w:cs="Arial" w:eastAsia="Arial" w:hAnsi="Arial"/>
          <w:sz w:val="15"/>
          <w:szCs w:val="15"/>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any modifications made by the customer, or the context in which content is used. The standard maximum aggregate obligation and liability to any one customer for any single claim is generally limited to ten thousand dollars but can range to $250,000, with certain exceptions for which our indemnification obligation are uncapped. As of June 30, 2021, the Company had recorded no material liabilities related to indemnification obligations for loss contingencies. Additionally, the Company believes that it has the appropriate insurance coverage in place to adequately cover such indemnification obligations, if necessary.</w:t>
      </w:r>
    </w:p>
    <w:p>
      <w:pPr>
        <w:spacing w:after="0" w:line="71" w:lineRule="exact"/>
        <w:rPr>
          <w:sz w:val="20"/>
          <w:szCs w:val="20"/>
          <w:color w:val="auto"/>
        </w:rPr>
      </w:pPr>
    </w:p>
    <w:p>
      <w:pPr>
        <w:jc w:val="both"/>
        <w:ind w:right="260" w:firstLine="345"/>
        <w:spacing w:after="0" w:line="286" w:lineRule="auto"/>
        <w:rPr>
          <w:sz w:val="20"/>
          <w:szCs w:val="20"/>
          <w:color w:val="auto"/>
        </w:rPr>
      </w:pPr>
      <w:r>
        <w:rPr>
          <w:rFonts w:ascii="Arial" w:cs="Arial" w:eastAsia="Arial" w:hAnsi="Arial"/>
          <w:sz w:val="15"/>
          <w:szCs w:val="15"/>
          <w:color w:val="auto"/>
        </w:rPr>
        <w:t>Pursuant to the Company’s charter documents and separate written indemnification agreements, the Company has certain indemnification obligations to its executive officers, certain employees and directors, as well as certain former officers and directors.</w:t>
      </w:r>
    </w:p>
    <w:p>
      <w:pPr>
        <w:spacing w:after="0" w:line="49" w:lineRule="exact"/>
        <w:rPr>
          <w:sz w:val="20"/>
          <w:szCs w:val="20"/>
          <w:color w:val="auto"/>
        </w:rPr>
      </w:pPr>
    </w:p>
    <w:p>
      <w:pPr>
        <w:jc w:val="both"/>
        <w:ind w:right="240" w:firstLine="345"/>
        <w:spacing w:after="0" w:line="271" w:lineRule="auto"/>
        <w:rPr>
          <w:sz w:val="20"/>
          <w:szCs w:val="20"/>
          <w:color w:val="auto"/>
        </w:rPr>
      </w:pPr>
      <w:r>
        <w:rPr>
          <w:rFonts w:ascii="Arial" w:cs="Arial" w:eastAsia="Arial" w:hAnsi="Arial"/>
          <w:sz w:val="15"/>
          <w:szCs w:val="15"/>
          <w:color w:val="auto"/>
        </w:rPr>
        <w:t>The Company has also entered into employment agreements with its executive officers and certain employees. These agreements specify various employment-related matters, including annual compensation, performance incentive bonuses, and severance benefits in the event of termination in the event of a change in control or otherwise, with or without cause.</w:t>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Subsequent Events</w:t>
      </w:r>
    </w:p>
    <w:p>
      <w:pPr>
        <w:spacing w:after="0" w:line="107" w:lineRule="exact"/>
        <w:rPr>
          <w:sz w:val="20"/>
          <w:szCs w:val="20"/>
          <w:color w:val="auto"/>
        </w:rPr>
      </w:pPr>
    </w:p>
    <w:p>
      <w:pPr>
        <w:jc w:val="both"/>
        <w:ind w:right="420" w:firstLine="345"/>
        <w:spacing w:after="0" w:line="271" w:lineRule="auto"/>
        <w:rPr>
          <w:sz w:val="20"/>
          <w:szCs w:val="20"/>
          <w:color w:val="auto"/>
        </w:rPr>
      </w:pPr>
      <w:r>
        <w:rPr>
          <w:rFonts w:ascii="Arial" w:cs="Arial" w:eastAsia="Arial" w:hAnsi="Arial"/>
          <w:sz w:val="15"/>
          <w:szCs w:val="15"/>
          <w:color w:val="auto"/>
        </w:rPr>
        <w:t>In July 2021, the Company acquired Pattern89 Inc., Datasine Limited and assets from Shotzr, Inc. The aggregate cash consideration was approximately $35 million, and is subject to customary working capital and other adjustments, paid from existing cash on hand. These three entities provide data driven insights through their artificial intelligence platforms. The Company is currently evaluating the accounting model for these transactions.</w:t>
      </w:r>
    </w:p>
    <w:p>
      <w:pPr>
        <w:spacing w:after="0" w:line="200" w:lineRule="exact"/>
        <w:rPr>
          <w:sz w:val="20"/>
          <w:szCs w:val="20"/>
          <w:color w:val="auto"/>
        </w:rPr>
      </w:pPr>
    </w:p>
    <w:p>
      <w:pPr>
        <w:spacing w:after="0" w:line="273"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9" w:name="page20"/>
    <w:bookmarkEnd w:id="19"/>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107" w:lineRule="exact"/>
        <w:rPr>
          <w:sz w:val="20"/>
          <w:szCs w:val="20"/>
          <w:color w:val="auto"/>
        </w:rPr>
      </w:pPr>
    </w:p>
    <w:p>
      <w:pPr>
        <w:ind w:right="140" w:firstLine="345"/>
        <w:spacing w:after="0" w:line="271"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together with our interim consolidated unaudited financial statements and related notes contained elsewhere in this Quarterly Report on Form 10-Q and with information contained in our other filings, including the audited consolidated financial statements included in our 2020 Form 10-K.</w:t>
      </w:r>
    </w:p>
    <w:p>
      <w:pPr>
        <w:spacing w:after="0" w:line="94" w:lineRule="exact"/>
        <w:rPr>
          <w:sz w:val="20"/>
          <w:szCs w:val="20"/>
          <w:color w:val="auto"/>
        </w:rPr>
      </w:pPr>
    </w:p>
    <w:p>
      <w:pPr>
        <w:ind w:right="120" w:firstLine="345"/>
        <w:spacing w:after="0" w:line="266" w:lineRule="auto"/>
        <w:rPr>
          <w:sz w:val="20"/>
          <w:szCs w:val="20"/>
          <w:color w:val="auto"/>
        </w:rPr>
      </w:pPr>
      <w:r>
        <w:rPr>
          <w:rFonts w:ascii="Arial" w:cs="Arial" w:eastAsia="Arial" w:hAnsi="Arial"/>
          <w:sz w:val="15"/>
          <w:szCs w:val="15"/>
          <w:i w:val="1"/>
          <w:iCs w:val="1"/>
          <w:color w:val="auto"/>
        </w:rPr>
        <w:t>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See also the “Risk Factors” disclosures contained in our 2020 Form 10-K for additional discussion of the risks and uncertainties that could cause our actual results to differ materially from those expressed or implied in our forward-looking statements.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5"/>
          <w:szCs w:val="15"/>
          <w:i w:val="1"/>
          <w:iCs w:val="1"/>
          <w:color w:val="auto"/>
        </w:rPr>
        <w:t>For a discussion as to how COVID-19 has affected our business, see “COVID-19 Update” below.</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 and Recent Developments</w:t>
      </w:r>
    </w:p>
    <w:p>
      <w:pPr>
        <w:spacing w:after="0" w:line="142" w:lineRule="exact"/>
        <w:rPr>
          <w:sz w:val="20"/>
          <w:szCs w:val="20"/>
          <w:color w:val="auto"/>
        </w:rPr>
      </w:pPr>
    </w:p>
    <w:p>
      <w:pPr>
        <w:ind w:right="40" w:firstLine="345"/>
        <w:spacing w:after="0" w:line="367" w:lineRule="auto"/>
        <w:rPr>
          <w:sz w:val="20"/>
          <w:szCs w:val="20"/>
          <w:color w:val="auto"/>
        </w:rPr>
      </w:pPr>
      <w:r>
        <w:rPr>
          <w:rFonts w:ascii="Arial" w:cs="Arial" w:eastAsia="Arial" w:hAnsi="Arial"/>
          <w:sz w:val="13"/>
          <w:szCs w:val="13"/>
          <w:color w:val="auto"/>
        </w:rPr>
        <w:t>Shutterstock is a leading global creative platform offering full-service solutions, high-quality content, and tools for brands, businesses and media companies. Our platform brings together users and contributors of content by providing readily-searchable content that our customers pay to license and by compensating contributors as their content is licensed.</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content licensed by our customers includes:</w:t>
      </w:r>
    </w:p>
    <w:p>
      <w:pPr>
        <w:spacing w:after="0" w:line="138" w:lineRule="exact"/>
        <w:rPr>
          <w:sz w:val="20"/>
          <w:szCs w:val="20"/>
          <w:color w:val="auto"/>
        </w:rPr>
      </w:pPr>
    </w:p>
    <w:p>
      <w:pPr>
        <w:ind w:left="880" w:right="600" w:hanging="336"/>
        <w:spacing w:after="0" w:line="286" w:lineRule="auto"/>
        <w:tabs>
          <w:tab w:leader="none" w:pos="876" w:val="left"/>
        </w:tabs>
        <w:numPr>
          <w:ilvl w:val="0"/>
          <w:numId w:val="8"/>
        </w:numPr>
        <w:rPr>
          <w:rFonts w:ascii="Arial" w:cs="Arial" w:eastAsia="Arial" w:hAnsi="Arial"/>
          <w:sz w:val="15"/>
          <w:szCs w:val="15"/>
          <w:color w:val="auto"/>
        </w:rPr>
      </w:pPr>
      <w:r>
        <w:rPr>
          <w:rFonts w:ascii="Arial" w:cs="Arial" w:eastAsia="Arial" w:hAnsi="Arial"/>
          <w:sz w:val="15"/>
          <w:szCs w:val="15"/>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83" w:lineRule="exact"/>
        <w:rPr>
          <w:rFonts w:ascii="Arial" w:cs="Arial" w:eastAsia="Arial" w:hAnsi="Arial"/>
          <w:sz w:val="15"/>
          <w:szCs w:val="15"/>
          <w:color w:val="auto"/>
        </w:rPr>
      </w:pPr>
    </w:p>
    <w:p>
      <w:pPr>
        <w:ind w:left="880" w:right="420" w:hanging="336"/>
        <w:spacing w:after="0" w:line="286" w:lineRule="auto"/>
        <w:tabs>
          <w:tab w:leader="none" w:pos="876" w:val="left"/>
        </w:tabs>
        <w:numPr>
          <w:ilvl w:val="0"/>
          <w:numId w:val="8"/>
        </w:numPr>
        <w:rPr>
          <w:rFonts w:ascii="Arial" w:cs="Arial" w:eastAsia="Arial" w:hAnsi="Arial"/>
          <w:sz w:val="15"/>
          <w:szCs w:val="15"/>
          <w:color w:val="auto"/>
        </w:rPr>
      </w:pPr>
      <w:r>
        <w:rPr>
          <w:rFonts w:ascii="Arial" w:cs="Arial" w:eastAsia="Arial" w:hAnsi="Arial"/>
          <w:sz w:val="15"/>
          <w:szCs w:val="15"/>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71" w:lineRule="exact"/>
        <w:rPr>
          <w:rFonts w:ascii="Arial" w:cs="Arial" w:eastAsia="Arial" w:hAnsi="Arial"/>
          <w:sz w:val="15"/>
          <w:szCs w:val="15"/>
          <w:color w:val="auto"/>
        </w:rPr>
      </w:pPr>
    </w:p>
    <w:p>
      <w:pPr>
        <w:ind w:left="880" w:hanging="336"/>
        <w:spacing w:after="0"/>
        <w:tabs>
          <w:tab w:leader="none" w:pos="880" w:val="left"/>
        </w:tabs>
        <w:numPr>
          <w:ilvl w:val="0"/>
          <w:numId w:val="8"/>
        </w:numPr>
        <w:rPr>
          <w:rFonts w:ascii="Arial" w:cs="Arial" w:eastAsia="Arial" w:hAnsi="Arial"/>
          <w:sz w:val="15"/>
          <w:szCs w:val="15"/>
          <w:color w:val="auto"/>
        </w:rPr>
      </w:pPr>
      <w:r>
        <w:rPr>
          <w:rFonts w:ascii="Arial" w:cs="Arial" w:eastAsia="Arial" w:hAnsi="Arial"/>
          <w:sz w:val="15"/>
          <w:szCs w:val="15"/>
          <w:color w:val="auto"/>
        </w:rPr>
        <w:t>Music - consisting of high-quality music tracks and sound effects, which are often used to complement images and footage.</w:t>
      </w:r>
    </w:p>
    <w:p>
      <w:pPr>
        <w:spacing w:after="0" w:line="137" w:lineRule="exact"/>
        <w:rPr>
          <w:rFonts w:ascii="Arial" w:cs="Arial" w:eastAsia="Arial" w:hAnsi="Arial"/>
          <w:sz w:val="15"/>
          <w:szCs w:val="15"/>
          <w:color w:val="auto"/>
        </w:rPr>
      </w:pPr>
    </w:p>
    <w:p>
      <w:pPr>
        <w:ind w:left="880" w:right="60" w:hanging="336"/>
        <w:spacing w:after="0" w:line="286" w:lineRule="auto"/>
        <w:tabs>
          <w:tab w:leader="none" w:pos="876" w:val="left"/>
        </w:tabs>
        <w:numPr>
          <w:ilvl w:val="0"/>
          <w:numId w:val="8"/>
        </w:numPr>
        <w:rPr>
          <w:rFonts w:ascii="Arial" w:cs="Arial" w:eastAsia="Arial" w:hAnsi="Arial"/>
          <w:sz w:val="15"/>
          <w:szCs w:val="15"/>
          <w:color w:val="auto"/>
        </w:rPr>
      </w:pPr>
      <w:r>
        <w:rPr>
          <w:rFonts w:ascii="Arial" w:cs="Arial" w:eastAsia="Arial" w:hAnsi="Arial"/>
          <w:sz w:val="15"/>
          <w:szCs w:val="15"/>
          <w:color w:val="auto"/>
        </w:rPr>
        <w:t>3D Models - following our acquisition of TurboSquid, Inc. (“TurboSquid”) on February 1, 2021, we now offer 3D models, used in industries such as advertising, media &amp; video production, gaming, retail, education, design and architecture.</w:t>
      </w:r>
    </w:p>
    <w:p>
      <w:pPr>
        <w:spacing w:after="0" w:line="83" w:lineRule="exact"/>
        <w:rPr>
          <w:sz w:val="20"/>
          <w:szCs w:val="20"/>
          <w:color w:val="auto"/>
        </w:rPr>
      </w:pPr>
    </w:p>
    <w:p>
      <w:pPr>
        <w:ind w:firstLine="345"/>
        <w:spacing w:after="0" w:line="290" w:lineRule="auto"/>
        <w:rPr>
          <w:sz w:val="20"/>
          <w:szCs w:val="20"/>
          <w:color w:val="auto"/>
        </w:rPr>
      </w:pPr>
      <w:r>
        <w:rPr>
          <w:rFonts w:ascii="Arial" w:cs="Arial" w:eastAsia="Arial" w:hAnsi="Arial"/>
          <w:sz w:val="14"/>
          <w:szCs w:val="14"/>
          <w:color w:val="auto"/>
        </w:rPr>
        <w:t>For customers seeking specialized solutions, we also create custom, on-brand content by matching our global contributor network to the unique needs of our customers. This solution allows us to offer customers a fast and scalable way to produce cost-effective content that is in line with the visual footprint of their brand. We typically offer a royalty-free, non-exclusive license, and the processes we maintain to properly license content and the indemnification protections we provide allow individuals and businesses of all sizes, including media agencies, publishers, production companies and creative service providers, to confidently utilize such content for their unique commercial or editorial needs.</w:t>
      </w:r>
    </w:p>
    <w:p>
      <w:pPr>
        <w:spacing w:after="0" w:line="72" w:lineRule="exact"/>
        <w:rPr>
          <w:sz w:val="20"/>
          <w:szCs w:val="20"/>
          <w:color w:val="auto"/>
        </w:rPr>
      </w:pPr>
    </w:p>
    <w:p>
      <w:pPr>
        <w:ind w:firstLine="345"/>
        <w:spacing w:after="0" w:line="266" w:lineRule="auto"/>
        <w:rPr>
          <w:sz w:val="20"/>
          <w:szCs w:val="20"/>
          <w:color w:val="auto"/>
        </w:rPr>
      </w:pPr>
      <w:r>
        <w:rPr>
          <w:rFonts w:ascii="Arial" w:cs="Arial" w:eastAsia="Arial" w:hAnsi="Arial"/>
          <w:sz w:val="15"/>
          <w:szCs w:val="15"/>
          <w:color w:val="auto"/>
        </w:rPr>
        <w:t>Over 2.0 million active, paying customers contributed to our revenue for the twelve-month period ended June 30, 2021. As of June 30, 2021, more than 1.8 million approved contributors made their images, footage and music tracks available in our collection, which has grown to more than 380 million images and more than 22 million footage clips as of June 30, 2021. This makes our collection of content one of the largest of its kind, and we delivered 90.7 million paid downloads to our customers across all of our brands during the six months ended June 30, 2021.</w:t>
      </w:r>
    </w:p>
    <w:p>
      <w:pPr>
        <w:spacing w:after="0" w:line="97" w:lineRule="exact"/>
        <w:rPr>
          <w:sz w:val="20"/>
          <w:szCs w:val="20"/>
          <w:color w:val="auto"/>
        </w:rPr>
      </w:pPr>
    </w:p>
    <w:p>
      <w:pPr>
        <w:ind w:right="20" w:firstLine="345"/>
        <w:spacing w:after="0" w:line="263" w:lineRule="auto"/>
        <w:rPr>
          <w:sz w:val="20"/>
          <w:szCs w:val="20"/>
          <w:color w:val="auto"/>
        </w:rPr>
      </w:pPr>
      <w:r>
        <w:rPr>
          <w:rFonts w:ascii="Arial" w:cs="Arial" w:eastAsia="Arial" w:hAnsi="Arial"/>
          <w:sz w:val="15"/>
          <w:szCs w:val="15"/>
          <w:color w:val="auto"/>
        </w:rPr>
        <w:t>Through our platform, we generate revenue by licensing content to our customers. During the six months ended June 30, 2021, 64% of our revenue and the majority of our content licenses came from our E-commerce sales channel. The majority of our customers license content directly through our self-service web properties, including our Shutterstock.com, bigstock.com, premiumbeat.com and turbosquid.com websites. E-commerce customers have the ability to purchase plans that are paid on either a monthly or annual basis or to license content on a transactional basis. E-commerce customers generally license content under our standard or enhanced licenses, with additional licensing options available to meet customers’ individual needs.</w:t>
      </w:r>
    </w:p>
    <w:p>
      <w:pPr>
        <w:spacing w:after="0" w:line="101" w:lineRule="exact"/>
        <w:rPr>
          <w:sz w:val="20"/>
          <w:szCs w:val="20"/>
          <w:color w:val="auto"/>
        </w:rPr>
      </w:pPr>
    </w:p>
    <w:p>
      <w:pPr>
        <w:jc w:val="both"/>
        <w:ind w:right="60" w:firstLine="345"/>
        <w:spacing w:after="0" w:line="299" w:lineRule="auto"/>
        <w:rPr>
          <w:sz w:val="20"/>
          <w:szCs w:val="20"/>
          <w:color w:val="auto"/>
        </w:rPr>
      </w:pPr>
      <w:r>
        <w:rPr>
          <w:rFonts w:ascii="Arial" w:cs="Arial" w:eastAsia="Arial" w:hAnsi="Arial"/>
          <w:sz w:val="14"/>
          <w:szCs w:val="14"/>
          <w:color w:val="auto"/>
        </w:rPr>
        <w:t>Customers in our Enterprise sales channel generally have unique content, licensing and workflow needs. These customers benefit from communication with our dedicated sales, service and research teams which provide a number of personalized enhancements to their creative workflows including non-standard licensing rights, multi-seat access, ability to pay on credit terms, multi-brand licensing packages, increased indemnification protection and content licensed for use-cases outside of those</w:t>
      </w: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0" w:name="page21"/>
    <w:bookmarkEnd w:id="20"/>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color w:val="auto"/>
        </w:rPr>
        <w:t>available on our E-commerce platform. Customers in our enterprise sales channel may also benefit from our API platform as well as access to Shutterstock Editorial, which includes our library of editorial images and videos and Shutterstock Studios, our offering that provides custom, high-quality content matched with production tools and services. Our Enterprise sales channel provided approximately 36% of our revenue for the six months ended June 30, 2021.</w:t>
      </w:r>
    </w:p>
    <w:p>
      <w:pPr>
        <w:spacing w:after="0" w:line="82" w:lineRule="exact"/>
        <w:rPr>
          <w:sz w:val="20"/>
          <w:szCs w:val="20"/>
          <w:color w:val="auto"/>
        </w:rPr>
      </w:pPr>
    </w:p>
    <w:p>
      <w:pPr>
        <w:ind w:firstLine="345"/>
        <w:spacing w:after="0" w:line="284" w:lineRule="auto"/>
        <w:rPr>
          <w:sz w:val="20"/>
          <w:szCs w:val="20"/>
          <w:color w:val="auto"/>
        </w:rPr>
      </w:pPr>
      <w:r>
        <w:rPr>
          <w:rFonts w:ascii="Arial" w:cs="Arial" w:eastAsia="Arial" w:hAnsi="Arial"/>
          <w:sz w:val="14"/>
          <w:szCs w:val="14"/>
          <w:color w:val="auto"/>
        </w:rPr>
        <w:t>As the use cases for our creative solutions expand, we believe our customers are seeking alternative means to consume our offerings. As a result, we have seen strong growth in customers purchasing monthly subscription products. Our monthly subscriptions provide for a fixed number of content licenses that may be downloaded during the period. Our subscription-based pricing model makes the creative process easier because customers can download content in our collection for use in their creative process without incremental costs, which provides greater creative freedom and helps improve work product. In addition, customers may also purchase licenses through other contractual plans where the customer commits to buy a predetermined quantity of content licenses that may be downloaded over a period of time, generally between one month to one year. For users who need less content, individual content licenses may also be purchased on a transactional basis, paid for at the time of download.</w:t>
      </w:r>
    </w:p>
    <w:p>
      <w:pPr>
        <w:spacing w:after="0" w:line="87" w:lineRule="exact"/>
        <w:rPr>
          <w:sz w:val="20"/>
          <w:szCs w:val="20"/>
          <w:color w:val="auto"/>
        </w:rPr>
      </w:pPr>
    </w:p>
    <w:p>
      <w:pPr>
        <w:jc w:val="both"/>
        <w:ind w:right="280" w:firstLine="345"/>
        <w:spacing w:after="0" w:line="331" w:lineRule="auto"/>
        <w:rPr>
          <w:sz w:val="20"/>
          <w:szCs w:val="20"/>
          <w:color w:val="auto"/>
        </w:rPr>
      </w:pPr>
      <w:r>
        <w:rPr>
          <w:rFonts w:ascii="Arial" w:cs="Arial" w:eastAsia="Arial" w:hAnsi="Arial"/>
          <w:sz w:val="13"/>
          <w:szCs w:val="13"/>
          <w:color w:val="auto"/>
        </w:rPr>
        <w:t>Contributors of content typically earn a royalty each time their work is licensed. Contributors earn royalties based on our published earnings schedule that is based on annual licensing volume, which determines the contributor’s earnings tier and the purchase option under which the content was licensed. Royalties represent the largest component of our operating expenses, are reported within cost of revenue, tend to fluctuate proportionately with revenue and paid downloads and may be impacted by the mix of products sold.</w:t>
      </w:r>
    </w:p>
    <w:p>
      <w:pPr>
        <w:spacing w:after="0" w:line="60" w:lineRule="exact"/>
        <w:rPr>
          <w:sz w:val="20"/>
          <w:szCs w:val="20"/>
          <w:color w:val="auto"/>
        </w:rPr>
      </w:pPr>
    </w:p>
    <w:p>
      <w:pPr>
        <w:ind w:firstLine="345"/>
        <w:spacing w:after="0" w:line="324" w:lineRule="auto"/>
        <w:rPr>
          <w:sz w:val="20"/>
          <w:szCs w:val="20"/>
          <w:color w:val="auto"/>
        </w:rPr>
      </w:pPr>
      <w:r>
        <w:rPr>
          <w:rFonts w:ascii="Arial" w:cs="Arial" w:eastAsia="Arial" w:hAnsi="Arial"/>
          <w:sz w:val="14"/>
          <w:szCs w:val="14"/>
          <w:color w:val="auto"/>
        </w:rPr>
        <w:t>In July of 2021, through its newly formed entity Shutterstock.AI, Inc. (“Shutterstock.AI”), the Company acquired Pattern89, Inc., DataSine Limited, and assets from Shotzr, Inc., three artificial intelligence entities that provide data driven insights through their artificial intelligence platforms. The aggregate purchase price was approximately $35 million.</w:t>
      </w:r>
    </w:p>
    <w:p>
      <w:pPr>
        <w:spacing w:after="0" w:line="48" w:lineRule="exact"/>
        <w:rPr>
          <w:sz w:val="20"/>
          <w:szCs w:val="20"/>
          <w:color w:val="auto"/>
        </w:rPr>
      </w:pPr>
    </w:p>
    <w:p>
      <w:pPr>
        <w:jc w:val="both"/>
        <w:ind w:right="120" w:firstLine="345"/>
        <w:spacing w:after="0" w:line="271" w:lineRule="auto"/>
        <w:rPr>
          <w:sz w:val="20"/>
          <w:szCs w:val="20"/>
          <w:color w:val="auto"/>
        </w:rPr>
      </w:pPr>
      <w:r>
        <w:rPr>
          <w:rFonts w:ascii="Arial" w:cs="Arial" w:eastAsia="Arial" w:hAnsi="Arial"/>
          <w:sz w:val="15"/>
          <w:szCs w:val="15"/>
          <w:color w:val="auto"/>
        </w:rPr>
        <w:t>Shutterstock.AI will commercialize data assets within Shutterstock’s content library and enable companies to grow their capabilities in computer vision and content insights. In addition, with artificial intelligence tools obtained from the acquisitions, the Company will develop predictive performance capabilities to help customers make more data-informed content decisions.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COVID-19 Update</w:t>
      </w:r>
    </w:p>
    <w:p>
      <w:pPr>
        <w:spacing w:after="0" w:line="130" w:lineRule="exact"/>
        <w:rPr>
          <w:sz w:val="20"/>
          <w:szCs w:val="20"/>
          <w:color w:val="auto"/>
        </w:rPr>
      </w:pPr>
    </w:p>
    <w:p>
      <w:pPr>
        <w:ind w:right="40" w:firstLine="345"/>
        <w:spacing w:after="0" w:line="263" w:lineRule="auto"/>
        <w:rPr>
          <w:sz w:val="20"/>
          <w:szCs w:val="20"/>
          <w:color w:val="auto"/>
        </w:rPr>
      </w:pPr>
      <w:r>
        <w:rPr>
          <w:rFonts w:ascii="Arial" w:cs="Arial" w:eastAsia="Arial" w:hAnsi="Arial"/>
          <w:sz w:val="15"/>
          <w:szCs w:val="15"/>
          <w:color w:val="auto"/>
        </w:rPr>
        <w:t>In December 2019, a novel coronavirus disease (“COVID-19”) was initially reported and on March 11, 2020, the World Health Organization characterized COVID-19 as a pandemic. Our operations have been impacted by office closures globally and restrictions on employee travel and in-person meetings, however, we have generally been able to deliver our services remotely. We believe the economic uncertainty caused by COVID-19 has had an impact on our customers and their ability to spend marketing budgets on our products, in varying degrees during 2020 and into 2021. See Item 1A. Risk Factors in our 2020 Form 10-K for further discussion of the possible impact of the COVID-19 pandemic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21" w:name="page22"/>
    <w:bookmarkEnd w:id="21"/>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Operating Metrics</w:t>
      </w:r>
    </w:p>
    <w:p>
      <w:pPr>
        <w:spacing w:after="0" w:line="107" w:lineRule="exact"/>
        <w:rPr>
          <w:sz w:val="20"/>
          <w:szCs w:val="20"/>
          <w:color w:val="auto"/>
        </w:rPr>
      </w:pPr>
    </w:p>
    <w:p>
      <w:pPr>
        <w:ind w:right="220" w:firstLine="345"/>
        <w:spacing w:after="0" w:line="271" w:lineRule="auto"/>
        <w:rPr>
          <w:sz w:val="20"/>
          <w:szCs w:val="20"/>
          <w:color w:val="auto"/>
        </w:rPr>
      </w:pPr>
      <w:r>
        <w:rPr>
          <w:rFonts w:ascii="Arial" w:cs="Arial" w:eastAsia="Arial" w:hAnsi="Arial"/>
          <w:sz w:val="15"/>
          <w:szCs w:val="15"/>
          <w:color w:val="auto"/>
        </w:rPr>
        <w:t>We regularly review a number of key operating metrics to evaluate our business, determine the allocation of resources and make decisions regarding business strategies. We believe that these metrics can be useful for understanding the underlying trends in our business. The following table summarizes our key operating metrics, which are unaudited, for the three and six months ended June 30, 2021 and 2020:</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380" w:type="dxa"/>
            <w:vAlign w:val="bottom"/>
          </w:tcPr>
          <w:p>
            <w:pPr>
              <w:spacing w:after="0"/>
              <w:rPr>
                <w:sz w:val="12"/>
                <w:szCs w:val="12"/>
                <w:color w:val="auto"/>
              </w:rPr>
            </w:pPr>
          </w:p>
        </w:tc>
        <w:tc>
          <w:tcPr>
            <w:tcW w:w="232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1"/>
                <w:szCs w:val="11"/>
                <w:b w:val="1"/>
                <w:bCs w:val="1"/>
                <w:color w:val="auto"/>
              </w:rPr>
              <w:t>Three Months Ended June 30,</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820" w:type="dxa"/>
            <w:vAlign w:val="bottom"/>
            <w:tcBorders>
              <w:bottom w:val="single" w:sz="8" w:color="auto"/>
            </w:tcBorders>
          </w:tcPr>
          <w:p>
            <w:pPr>
              <w:spacing w:after="0"/>
              <w:rPr>
                <w:sz w:val="12"/>
                <w:szCs w:val="12"/>
                <w:color w:val="auto"/>
              </w:rPr>
            </w:pPr>
          </w:p>
        </w:tc>
      </w:tr>
      <w:tr>
        <w:trPr>
          <w:trHeight w:val="143"/>
        </w:trPr>
        <w:tc>
          <w:tcPr>
            <w:tcW w:w="538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2021</w:t>
            </w:r>
          </w:p>
        </w:tc>
        <w:tc>
          <w:tcPr>
            <w:tcW w:w="6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w w:val="81"/>
              </w:rPr>
              <w:t>2020</w:t>
            </w:r>
          </w:p>
        </w:tc>
      </w:tr>
      <w:tr>
        <w:trPr>
          <w:trHeight w:val="134"/>
        </w:trPr>
        <w:tc>
          <w:tcPr>
            <w:tcW w:w="5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84"/>
        </w:trPr>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Subscribers (end of period)</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90"/>
              </w:rPr>
              <w:t>321,000</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223,000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321,000</w:t>
            </w:r>
          </w:p>
        </w:tc>
        <w:tc>
          <w:tcPr>
            <w:tcW w:w="6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223,000</w:t>
            </w:r>
          </w:p>
        </w:tc>
      </w:tr>
      <w:tr>
        <w:trPr>
          <w:trHeight w:val="181"/>
        </w:trPr>
        <w:tc>
          <w:tcPr>
            <w:tcW w:w="5380" w:type="dxa"/>
            <w:vAlign w:val="bottom"/>
          </w:tcPr>
          <w:p>
            <w:pPr>
              <w:spacing w:after="0"/>
              <w:rPr>
                <w:sz w:val="20"/>
                <w:szCs w:val="20"/>
                <w:color w:val="auto"/>
              </w:rPr>
            </w:pPr>
            <w:r>
              <w:rPr>
                <w:rFonts w:ascii="Arial" w:cs="Arial" w:eastAsia="Arial" w:hAnsi="Arial"/>
                <w:sz w:val="14"/>
                <w:szCs w:val="14"/>
                <w:color w:val="auto"/>
              </w:rPr>
              <w:t>Subscriber revenue (in millions)</w:t>
            </w:r>
          </w:p>
        </w:tc>
        <w:tc>
          <w:tcPr>
            <w:tcW w:w="840" w:type="dxa"/>
            <w:vAlign w:val="bottom"/>
          </w:tcPr>
          <w:p>
            <w:pPr>
              <w:jc w:val="right"/>
              <w:ind w:right="697"/>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31"/>
              <w:spacing w:after="0"/>
              <w:rPr>
                <w:sz w:val="20"/>
                <w:szCs w:val="20"/>
                <w:color w:val="auto"/>
              </w:rPr>
            </w:pPr>
            <w:r>
              <w:rPr>
                <w:rFonts w:ascii="Arial" w:cs="Arial" w:eastAsia="Arial" w:hAnsi="Arial"/>
                <w:sz w:val="14"/>
                <w:szCs w:val="14"/>
                <w:color w:val="auto"/>
              </w:rPr>
              <w:t>78.1</w:t>
            </w:r>
          </w:p>
        </w:tc>
        <w:tc>
          <w:tcPr>
            <w:tcW w:w="900" w:type="dxa"/>
            <w:vAlign w:val="bottom"/>
          </w:tcPr>
          <w:p>
            <w:pPr>
              <w:jc w:val="right"/>
              <w:ind w:right="695"/>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4"/>
              <w:spacing w:after="0"/>
              <w:rPr>
                <w:sz w:val="20"/>
                <w:szCs w:val="20"/>
                <w:color w:val="auto"/>
              </w:rPr>
            </w:pPr>
            <w:r>
              <w:rPr>
                <w:rFonts w:ascii="Arial" w:cs="Arial" w:eastAsia="Arial" w:hAnsi="Arial"/>
                <w:sz w:val="14"/>
                <w:szCs w:val="14"/>
                <w:color w:val="auto"/>
              </w:rPr>
              <w:t>154.6</w:t>
            </w:r>
          </w:p>
        </w:tc>
        <w:tc>
          <w:tcPr>
            <w:tcW w:w="660" w:type="dxa"/>
            <w:vAlign w:val="bottom"/>
          </w:tcPr>
          <w:p>
            <w:pPr>
              <w:jc w:val="right"/>
              <w:ind w:right="43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126.6</w:t>
            </w:r>
          </w:p>
        </w:tc>
      </w:tr>
      <w:tr>
        <w:trPr>
          <w:trHeight w:val="95"/>
        </w:trPr>
        <w:tc>
          <w:tcPr>
            <w:tcW w:w="53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181"/>
        </w:trPr>
        <w:tc>
          <w:tcPr>
            <w:tcW w:w="5380" w:type="dxa"/>
            <w:vAlign w:val="bottom"/>
          </w:tcPr>
          <w:p>
            <w:pPr>
              <w:spacing w:after="0"/>
              <w:rPr>
                <w:sz w:val="20"/>
                <w:szCs w:val="20"/>
                <w:color w:val="auto"/>
              </w:rPr>
            </w:pPr>
            <w:r>
              <w:rPr>
                <w:rFonts w:ascii="Arial" w:cs="Arial" w:eastAsia="Arial" w:hAnsi="Arial"/>
                <w:sz w:val="14"/>
                <w:szCs w:val="14"/>
                <w:color w:val="auto"/>
              </w:rPr>
              <w:t>Average revenue per customer (last twelve months)</w:t>
            </w:r>
          </w:p>
        </w:tc>
        <w:tc>
          <w:tcPr>
            <w:tcW w:w="840" w:type="dxa"/>
            <w:vAlign w:val="bottom"/>
          </w:tcPr>
          <w:p>
            <w:pPr>
              <w:jc w:val="right"/>
              <w:ind w:right="697"/>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31"/>
              <w:spacing w:after="0"/>
              <w:rPr>
                <w:sz w:val="20"/>
                <w:szCs w:val="20"/>
                <w:color w:val="auto"/>
              </w:rPr>
            </w:pPr>
            <w:r>
              <w:rPr>
                <w:rFonts w:ascii="Arial" w:cs="Arial" w:eastAsia="Arial" w:hAnsi="Arial"/>
                <w:sz w:val="14"/>
                <w:szCs w:val="14"/>
                <w:color w:val="auto"/>
              </w:rPr>
              <w:t>356</w:t>
            </w:r>
          </w:p>
        </w:tc>
        <w:tc>
          <w:tcPr>
            <w:tcW w:w="900" w:type="dxa"/>
            <w:vAlign w:val="bottom"/>
          </w:tcPr>
          <w:p>
            <w:pPr>
              <w:jc w:val="right"/>
              <w:ind w:right="695"/>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4"/>
              <w:spacing w:after="0"/>
              <w:rPr>
                <w:sz w:val="20"/>
                <w:szCs w:val="20"/>
                <w:color w:val="auto"/>
              </w:rPr>
            </w:pPr>
            <w:r>
              <w:rPr>
                <w:rFonts w:ascii="Arial" w:cs="Arial" w:eastAsia="Arial" w:hAnsi="Arial"/>
                <w:sz w:val="14"/>
                <w:szCs w:val="14"/>
                <w:color w:val="auto"/>
              </w:rPr>
              <w:t>356</w:t>
            </w:r>
          </w:p>
        </w:tc>
        <w:tc>
          <w:tcPr>
            <w:tcW w:w="660" w:type="dxa"/>
            <w:vAlign w:val="bottom"/>
          </w:tcPr>
          <w:p>
            <w:pPr>
              <w:jc w:val="right"/>
              <w:ind w:right="43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326</w:t>
            </w:r>
          </w:p>
        </w:tc>
      </w:tr>
      <w:tr>
        <w:trPr>
          <w:trHeight w:val="187"/>
        </w:trPr>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Paid downloads (in millions)</w:t>
            </w: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44.9</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90.7</w:t>
            </w:r>
          </w:p>
        </w:tc>
        <w:tc>
          <w:tcPr>
            <w:tcW w:w="6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w:t>
            </w:r>
          </w:p>
        </w:tc>
      </w:tr>
      <w:tr>
        <w:trPr>
          <w:trHeight w:val="181"/>
        </w:trPr>
        <w:tc>
          <w:tcPr>
            <w:tcW w:w="5380" w:type="dxa"/>
            <w:vAlign w:val="bottom"/>
          </w:tcPr>
          <w:p>
            <w:pPr>
              <w:spacing w:after="0"/>
              <w:rPr>
                <w:sz w:val="20"/>
                <w:szCs w:val="20"/>
                <w:color w:val="auto"/>
              </w:rPr>
            </w:pPr>
            <w:r>
              <w:rPr>
                <w:rFonts w:ascii="Arial" w:cs="Arial" w:eastAsia="Arial" w:hAnsi="Arial"/>
                <w:sz w:val="14"/>
                <w:szCs w:val="14"/>
                <w:color w:val="auto"/>
              </w:rPr>
              <w:t>Revenue per download</w:t>
            </w:r>
          </w:p>
        </w:tc>
        <w:tc>
          <w:tcPr>
            <w:tcW w:w="840" w:type="dxa"/>
            <w:vAlign w:val="bottom"/>
          </w:tcPr>
          <w:p>
            <w:pPr>
              <w:jc w:val="right"/>
              <w:ind w:right="697"/>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31"/>
              <w:spacing w:after="0"/>
              <w:rPr>
                <w:sz w:val="20"/>
                <w:szCs w:val="20"/>
                <w:color w:val="auto"/>
              </w:rPr>
            </w:pPr>
            <w:r>
              <w:rPr>
                <w:rFonts w:ascii="Arial" w:cs="Arial" w:eastAsia="Arial" w:hAnsi="Arial"/>
                <w:sz w:val="14"/>
                <w:szCs w:val="14"/>
                <w:color w:val="auto"/>
              </w:rPr>
              <w:t>4.17</w:t>
            </w:r>
          </w:p>
        </w:tc>
        <w:tc>
          <w:tcPr>
            <w:tcW w:w="900" w:type="dxa"/>
            <w:vAlign w:val="bottom"/>
          </w:tcPr>
          <w:p>
            <w:pPr>
              <w:jc w:val="right"/>
              <w:ind w:right="695"/>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4"/>
              <w:spacing w:after="0"/>
              <w:rPr>
                <w:sz w:val="20"/>
                <w:szCs w:val="20"/>
                <w:color w:val="auto"/>
              </w:rPr>
            </w:pPr>
            <w:r>
              <w:rPr>
                <w:rFonts w:ascii="Arial" w:cs="Arial" w:eastAsia="Arial" w:hAnsi="Arial"/>
                <w:sz w:val="14"/>
                <w:szCs w:val="14"/>
                <w:color w:val="auto"/>
              </w:rPr>
              <w:t>4.07</w:t>
            </w:r>
          </w:p>
        </w:tc>
        <w:tc>
          <w:tcPr>
            <w:tcW w:w="660" w:type="dxa"/>
            <w:vAlign w:val="bottom"/>
          </w:tcPr>
          <w:p>
            <w:pPr>
              <w:jc w:val="right"/>
              <w:ind w:right="43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3.51</w:t>
            </w:r>
          </w:p>
        </w:tc>
      </w:tr>
      <w:tr>
        <w:trPr>
          <w:trHeight w:val="187"/>
        </w:trPr>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Content in our collection (end of period, in millions):</w:t>
            </w: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1"/>
        </w:trPr>
        <w:tc>
          <w:tcPr>
            <w:tcW w:w="5380" w:type="dxa"/>
            <w:vAlign w:val="bottom"/>
          </w:tcPr>
          <w:p>
            <w:pPr>
              <w:ind w:left="120"/>
              <w:spacing w:after="0"/>
              <w:rPr>
                <w:sz w:val="20"/>
                <w:szCs w:val="20"/>
                <w:color w:val="auto"/>
              </w:rPr>
            </w:pPr>
            <w:r>
              <w:rPr>
                <w:rFonts w:ascii="Arial" w:cs="Arial" w:eastAsia="Arial" w:hAnsi="Arial"/>
                <w:sz w:val="14"/>
                <w:szCs w:val="14"/>
                <w:color w:val="auto"/>
              </w:rPr>
              <w:t>Images</w:t>
            </w:r>
          </w:p>
        </w:tc>
        <w:tc>
          <w:tcPr>
            <w:tcW w:w="840" w:type="dxa"/>
            <w:vAlign w:val="bottom"/>
          </w:tcPr>
          <w:p>
            <w:pPr>
              <w:spacing w:after="0"/>
              <w:rPr>
                <w:sz w:val="15"/>
                <w:szCs w:val="15"/>
                <w:color w:val="auto"/>
              </w:rPr>
            </w:pPr>
          </w:p>
        </w:tc>
        <w:tc>
          <w:tcPr>
            <w:tcW w:w="580" w:type="dxa"/>
            <w:vAlign w:val="bottom"/>
          </w:tcPr>
          <w:p>
            <w:pPr>
              <w:jc w:val="right"/>
              <w:ind w:right="31"/>
              <w:spacing w:after="0"/>
              <w:rPr>
                <w:sz w:val="20"/>
                <w:szCs w:val="20"/>
                <w:color w:val="auto"/>
              </w:rPr>
            </w:pPr>
            <w:r>
              <w:rPr>
                <w:rFonts w:ascii="Arial" w:cs="Arial" w:eastAsia="Arial" w:hAnsi="Arial"/>
                <w:sz w:val="14"/>
                <w:szCs w:val="14"/>
                <w:color w:val="auto"/>
              </w:rPr>
              <w:t>380</w:t>
            </w:r>
          </w:p>
        </w:tc>
        <w:tc>
          <w:tcPr>
            <w:tcW w:w="9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14"/>
              <w:spacing w:after="0"/>
              <w:rPr>
                <w:sz w:val="20"/>
                <w:szCs w:val="20"/>
                <w:color w:val="auto"/>
              </w:rPr>
            </w:pPr>
            <w:r>
              <w:rPr>
                <w:rFonts w:ascii="Arial" w:cs="Arial" w:eastAsia="Arial" w:hAnsi="Arial"/>
                <w:sz w:val="14"/>
                <w:szCs w:val="14"/>
                <w:color w:val="auto"/>
              </w:rPr>
              <w:t>380</w:t>
            </w:r>
          </w:p>
        </w:tc>
        <w:tc>
          <w:tcPr>
            <w:tcW w:w="6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340</w:t>
            </w:r>
          </w:p>
        </w:tc>
      </w:tr>
      <w:tr>
        <w:trPr>
          <w:trHeight w:val="187"/>
        </w:trPr>
        <w:tc>
          <w:tcPr>
            <w:tcW w:w="5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Footage clips</w:t>
            </w: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22</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22</w:t>
            </w:r>
          </w:p>
        </w:tc>
        <w:tc>
          <w:tcPr>
            <w:tcW w:w="6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Subscribers</w:t>
      </w:r>
    </w:p>
    <w:p>
      <w:pPr>
        <w:spacing w:after="0" w:line="103" w:lineRule="exact"/>
        <w:rPr>
          <w:sz w:val="20"/>
          <w:szCs w:val="20"/>
          <w:color w:val="auto"/>
        </w:rPr>
      </w:pPr>
    </w:p>
    <w:p>
      <w:pPr>
        <w:ind w:right="20" w:firstLine="345"/>
        <w:spacing w:after="0" w:line="271" w:lineRule="auto"/>
        <w:rPr>
          <w:sz w:val="20"/>
          <w:szCs w:val="20"/>
          <w:color w:val="auto"/>
        </w:rPr>
      </w:pPr>
      <w:r>
        <w:rPr>
          <w:rFonts w:ascii="Arial" w:cs="Arial" w:eastAsia="Arial" w:hAnsi="Arial"/>
          <w:sz w:val="15"/>
          <w:szCs w:val="15"/>
          <w:color w:val="auto"/>
        </w:rPr>
        <w:t>We define subscribers as those customers who purchase one or more of our monthly recurring products for a continuous period of at least three months, measured as of the end of the reporting period. We believe the number of subscribers is an important metric that provides insight into our monthly recurring business and its growth. We believe that an increase in our number of subscribers is an indicator of engagement in our platform and potential for future growth.</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Subscriber Revenue</w:t>
      </w:r>
    </w:p>
    <w:p>
      <w:pPr>
        <w:spacing w:after="0" w:line="103" w:lineRule="exact"/>
        <w:rPr>
          <w:sz w:val="20"/>
          <w:szCs w:val="20"/>
          <w:color w:val="auto"/>
        </w:rPr>
      </w:pPr>
    </w:p>
    <w:p>
      <w:pPr>
        <w:ind w:right="380" w:firstLine="345"/>
        <w:spacing w:after="0" w:line="286" w:lineRule="auto"/>
        <w:rPr>
          <w:sz w:val="20"/>
          <w:szCs w:val="20"/>
          <w:color w:val="auto"/>
        </w:rPr>
      </w:pPr>
      <w:r>
        <w:rPr>
          <w:rFonts w:ascii="Arial" w:cs="Arial" w:eastAsia="Arial" w:hAnsi="Arial"/>
          <w:sz w:val="15"/>
          <w:szCs w:val="15"/>
          <w:color w:val="auto"/>
        </w:rPr>
        <w:t>We define subscriber revenue as the revenue generated from subscribers during the period. We believe subscriber revenue, together with our number of subscribers, provide insight into the portion of our business and growth driven by our monthly recurring products.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Average Revenue Per Customer</w:t>
      </w:r>
    </w:p>
    <w:p>
      <w:pPr>
        <w:spacing w:after="0" w:line="103" w:lineRule="exact"/>
        <w:rPr>
          <w:sz w:val="20"/>
          <w:szCs w:val="20"/>
          <w:color w:val="auto"/>
        </w:rPr>
      </w:pPr>
    </w:p>
    <w:p>
      <w:pPr>
        <w:jc w:val="both"/>
        <w:ind w:right="180" w:firstLine="345"/>
        <w:spacing w:after="0" w:line="271" w:lineRule="auto"/>
        <w:rPr>
          <w:sz w:val="20"/>
          <w:szCs w:val="20"/>
          <w:color w:val="auto"/>
        </w:rPr>
      </w:pPr>
      <w:r>
        <w:rPr>
          <w:rFonts w:ascii="Arial" w:cs="Arial" w:eastAsia="Arial" w:hAnsi="Arial"/>
          <w:sz w:val="15"/>
          <w:szCs w:val="15"/>
          <w:color w:val="auto"/>
        </w:rPr>
        <w:t>Average revenue per customer is calculated by dividing total revenue for the last twelve month period by customers. We define customers as total active, paying customers that contributed to total revenue over the last twelve month period. Changes in our average revenue per customer will be driven by changes in the mix of our subscription-based products and the pricing in our transactional business.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Paid Downloads</w:t>
      </w:r>
    </w:p>
    <w:p>
      <w:pPr>
        <w:spacing w:after="0" w:line="103" w:lineRule="exact"/>
        <w:rPr>
          <w:sz w:val="20"/>
          <w:szCs w:val="20"/>
          <w:color w:val="auto"/>
        </w:rPr>
      </w:pPr>
    </w:p>
    <w:p>
      <w:pPr>
        <w:ind w:right="360" w:firstLine="345"/>
        <w:spacing w:after="0" w:line="299" w:lineRule="auto"/>
        <w:rPr>
          <w:sz w:val="20"/>
          <w:szCs w:val="20"/>
          <w:color w:val="auto"/>
        </w:rPr>
      </w:pPr>
      <w:r>
        <w:rPr>
          <w:rFonts w:ascii="Arial" w:cs="Arial" w:eastAsia="Arial" w:hAnsi="Arial"/>
          <w:sz w:val="14"/>
          <w:szCs w:val="14"/>
          <w:color w:val="auto"/>
        </w:rPr>
        <w:t>We define paid downloads as the number of downloads that our customers make in a given period of our content. Paid downloads exclude custom content and downloads of content that are offered to customers for no charge, including our free image of the week. Measuring the number of paid downloads that our customers make in a given period is important because they are the primary method of delivering licensed content, which drives a significant portion of the Company’s revenue and contributor royalties.</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per Download</w:t>
      </w:r>
    </w:p>
    <w:p>
      <w:pPr>
        <w:spacing w:after="0" w:line="103" w:lineRule="exact"/>
        <w:rPr>
          <w:sz w:val="20"/>
          <w:szCs w:val="20"/>
          <w:color w:val="auto"/>
        </w:rPr>
      </w:pPr>
    </w:p>
    <w:p>
      <w:pPr>
        <w:ind w:right="100" w:firstLine="345"/>
        <w:spacing w:after="0" w:line="263" w:lineRule="auto"/>
        <w:rPr>
          <w:sz w:val="20"/>
          <w:szCs w:val="20"/>
          <w:color w:val="auto"/>
        </w:rPr>
      </w:pPr>
      <w:r>
        <w:rPr>
          <w:rFonts w:ascii="Arial" w:cs="Arial" w:eastAsia="Arial" w:hAnsi="Arial"/>
          <w:sz w:val="15"/>
          <w:szCs w:val="15"/>
          <w:color w:val="auto"/>
        </w:rPr>
        <w:t>We define revenue per download as the amount of revenue recognized in a given period divided by the number of paid downloads in that period excluding revenue from custom content and revenue that is not derived from or associated with content licenses. This metric captures any changes in our pricing, including changes resulting from the impact of competitive pressures, as well as the mix of licensing options that our customers choose, some of which generate more revenue per download than others, and the impact that changes in foreign currency rates have on our pricing. Changes in revenue per download are primarily driven by the introduction of new product offerings, changes in product mix and customer utilization of our products.</w:t>
      </w:r>
    </w:p>
    <w:p>
      <w:pPr>
        <w:spacing w:after="0" w:line="200" w:lineRule="exact"/>
        <w:rPr>
          <w:sz w:val="20"/>
          <w:szCs w:val="20"/>
          <w:color w:val="auto"/>
        </w:rPr>
      </w:pPr>
    </w:p>
    <w:p>
      <w:pPr>
        <w:spacing w:after="0" w:line="246"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2" w:name="page23"/>
    <w:bookmarkEnd w:id="22"/>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Content in our Collection</w:t>
      </w:r>
    </w:p>
    <w:p>
      <w:pPr>
        <w:spacing w:after="0" w:line="103" w:lineRule="exact"/>
        <w:rPr>
          <w:sz w:val="20"/>
          <w:szCs w:val="20"/>
          <w:color w:val="auto"/>
        </w:rPr>
      </w:pPr>
    </w:p>
    <w:p>
      <w:pPr>
        <w:ind w:right="160" w:firstLine="345"/>
        <w:spacing w:after="0" w:line="266" w:lineRule="auto"/>
        <w:rPr>
          <w:sz w:val="20"/>
          <w:szCs w:val="20"/>
          <w:color w:val="auto"/>
        </w:rPr>
      </w:pPr>
      <w:r>
        <w:rPr>
          <w:rFonts w:ascii="Arial" w:cs="Arial" w:eastAsia="Arial" w:hAnsi="Arial"/>
          <w:sz w:val="15"/>
          <w:szCs w:val="15"/>
          <w:color w:val="auto"/>
        </w:rPr>
        <w:t>We define content in our collection as the total number of approved images (photographs, vectors and illustrations) and footage (in number of clips) in our library on shutterstock.com at the end of the period. We exclude content from this collection metric that is not uploaded directly to our site but is available for license by our customers through an application program interface, custom content and certain content that may be licensed for editorial use only. We believe that our large selection of high-quality content enables us to attract and retain customers and drives our network effect.</w:t>
      </w: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42" w:lineRule="exact"/>
        <w:rPr>
          <w:sz w:val="20"/>
          <w:szCs w:val="20"/>
          <w:color w:val="auto"/>
        </w:rPr>
      </w:pPr>
    </w:p>
    <w:p>
      <w:pPr>
        <w:ind w:firstLine="345"/>
        <w:spacing w:after="0" w:line="260" w:lineRule="auto"/>
        <w:rPr>
          <w:sz w:val="20"/>
          <w:szCs w:val="20"/>
          <w:color w:val="auto"/>
        </w:rPr>
      </w:pPr>
      <w:r>
        <w:rPr>
          <w:rFonts w:ascii="Arial" w:cs="Arial" w:eastAsia="Arial" w:hAnsi="Arial"/>
          <w:sz w:val="15"/>
          <w:szCs w:val="15"/>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used in revenue recognition for our subscription-based products, the fair value of acquired goodwill and intangible assets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94" w:lineRule="exact"/>
        <w:rPr>
          <w:sz w:val="20"/>
          <w:szCs w:val="20"/>
          <w:color w:val="auto"/>
        </w:rPr>
      </w:pPr>
    </w:p>
    <w:p>
      <w:pPr>
        <w:ind w:right="100" w:firstLine="345"/>
        <w:spacing w:after="0" w:line="324" w:lineRule="auto"/>
        <w:rPr>
          <w:sz w:val="20"/>
          <w:szCs w:val="20"/>
          <w:color w:val="auto"/>
        </w:rPr>
      </w:pPr>
      <w:r>
        <w:rPr>
          <w:rFonts w:ascii="Arial" w:cs="Arial" w:eastAsia="Arial" w:hAnsi="Arial"/>
          <w:sz w:val="14"/>
          <w:szCs w:val="14"/>
          <w:color w:val="auto"/>
        </w:rPr>
        <w:t>We believe that the policies, assumptions and estimates associated with our revenue recognition, allowance for doubtful accounts, goodwill and intangible assets and accounting for income taxes have the greatest potential impact on our financial statements. Therefore, we consider these to be our critical accounting policies and estimates.</w:t>
      </w:r>
    </w:p>
    <w:p>
      <w:pPr>
        <w:spacing w:after="0" w:line="60" w:lineRule="exact"/>
        <w:rPr>
          <w:sz w:val="20"/>
          <w:szCs w:val="20"/>
          <w:color w:val="auto"/>
        </w:rPr>
      </w:pPr>
    </w:p>
    <w:p>
      <w:pPr>
        <w:ind w:right="100" w:firstLine="345"/>
        <w:spacing w:after="0" w:line="286" w:lineRule="auto"/>
        <w:rPr>
          <w:sz w:val="20"/>
          <w:szCs w:val="20"/>
          <w:color w:val="auto"/>
        </w:rPr>
      </w:pPr>
      <w:r>
        <w:rPr>
          <w:rFonts w:ascii="Arial" w:cs="Arial" w:eastAsia="Arial" w:hAnsi="Arial"/>
          <w:sz w:val="15"/>
          <w:szCs w:val="15"/>
          <w:color w:val="auto"/>
        </w:rPr>
        <w:t>A description of our critical accounting policies that involve significant management judgments appears in our 2020 Form 10-K, under “Management’s Discussion and Analysis of Financial Condition and Results of Operations—Critical Accounting Policies and Estimates.”</w:t>
      </w:r>
    </w:p>
    <w:p>
      <w:pPr>
        <w:spacing w:after="0" w:line="49" w:lineRule="exact"/>
        <w:rPr>
          <w:sz w:val="20"/>
          <w:szCs w:val="20"/>
          <w:color w:val="auto"/>
        </w:rPr>
      </w:pPr>
    </w:p>
    <w:p>
      <w:pPr>
        <w:ind w:right="280" w:firstLine="345"/>
        <w:spacing w:after="0" w:line="271" w:lineRule="auto"/>
        <w:rPr>
          <w:sz w:val="20"/>
          <w:szCs w:val="20"/>
          <w:color w:val="auto"/>
        </w:rPr>
      </w:pPr>
      <w:r>
        <w:rPr>
          <w:rFonts w:ascii="Arial" w:cs="Arial" w:eastAsia="Arial" w:hAnsi="Arial"/>
          <w:sz w:val="15"/>
          <w:szCs w:val="15"/>
          <w:color w:val="auto"/>
        </w:rPr>
        <w:t>See Note 1 to our Unaudited Consolidated Financial Statements included in Part I, Item 1 of this Quarterly Report on Form 10-Q for a full description of the impact of the adoption of new accounting standards on our financial statements. There have been no material changes to our critical accounting policies and estimates as compared to our critical accounting policies and estimates included in our 2020 Form 10-K.</w:t>
      </w:r>
    </w:p>
    <w:p>
      <w:pPr>
        <w:spacing w:after="0" w:line="200" w:lineRule="exact"/>
        <w:rPr>
          <w:sz w:val="20"/>
          <w:szCs w:val="20"/>
          <w:color w:val="auto"/>
        </w:rPr>
      </w:pPr>
    </w:p>
    <w:p>
      <w:pPr>
        <w:spacing w:after="0" w:line="35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3" w:name="page24"/>
    <w:bookmarkEnd w:id="23"/>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Components of Our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We distribute our content offerings through two primary channels:</w:t>
      </w:r>
    </w:p>
    <w:p>
      <w:pPr>
        <w:spacing w:after="0" w:line="103" w:lineRule="exact"/>
        <w:rPr>
          <w:sz w:val="20"/>
          <w:szCs w:val="20"/>
          <w:color w:val="auto"/>
        </w:rPr>
      </w:pPr>
    </w:p>
    <w:p>
      <w:pPr>
        <w:ind w:right="440" w:firstLine="345"/>
        <w:spacing w:after="0" w:line="266" w:lineRule="auto"/>
        <w:rPr>
          <w:sz w:val="20"/>
          <w:szCs w:val="20"/>
          <w:color w:val="auto"/>
        </w:rPr>
      </w:pPr>
      <w:r>
        <w:rPr>
          <w:rFonts w:ascii="Arial" w:cs="Arial" w:eastAsia="Arial" w:hAnsi="Arial"/>
          <w:sz w:val="15"/>
          <w:szCs w:val="15"/>
          <w:i w:val="1"/>
          <w:iCs w:val="1"/>
          <w:color w:val="auto"/>
        </w:rPr>
        <w:t xml:space="preserve">E-commerce: </w:t>
      </w:r>
      <w:r>
        <w:rPr>
          <w:rFonts w:ascii="Arial" w:cs="Arial" w:eastAsia="Arial" w:hAnsi="Arial"/>
          <w:sz w:val="15"/>
          <w:szCs w:val="15"/>
          <w:color w:val="auto"/>
        </w:rPr>
        <w:t>The majority of our customers license content directly through our self-service web properties. E-commerce customers have the flexibility to purchase a</w:t>
      </w:r>
      <w:r>
        <w:rPr>
          <w:rFonts w:ascii="Arial" w:cs="Arial" w:eastAsia="Arial" w:hAnsi="Arial"/>
          <w:sz w:val="15"/>
          <w:szCs w:val="15"/>
          <w:i w:val="1"/>
          <w:iCs w:val="1"/>
          <w:color w:val="auto"/>
        </w:rPr>
        <w:t xml:space="preserve"> </w:t>
      </w:r>
      <w:r>
        <w:rPr>
          <w:rFonts w:ascii="Arial" w:cs="Arial" w:eastAsia="Arial" w:hAnsi="Arial"/>
          <w:sz w:val="15"/>
          <w:szCs w:val="15"/>
          <w:color w:val="auto"/>
        </w:rPr>
        <w:t>subscription-based plan that is paid on a monthly or annual basis or to license content on a transactional basis. These customers generally license content under our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63" w:lineRule="exact"/>
        <w:rPr>
          <w:sz w:val="20"/>
          <w:szCs w:val="20"/>
          <w:color w:val="auto"/>
        </w:rPr>
      </w:pPr>
    </w:p>
    <w:p>
      <w:pPr>
        <w:ind w:right="260" w:firstLine="345"/>
        <w:spacing w:after="0" w:line="266" w:lineRule="auto"/>
        <w:rPr>
          <w:sz w:val="20"/>
          <w:szCs w:val="20"/>
          <w:color w:val="auto"/>
        </w:rPr>
      </w:pPr>
      <w:r>
        <w:rPr>
          <w:rFonts w:ascii="Arial" w:cs="Arial" w:eastAsia="Arial" w:hAnsi="Arial"/>
          <w:sz w:val="15"/>
          <w:szCs w:val="15"/>
          <w:i w:val="1"/>
          <w:iCs w:val="1"/>
          <w:color w:val="auto"/>
        </w:rPr>
        <w:t xml:space="preserve">Enterprise: </w:t>
      </w:r>
      <w:r>
        <w:rPr>
          <w:rFonts w:ascii="Arial" w:cs="Arial" w:eastAsia="Arial" w:hAnsi="Arial"/>
          <w:sz w:val="15"/>
          <w:szCs w:val="15"/>
          <w:color w:val="auto"/>
        </w:rPr>
        <w:t>We also have a base of customers with unique content, licensing and workflow needs. These customers benefit from communication with our dedicated sales</w:t>
      </w:r>
      <w:r>
        <w:rPr>
          <w:rFonts w:ascii="Arial" w:cs="Arial" w:eastAsia="Arial" w:hAnsi="Arial"/>
          <w:sz w:val="15"/>
          <w:szCs w:val="15"/>
          <w:i w:val="1"/>
          <w:iCs w:val="1"/>
          <w:color w:val="auto"/>
        </w:rPr>
        <w:t xml:space="preserve"> </w:t>
      </w:r>
      <w:r>
        <w:rPr>
          <w:rFonts w:ascii="Arial" w:cs="Arial" w:eastAsia="Arial" w:hAnsi="Arial"/>
          <w:sz w:val="15"/>
          <w:szCs w:val="15"/>
          <w:color w:val="auto"/>
        </w:rPr>
        <w:t>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Company’s revenues by distribution channel for the three and six months ended June 30, 2021 and 2020 are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40" w:type="dxa"/>
            <w:vAlign w:val="bottom"/>
            <w:gridSpan w:val="3"/>
          </w:tcPr>
          <w:p>
            <w:pPr>
              <w:jc w:val="right"/>
              <w:ind w:right="440"/>
              <w:spacing w:after="0"/>
              <w:rPr>
                <w:sz w:val="20"/>
                <w:szCs w:val="20"/>
                <w:color w:val="auto"/>
              </w:rPr>
            </w:pPr>
            <w:r>
              <w:rPr>
                <w:rFonts w:ascii="Arial" w:cs="Arial" w:eastAsia="Arial" w:hAnsi="Arial"/>
                <w:sz w:val="12"/>
                <w:szCs w:val="12"/>
                <w:b w:val="1"/>
                <w:bCs w:val="1"/>
                <w:color w:val="auto"/>
              </w:rPr>
              <w:t>Three Months Ended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Six Months Ended</w:t>
            </w:r>
          </w:p>
        </w:tc>
        <w:tc>
          <w:tcPr>
            <w:tcW w:w="900" w:type="dxa"/>
            <w:vAlign w:val="bottom"/>
          </w:tcPr>
          <w:p>
            <w:pPr>
              <w:spacing w:after="0"/>
              <w:rPr>
                <w:sz w:val="12"/>
                <w:szCs w:val="12"/>
                <w:color w:val="auto"/>
              </w:rPr>
            </w:pPr>
          </w:p>
        </w:tc>
      </w:tr>
      <w:tr>
        <w:trPr>
          <w:trHeight w:val="159"/>
        </w:trPr>
        <w:tc>
          <w:tcPr>
            <w:tcW w:w="4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2"/>
                <w:szCs w:val="12"/>
                <w:b w:val="1"/>
                <w:bCs w:val="1"/>
                <w:color w:val="auto"/>
                <w:w w:val="87"/>
              </w:rPr>
              <w:t>June 30,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w w:val="91"/>
              </w:rPr>
              <w:t>June 30,</w:t>
            </w:r>
          </w:p>
        </w:tc>
        <w:tc>
          <w:tcPr>
            <w:tcW w:w="900" w:type="dxa"/>
            <w:vAlign w:val="bottom"/>
          </w:tcPr>
          <w:p>
            <w:pPr>
              <w:spacing w:after="0"/>
              <w:rPr>
                <w:sz w:val="13"/>
                <w:szCs w:val="13"/>
                <w:color w:val="auto"/>
              </w:rPr>
            </w:pPr>
          </w:p>
        </w:tc>
      </w:tr>
      <w:tr>
        <w:trPr>
          <w:trHeight w:val="21"/>
        </w:trPr>
        <w:tc>
          <w:tcPr>
            <w:tcW w:w="4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54"/>
        </w:trPr>
        <w:tc>
          <w:tcPr>
            <w:tcW w:w="44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52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jc w:val="right"/>
              <w:ind w:right="454"/>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jc w:val="right"/>
              <w:ind w:right="473"/>
              <w:spacing w:after="0"/>
              <w:rPr>
                <w:sz w:val="20"/>
                <w:szCs w:val="20"/>
                <w:color w:val="auto"/>
              </w:rPr>
            </w:pPr>
            <w:r>
              <w:rPr>
                <w:rFonts w:ascii="Arial" w:cs="Arial" w:eastAsia="Arial" w:hAnsi="Arial"/>
                <w:sz w:val="12"/>
                <w:szCs w:val="12"/>
                <w:b w:val="1"/>
                <w:bCs w:val="1"/>
                <w:color w:val="auto"/>
              </w:rPr>
              <w:t>2020</w:t>
            </w:r>
          </w:p>
        </w:tc>
      </w:tr>
      <w:tr>
        <w:trPr>
          <w:trHeight w:val="21"/>
        </w:trPr>
        <w:tc>
          <w:tcPr>
            <w:tcW w:w="44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5"/>
        </w:trPr>
        <w:tc>
          <w:tcPr>
            <w:tcW w:w="4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E-commerce</w:t>
            </w:r>
          </w:p>
        </w:tc>
        <w:tc>
          <w:tcPr>
            <w:tcW w:w="1120" w:type="dxa"/>
            <w:vAlign w:val="bottom"/>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120,715</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98,164</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239,115</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197,900</w:t>
            </w:r>
          </w:p>
        </w:tc>
      </w:tr>
      <w:tr>
        <w:trPr>
          <w:trHeight w:val="181"/>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Enterprise</w:t>
            </w:r>
          </w:p>
        </w:tc>
        <w:tc>
          <w:tcPr>
            <w:tcW w:w="1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69,197</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61,066</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134,078</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122,615</w:t>
            </w:r>
          </w:p>
        </w:tc>
      </w:tr>
      <w:tr>
        <w:trPr>
          <w:trHeight w:val="198"/>
        </w:trPr>
        <w:tc>
          <w:tcPr>
            <w:tcW w:w="44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Revenues</w:t>
            </w:r>
          </w:p>
        </w:tc>
        <w:tc>
          <w:tcPr>
            <w:tcW w:w="1120" w:type="dxa"/>
            <w:vAlign w:val="bottom"/>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189,912</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159,230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373,193</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320,515</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Costs and Expenses</w:t>
      </w:r>
    </w:p>
    <w:p>
      <w:pPr>
        <w:spacing w:after="0" w:line="126" w:lineRule="exact"/>
        <w:rPr>
          <w:sz w:val="20"/>
          <w:szCs w:val="20"/>
          <w:color w:val="auto"/>
        </w:rPr>
      </w:pPr>
    </w:p>
    <w:p>
      <w:pPr>
        <w:ind w:right="380" w:firstLine="345"/>
        <w:spacing w:after="0" w:line="290" w:lineRule="auto"/>
        <w:rPr>
          <w:sz w:val="20"/>
          <w:szCs w:val="20"/>
          <w:color w:val="auto"/>
        </w:rPr>
      </w:pPr>
      <w:r>
        <w:rPr>
          <w:rFonts w:ascii="Arial" w:cs="Arial" w:eastAsia="Arial" w:hAnsi="Arial"/>
          <w:sz w:val="14"/>
          <w:szCs w:val="14"/>
          <w:i w:val="1"/>
          <w:iCs w:val="1"/>
          <w:color w:val="auto"/>
        </w:rPr>
        <w:t xml:space="preserve">Cost of Revenue. </w:t>
      </w:r>
      <w:r>
        <w:rPr>
          <w:rFonts w:ascii="Arial" w:cs="Arial" w:eastAsia="Arial" w:hAnsi="Arial"/>
          <w:sz w:val="14"/>
          <w:szCs w:val="14"/>
          <w:color w:val="auto"/>
        </w:rPr>
        <w:t>Cost of revenue consists of royalties paid to contributors, credit card processing fees, content review costs, customer service expenses, infrastructure and</w:t>
      </w:r>
      <w:r>
        <w:rPr>
          <w:rFonts w:ascii="Arial" w:cs="Arial" w:eastAsia="Arial" w:hAnsi="Arial"/>
          <w:sz w:val="14"/>
          <w:szCs w:val="14"/>
          <w:i w:val="1"/>
          <w:iCs w:val="1"/>
          <w:color w:val="auto"/>
        </w:rPr>
        <w:t xml:space="preserve"> </w:t>
      </w:r>
      <w:r>
        <w:rPr>
          <w:rFonts w:ascii="Arial" w:cs="Arial" w:eastAsia="Arial" w:hAnsi="Arial"/>
          <w:sz w:val="14"/>
          <w:szCs w:val="14"/>
          <w:color w:val="auto"/>
        </w:rPr>
        <w:t>hosting costs related to maintaining our creative platform and cloud-based software platform, depreciation and amortization of capitalized internal-use software, content and technology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84" w:lineRule="exact"/>
        <w:rPr>
          <w:sz w:val="20"/>
          <w:szCs w:val="20"/>
          <w:color w:val="auto"/>
        </w:rPr>
      </w:pPr>
    </w:p>
    <w:p>
      <w:pPr>
        <w:jc w:val="both"/>
        <w:ind w:right="120" w:firstLine="345"/>
        <w:spacing w:after="0" w:line="271" w:lineRule="auto"/>
        <w:rPr>
          <w:sz w:val="20"/>
          <w:szCs w:val="20"/>
          <w:color w:val="auto"/>
        </w:rPr>
      </w:pPr>
      <w:r>
        <w:rPr>
          <w:rFonts w:ascii="Arial" w:cs="Arial" w:eastAsia="Arial" w:hAnsi="Arial"/>
          <w:sz w:val="15"/>
          <w:szCs w:val="15"/>
          <w:i w:val="1"/>
          <w:iCs w:val="1"/>
          <w:color w:val="auto"/>
        </w:rPr>
        <w:t xml:space="preserve">Sales and Marketing. </w:t>
      </w:r>
      <w:r>
        <w:rPr>
          <w:rFonts w:ascii="Arial" w:cs="Arial" w:eastAsia="Arial" w:hAnsi="Arial"/>
          <w:sz w:val="15"/>
          <w:szCs w:val="15"/>
          <w:color w:val="auto"/>
        </w:rPr>
        <w:t>Sales and marketing expenses include third-party marketing, advertising, branding, public relations and sales expenses. Sales and marketing expenses also</w:t>
      </w:r>
      <w:r>
        <w:rPr>
          <w:rFonts w:ascii="Arial" w:cs="Arial" w:eastAsia="Arial" w:hAnsi="Arial"/>
          <w:sz w:val="15"/>
          <w:szCs w:val="15"/>
          <w:i w:val="1"/>
          <w:iCs w:val="1"/>
          <w:color w:val="auto"/>
        </w:rPr>
        <w:t xml:space="preserve"> </w:t>
      </w:r>
      <w:r>
        <w:rPr>
          <w:rFonts w:ascii="Arial" w:cs="Arial" w:eastAsia="Arial" w:hAnsi="Arial"/>
          <w:sz w:val="15"/>
          <w:szCs w:val="15"/>
          <w:color w:val="auto"/>
        </w:rPr>
        <w:t>include associated employee compensation, including non-cash equity-based compensation, bonuses and benefits, and commissions as well as allocated facility and other supporting overhead costs.</w:t>
      </w:r>
    </w:p>
    <w:p>
      <w:pPr>
        <w:spacing w:after="0" w:line="94" w:lineRule="exact"/>
        <w:rPr>
          <w:sz w:val="20"/>
          <w:szCs w:val="20"/>
          <w:color w:val="auto"/>
        </w:rPr>
      </w:pPr>
    </w:p>
    <w:p>
      <w:pPr>
        <w:ind w:right="260" w:firstLine="345"/>
        <w:spacing w:after="0" w:line="271" w:lineRule="auto"/>
        <w:rPr>
          <w:sz w:val="20"/>
          <w:szCs w:val="20"/>
          <w:color w:val="auto"/>
        </w:rPr>
      </w:pPr>
      <w:r>
        <w:rPr>
          <w:rFonts w:ascii="Arial" w:cs="Arial" w:eastAsia="Arial" w:hAnsi="Arial"/>
          <w:sz w:val="15"/>
          <w:szCs w:val="15"/>
          <w:i w:val="1"/>
          <w:iCs w:val="1"/>
          <w:color w:val="auto"/>
        </w:rPr>
        <w:t xml:space="preserve">Product Development. </w:t>
      </w:r>
      <w:r>
        <w:rPr>
          <w:rFonts w:ascii="Arial" w:cs="Arial" w:eastAsia="Arial" w:hAnsi="Arial"/>
          <w:sz w:val="15"/>
          <w:szCs w:val="15"/>
          <w:color w:val="auto"/>
        </w:rPr>
        <w:t>Product development expenses consist of employee compensation, including non-cash equity-based compensation, bonuses and benefits, and expenses</w:t>
      </w:r>
      <w:r>
        <w:rPr>
          <w:rFonts w:ascii="Arial" w:cs="Arial" w:eastAsia="Arial" w:hAnsi="Arial"/>
          <w:sz w:val="15"/>
          <w:szCs w:val="15"/>
          <w:i w:val="1"/>
          <w:iCs w:val="1"/>
          <w:color w:val="auto"/>
        </w:rPr>
        <w:t xml:space="preserve"> </w:t>
      </w:r>
      <w:r>
        <w:rPr>
          <w:rFonts w:ascii="Arial" w:cs="Arial" w:eastAsia="Arial" w:hAnsi="Arial"/>
          <w:sz w:val="15"/>
          <w:szCs w:val="15"/>
          <w:color w:val="auto"/>
        </w:rPr>
        <w:t>related to vendors engaged in product management, design, development and testing of our websites and products. Product development costs also includes software and other IT equipment costs, allocated facility expenses and other supporting overhead costs.</w:t>
      </w:r>
    </w:p>
    <w:p>
      <w:pPr>
        <w:spacing w:after="0" w:line="82" w:lineRule="exact"/>
        <w:rPr>
          <w:sz w:val="20"/>
          <w:szCs w:val="20"/>
          <w:color w:val="auto"/>
        </w:rPr>
      </w:pPr>
    </w:p>
    <w:p>
      <w:pPr>
        <w:ind w:right="60" w:firstLine="345"/>
        <w:spacing w:after="0" w:line="266" w:lineRule="auto"/>
        <w:rPr>
          <w:sz w:val="20"/>
          <w:szCs w:val="20"/>
          <w:color w:val="auto"/>
        </w:rPr>
      </w:pPr>
      <w:r>
        <w:rPr>
          <w:rFonts w:ascii="Arial" w:cs="Arial" w:eastAsia="Arial" w:hAnsi="Arial"/>
          <w:sz w:val="15"/>
          <w:szCs w:val="15"/>
          <w:i w:val="1"/>
          <w:iCs w:val="1"/>
          <w:color w:val="auto"/>
        </w:rPr>
        <w:t xml:space="preserve">General and Administrative. </w:t>
      </w:r>
      <w:r>
        <w:rPr>
          <w:rFonts w:ascii="Arial" w:cs="Arial" w:eastAsia="Arial" w:hAnsi="Arial"/>
          <w:sz w:val="15"/>
          <w:szCs w:val="15"/>
          <w:color w:val="auto"/>
        </w:rPr>
        <w:t>General and administrative expenses include employee compensation, including non-cash equity-based compensation, bonuses and benefits for</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finance, accounting, legal, human resources, internal information technology, internet security, business intelligence and other administrative personnel. In addition, general and administrative expenses include outside legal, tax and accounting services, bad debt expense, insurance, facilities costs, other supporting overhead costs and depreciation and amortization expense.</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 xml:space="preserve">Other Income / (Expense), Net. </w:t>
      </w:r>
      <w:r>
        <w:rPr>
          <w:rFonts w:ascii="Arial" w:cs="Arial" w:eastAsia="Arial" w:hAnsi="Arial"/>
          <w:sz w:val="13"/>
          <w:szCs w:val="13"/>
          <w:color w:val="auto"/>
        </w:rPr>
        <w:t>Other income / (expense), net consists of non-operating costs such as foreign currency transaction gains and losses in addition to interest income.</w:t>
      </w:r>
    </w:p>
    <w:p>
      <w:pPr>
        <w:spacing w:after="0" w:line="161" w:lineRule="exact"/>
        <w:rPr>
          <w:sz w:val="20"/>
          <w:szCs w:val="20"/>
          <w:color w:val="auto"/>
        </w:rPr>
      </w:pPr>
    </w:p>
    <w:p>
      <w:pPr>
        <w:jc w:val="both"/>
        <w:ind w:right="140" w:firstLine="345"/>
        <w:spacing w:after="0" w:line="271" w:lineRule="auto"/>
        <w:rPr>
          <w:sz w:val="20"/>
          <w:szCs w:val="20"/>
          <w:color w:val="auto"/>
        </w:rPr>
      </w:pPr>
      <w:r>
        <w:rPr>
          <w:rFonts w:ascii="Arial" w:cs="Arial" w:eastAsia="Arial" w:hAnsi="Arial"/>
          <w:sz w:val="15"/>
          <w:szCs w:val="15"/>
          <w:i w:val="1"/>
          <w:iCs w:val="1"/>
          <w:color w:val="auto"/>
        </w:rPr>
        <w:t>Income Taxes</w:t>
      </w:r>
      <w:r>
        <w:rPr>
          <w:rFonts w:ascii="Arial" w:cs="Arial" w:eastAsia="Arial" w:hAnsi="Arial"/>
          <w:sz w:val="15"/>
          <w:szCs w:val="15"/>
          <w:color w:val="auto"/>
        </w:rPr>
        <w:t>. We compute income taxes using the asset and liability method, under which deferred tax assets and liabilities are determined based on the difference between the</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262"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4" w:name="page25"/>
    <w:bookmarkEnd w:id="24"/>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07" w:lineRule="exact"/>
        <w:rPr>
          <w:sz w:val="20"/>
          <w:szCs w:val="20"/>
          <w:color w:val="auto"/>
        </w:rPr>
      </w:pPr>
    </w:p>
    <w:p>
      <w:pPr>
        <w:ind w:right="300" w:firstLine="345"/>
        <w:spacing w:after="0" w:line="273" w:lineRule="auto"/>
        <w:rPr>
          <w:sz w:val="20"/>
          <w:szCs w:val="20"/>
          <w:color w:val="auto"/>
        </w:rPr>
      </w:pPr>
      <w:r>
        <w:rPr>
          <w:rFonts w:ascii="Arial" w:cs="Arial" w:eastAsia="Arial" w:hAnsi="Arial"/>
          <w:sz w:val="15"/>
          <w:szCs w:val="15"/>
          <w:color w:val="auto"/>
        </w:rPr>
        <w:t>The following table presents our results of operations for the periods indicated. The period-to-period comparisons of results are not necessarily indicative of results for future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320" w:type="dxa"/>
            <w:vAlign w:val="bottom"/>
          </w:tcPr>
          <w:p>
            <w:pPr>
              <w:spacing w:after="0"/>
              <w:rPr>
                <w:sz w:val="14"/>
                <w:szCs w:val="14"/>
                <w:color w:val="auto"/>
              </w:rPr>
            </w:pPr>
          </w:p>
        </w:tc>
        <w:tc>
          <w:tcPr>
            <w:tcW w:w="290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2"/>
                <w:szCs w:val="12"/>
                <w:b w:val="1"/>
                <w:bCs w:val="1"/>
                <w:color w:val="auto"/>
              </w:rPr>
              <w:t>Three Months Ended June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Six Months Ended June 30,</w:t>
            </w:r>
          </w:p>
        </w:tc>
        <w:tc>
          <w:tcPr>
            <w:tcW w:w="800" w:type="dxa"/>
            <w:vAlign w:val="bottom"/>
            <w:tcBorders>
              <w:bottom w:val="single" w:sz="8" w:color="auto"/>
            </w:tcBorders>
          </w:tcPr>
          <w:p>
            <w:pPr>
              <w:spacing w:after="0"/>
              <w:rPr>
                <w:sz w:val="14"/>
                <w:szCs w:val="14"/>
                <w:color w:val="auto"/>
              </w:rPr>
            </w:pPr>
          </w:p>
        </w:tc>
      </w:tr>
      <w:tr>
        <w:trPr>
          <w:trHeight w:val="157"/>
        </w:trPr>
        <w:tc>
          <w:tcPr>
            <w:tcW w:w="4320" w:type="dxa"/>
            <w:vAlign w:val="bottom"/>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72"/>
              <w:spacing w:after="0"/>
              <w:rPr>
                <w:sz w:val="20"/>
                <w:szCs w:val="20"/>
                <w:color w:val="auto"/>
              </w:rPr>
            </w:pPr>
            <w:r>
              <w:rPr>
                <w:rFonts w:ascii="Arial" w:cs="Arial" w:eastAsia="Arial" w:hAnsi="Arial"/>
                <w:sz w:val="12"/>
                <w:szCs w:val="12"/>
                <w:b w:val="1"/>
                <w:bCs w:val="1"/>
                <w:color w:val="auto"/>
                <w:w w:val="89"/>
              </w:rPr>
              <w:t>2020</w:t>
            </w:r>
          </w:p>
        </w:tc>
      </w:tr>
      <w:tr>
        <w:trPr>
          <w:trHeight w:val="152"/>
        </w:trPr>
        <w:tc>
          <w:tcPr>
            <w:tcW w:w="4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00" w:type="dxa"/>
            <w:vAlign w:val="bottom"/>
            <w:gridSpan w:val="3"/>
          </w:tcPr>
          <w:p>
            <w:pPr>
              <w:jc w:val="right"/>
              <w:ind w:right="111"/>
              <w:spacing w:after="0"/>
              <w:rPr>
                <w:sz w:val="20"/>
                <w:szCs w:val="20"/>
                <w:color w:val="auto"/>
              </w:rPr>
            </w:pPr>
            <w:r>
              <w:rPr>
                <w:rFonts w:ascii="Arial" w:cs="Arial" w:eastAsia="Arial" w:hAnsi="Arial"/>
                <w:sz w:val="12"/>
                <w:szCs w:val="12"/>
                <w:b w:val="1"/>
                <w:bCs w:val="1"/>
                <w:color w:val="auto"/>
              </w:rPr>
              <w:t>(in thousands)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5"/>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Consolidated Statements of Operations:</w:t>
            </w: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1"/>
        </w:trPr>
        <w:tc>
          <w:tcPr>
            <w:tcW w:w="4320" w:type="dxa"/>
            <w:vAlign w:val="bottom"/>
          </w:tcPr>
          <w:p>
            <w:pPr>
              <w:ind w:left="460"/>
              <w:spacing w:after="0"/>
              <w:rPr>
                <w:sz w:val="20"/>
                <w:szCs w:val="20"/>
                <w:color w:val="auto"/>
              </w:rPr>
            </w:pPr>
            <w:r>
              <w:rPr>
                <w:rFonts w:ascii="Arial" w:cs="Arial" w:eastAsia="Arial" w:hAnsi="Arial"/>
                <w:sz w:val="14"/>
                <w:szCs w:val="14"/>
                <w:color w:val="auto"/>
              </w:rPr>
              <w:t>Revenue</w:t>
            </w:r>
          </w:p>
        </w:tc>
        <w:tc>
          <w:tcPr>
            <w:tcW w:w="1140" w:type="dxa"/>
            <w:vAlign w:val="bottom"/>
          </w:tcPr>
          <w:p>
            <w:pPr>
              <w:jc w:val="right"/>
              <w:ind w:right="635"/>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189,912</w:t>
            </w:r>
          </w:p>
        </w:tc>
        <w:tc>
          <w:tcPr>
            <w:tcW w:w="100" w:type="dxa"/>
            <w:vAlign w:val="bottom"/>
          </w:tcPr>
          <w:p>
            <w:pPr>
              <w:spacing w:after="0"/>
              <w:rPr>
                <w:sz w:val="15"/>
                <w:szCs w:val="15"/>
                <w:color w:val="auto"/>
              </w:rPr>
            </w:pPr>
          </w:p>
        </w:tc>
        <w:tc>
          <w:tcPr>
            <w:tcW w:w="1140" w:type="dxa"/>
            <w:vAlign w:val="bottom"/>
          </w:tcPr>
          <w:p>
            <w:pPr>
              <w:jc w:val="right"/>
              <w:ind w:right="634"/>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159,230</w:t>
            </w:r>
          </w:p>
        </w:tc>
        <w:tc>
          <w:tcPr>
            <w:tcW w:w="10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373,193</w:t>
            </w:r>
          </w:p>
        </w:tc>
        <w:tc>
          <w:tcPr>
            <w:tcW w:w="100" w:type="dxa"/>
            <w:vAlign w:val="bottom"/>
          </w:tcPr>
          <w:p>
            <w:pPr>
              <w:spacing w:after="0"/>
              <w:rPr>
                <w:sz w:val="15"/>
                <w:szCs w:val="15"/>
                <w:color w:val="auto"/>
              </w:rPr>
            </w:pPr>
          </w:p>
        </w:tc>
        <w:tc>
          <w:tcPr>
            <w:tcW w:w="860" w:type="dxa"/>
            <w:vAlign w:val="bottom"/>
          </w:tcPr>
          <w:p>
            <w:pPr>
              <w:jc w:val="right"/>
              <w:ind w:right="35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320,515</w:t>
            </w:r>
          </w:p>
        </w:tc>
      </w:tr>
      <w:tr>
        <w:trPr>
          <w:trHeight w:val="187"/>
        </w:trPr>
        <w:tc>
          <w:tcPr>
            <w:tcW w:w="43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Operating expenses:</w:t>
            </w: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1"/>
        </w:trPr>
        <w:tc>
          <w:tcPr>
            <w:tcW w:w="4320" w:type="dxa"/>
            <w:vAlign w:val="bottom"/>
          </w:tcPr>
          <w:p>
            <w:pPr>
              <w:ind w:left="620"/>
              <w:spacing w:after="0"/>
              <w:rPr>
                <w:sz w:val="20"/>
                <w:szCs w:val="20"/>
                <w:color w:val="auto"/>
              </w:rPr>
            </w:pPr>
            <w:r>
              <w:rPr>
                <w:rFonts w:ascii="Arial" w:cs="Arial" w:eastAsia="Arial" w:hAnsi="Arial"/>
                <w:sz w:val="14"/>
                <w:szCs w:val="14"/>
                <w:color w:val="auto"/>
              </w:rPr>
              <w:t>Cost of revenue</w:t>
            </w:r>
          </w:p>
        </w:tc>
        <w:tc>
          <w:tcPr>
            <w:tcW w:w="1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67,757</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63,811</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129,589</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132,934</w:t>
            </w:r>
          </w:p>
        </w:tc>
      </w:tr>
      <w:tr>
        <w:trPr>
          <w:trHeight w:val="187"/>
        </w:trPr>
        <w:tc>
          <w:tcPr>
            <w:tcW w:w="4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Sales and marketing</w:t>
            </w: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45,896</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35,557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87,817</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78,217</w:t>
            </w:r>
          </w:p>
        </w:tc>
      </w:tr>
      <w:tr>
        <w:trPr>
          <w:trHeight w:val="181"/>
        </w:trPr>
        <w:tc>
          <w:tcPr>
            <w:tcW w:w="4320" w:type="dxa"/>
            <w:vAlign w:val="bottom"/>
          </w:tcPr>
          <w:p>
            <w:pPr>
              <w:ind w:left="620"/>
              <w:spacing w:after="0"/>
              <w:rPr>
                <w:sz w:val="20"/>
                <w:szCs w:val="20"/>
                <w:color w:val="auto"/>
              </w:rPr>
            </w:pPr>
            <w:r>
              <w:rPr>
                <w:rFonts w:ascii="Arial" w:cs="Arial" w:eastAsia="Arial" w:hAnsi="Arial"/>
                <w:sz w:val="14"/>
                <w:szCs w:val="14"/>
                <w:color w:val="auto"/>
              </w:rPr>
              <w:t>Product development</w:t>
            </w:r>
          </w:p>
        </w:tc>
        <w:tc>
          <w:tcPr>
            <w:tcW w:w="1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11,993</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12,485</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22,724</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25,554</w:t>
            </w:r>
          </w:p>
        </w:tc>
      </w:tr>
      <w:tr>
        <w:trPr>
          <w:trHeight w:val="187"/>
        </w:trPr>
        <w:tc>
          <w:tcPr>
            <w:tcW w:w="43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General and administrative</w:t>
            </w:r>
          </w:p>
        </w:tc>
        <w:tc>
          <w:tcPr>
            <w:tcW w:w="1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31,041</w:t>
            </w:r>
          </w:p>
        </w:tc>
        <w:tc>
          <w:tcPr>
            <w:tcW w:w="10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24,832</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61,720</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55,484</w:t>
            </w:r>
          </w:p>
        </w:tc>
      </w:tr>
      <w:tr>
        <w:trPr>
          <w:trHeight w:val="172"/>
        </w:trPr>
        <w:tc>
          <w:tcPr>
            <w:tcW w:w="4320" w:type="dxa"/>
            <w:vAlign w:val="bottom"/>
            <w:tcBorders>
              <w:bottom w:val="single" w:sz="8" w:color="CCEEFF"/>
            </w:tcBorders>
          </w:tcPr>
          <w:p>
            <w:pPr>
              <w:ind w:left="800"/>
              <w:spacing w:after="0" w:line="158" w:lineRule="exact"/>
              <w:rPr>
                <w:sz w:val="20"/>
                <w:szCs w:val="20"/>
                <w:color w:val="auto"/>
              </w:rPr>
            </w:pPr>
            <w:r>
              <w:rPr>
                <w:rFonts w:ascii="Arial" w:cs="Arial" w:eastAsia="Arial" w:hAnsi="Arial"/>
                <w:sz w:val="14"/>
                <w:szCs w:val="14"/>
                <w:color w:val="auto"/>
              </w:rPr>
              <w:t>Total operating expenses</w:t>
            </w:r>
          </w:p>
        </w:tc>
        <w:tc>
          <w:tcPr>
            <w:tcW w:w="1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156,687</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136,685</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301,850</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292,189</w:t>
            </w:r>
          </w:p>
        </w:tc>
      </w:tr>
      <w:tr>
        <w:trPr>
          <w:trHeight w:val="178"/>
        </w:trPr>
        <w:tc>
          <w:tcPr>
            <w:tcW w:w="43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from operations</w:t>
            </w: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33,225</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22,545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71,343</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28,326</w:t>
            </w:r>
          </w:p>
        </w:tc>
      </w:tr>
      <w:tr>
        <w:trPr>
          <w:trHeight w:val="181"/>
        </w:trPr>
        <w:tc>
          <w:tcPr>
            <w:tcW w:w="43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 income / (expense), net</w:t>
            </w:r>
          </w:p>
        </w:tc>
        <w:tc>
          <w:tcPr>
            <w:tcW w:w="1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(1,139)</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w:t>
            </w:r>
          </w:p>
        </w:tc>
      </w:tr>
      <w:tr>
        <w:trPr>
          <w:trHeight w:val="178"/>
        </w:trPr>
        <w:tc>
          <w:tcPr>
            <w:tcW w:w="43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before income taxes</w:t>
            </w: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34,548</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22,694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70,204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28,988</w:t>
            </w:r>
          </w:p>
        </w:tc>
      </w:tr>
      <w:tr>
        <w:trPr>
          <w:trHeight w:val="181"/>
        </w:trPr>
        <w:tc>
          <w:tcPr>
            <w:tcW w:w="43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Provision for income taxes</w:t>
            </w:r>
          </w:p>
        </w:tc>
        <w:tc>
          <w:tcPr>
            <w:tcW w:w="1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5,094</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3,707</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11,236</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5,683</w:t>
            </w:r>
          </w:p>
        </w:tc>
      </w:tr>
      <w:tr>
        <w:trPr>
          <w:trHeight w:val="200"/>
        </w:trPr>
        <w:tc>
          <w:tcPr>
            <w:tcW w:w="43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Net income</w:t>
            </w:r>
          </w:p>
        </w:tc>
        <w:tc>
          <w:tcPr>
            <w:tcW w:w="114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29,454</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63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18,987</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58,968</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23,305</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presents the components of our results of operations for the periods indicated as a percentage of revenue: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180" w:type="dxa"/>
            <w:vAlign w:val="bottom"/>
          </w:tcPr>
          <w:p>
            <w:pPr>
              <w:spacing w:after="0"/>
              <w:rPr>
                <w:sz w:val="14"/>
                <w:szCs w:val="14"/>
                <w:color w:val="auto"/>
              </w:rPr>
            </w:pPr>
          </w:p>
        </w:tc>
        <w:tc>
          <w:tcPr>
            <w:tcW w:w="316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2"/>
                <w:szCs w:val="12"/>
                <w:b w:val="1"/>
                <w:bCs w:val="1"/>
                <w:color w:val="auto"/>
              </w:rPr>
              <w:t>Three Months Ended June 30,</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w w:val="92"/>
              </w:rPr>
              <w:t>Six Months Ended June 30,</w:t>
            </w: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r>
      <w:tr>
        <w:trPr>
          <w:trHeight w:val="157"/>
        </w:trPr>
        <w:tc>
          <w:tcPr>
            <w:tcW w:w="41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2"/>
                <w:szCs w:val="12"/>
                <w:b w:val="1"/>
                <w:bCs w:val="1"/>
                <w:color w:val="auto"/>
              </w:rPr>
              <w:t>2020</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2"/>
                <w:szCs w:val="12"/>
                <w:b w:val="1"/>
                <w:bCs w:val="1"/>
                <w:color w:val="auto"/>
                <w:w w:val="89"/>
              </w:rPr>
              <w:t>2020</w:t>
            </w:r>
          </w:p>
        </w:tc>
        <w:tc>
          <w:tcPr>
            <w:tcW w:w="320" w:type="dxa"/>
            <w:vAlign w:val="bottom"/>
            <w:tcBorders>
              <w:bottom w:val="single" w:sz="8" w:color="auto"/>
            </w:tcBorders>
          </w:tcPr>
          <w:p>
            <w:pPr>
              <w:spacing w:after="0"/>
              <w:rPr>
                <w:sz w:val="13"/>
                <w:szCs w:val="13"/>
                <w:color w:val="auto"/>
              </w:rPr>
            </w:pPr>
          </w:p>
        </w:tc>
      </w:tr>
      <w:tr>
        <w:trPr>
          <w:trHeight w:val="165"/>
        </w:trPr>
        <w:tc>
          <w:tcPr>
            <w:tcW w:w="4180" w:type="dxa"/>
            <w:vAlign w:val="bottom"/>
            <w:shd w:val="clear" w:color="auto" w:fill="CCEEFF"/>
          </w:tcPr>
          <w:p>
            <w:pPr>
              <w:ind w:left="360"/>
              <w:spacing w:after="0" w:line="160" w:lineRule="exact"/>
              <w:rPr>
                <w:sz w:val="20"/>
                <w:szCs w:val="20"/>
                <w:color w:val="auto"/>
              </w:rPr>
            </w:pPr>
            <w:r>
              <w:rPr>
                <w:rFonts w:ascii="Arial" w:cs="Arial" w:eastAsia="Arial" w:hAnsi="Arial"/>
                <w:sz w:val="14"/>
                <w:szCs w:val="14"/>
                <w:b w:val="1"/>
                <w:bCs w:val="1"/>
                <w:color w:val="auto"/>
              </w:rPr>
              <w:t>Consolidated Statements of Operations:</w:t>
            </w:r>
          </w:p>
        </w:tc>
        <w:tc>
          <w:tcPr>
            <w:tcW w:w="1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r>
      <w:tr>
        <w:trPr>
          <w:trHeight w:val="181"/>
        </w:trPr>
        <w:tc>
          <w:tcPr>
            <w:tcW w:w="4180" w:type="dxa"/>
            <w:vAlign w:val="bottom"/>
          </w:tcPr>
          <w:p>
            <w:pPr>
              <w:ind w:left="460"/>
              <w:spacing w:after="0"/>
              <w:rPr>
                <w:sz w:val="20"/>
                <w:szCs w:val="20"/>
                <w:color w:val="auto"/>
              </w:rPr>
            </w:pPr>
            <w:r>
              <w:rPr>
                <w:rFonts w:ascii="Arial" w:cs="Arial" w:eastAsia="Arial" w:hAnsi="Arial"/>
                <w:sz w:val="14"/>
                <w:szCs w:val="14"/>
                <w:color w:val="auto"/>
              </w:rPr>
              <w:t>Revenue</w:t>
            </w:r>
          </w:p>
        </w:tc>
        <w:tc>
          <w:tcPr>
            <w:tcW w:w="1380" w:type="dxa"/>
            <w:vAlign w:val="bottom"/>
          </w:tcPr>
          <w:p>
            <w:pPr>
              <w:jc w:val="right"/>
              <w:ind w:right="132"/>
              <w:spacing w:after="0"/>
              <w:rPr>
                <w:sz w:val="20"/>
                <w:szCs w:val="20"/>
                <w:color w:val="auto"/>
              </w:rPr>
            </w:pPr>
            <w:r>
              <w:rPr>
                <w:rFonts w:ascii="Arial" w:cs="Arial" w:eastAsia="Arial" w:hAnsi="Arial"/>
                <w:sz w:val="14"/>
                <w:szCs w:val="14"/>
                <w:color w:val="auto"/>
              </w:rPr>
              <w:t>100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60" w:type="dxa"/>
            <w:vAlign w:val="bottom"/>
          </w:tcPr>
          <w:p>
            <w:pPr>
              <w:jc w:val="right"/>
              <w:ind w:right="112"/>
              <w:spacing w:after="0"/>
              <w:rPr>
                <w:sz w:val="20"/>
                <w:szCs w:val="20"/>
                <w:color w:val="auto"/>
              </w:rPr>
            </w:pPr>
            <w:r>
              <w:rPr>
                <w:rFonts w:ascii="Arial" w:cs="Arial" w:eastAsia="Arial" w:hAnsi="Arial"/>
                <w:sz w:val="14"/>
                <w:szCs w:val="14"/>
                <w:color w:val="auto"/>
              </w:rPr>
              <w:t>100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jc w:val="right"/>
              <w:ind w:right="132"/>
              <w:spacing w:after="0"/>
              <w:rPr>
                <w:sz w:val="20"/>
                <w:szCs w:val="20"/>
                <w:color w:val="auto"/>
              </w:rPr>
            </w:pPr>
            <w:r>
              <w:rPr>
                <w:rFonts w:ascii="Arial" w:cs="Arial" w:eastAsia="Arial" w:hAnsi="Arial"/>
                <w:sz w:val="14"/>
                <w:szCs w:val="14"/>
                <w:color w:val="auto"/>
              </w:rPr>
              <w:t>100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41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Operating expenses:</w:t>
            </w:r>
          </w:p>
        </w:tc>
        <w:tc>
          <w:tcPr>
            <w:tcW w:w="1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r>
      <w:tr>
        <w:trPr>
          <w:trHeight w:val="181"/>
        </w:trPr>
        <w:tc>
          <w:tcPr>
            <w:tcW w:w="4180" w:type="dxa"/>
            <w:vAlign w:val="bottom"/>
          </w:tcPr>
          <w:p>
            <w:pPr>
              <w:ind w:left="620"/>
              <w:spacing w:after="0"/>
              <w:rPr>
                <w:sz w:val="20"/>
                <w:szCs w:val="20"/>
                <w:color w:val="auto"/>
              </w:rPr>
            </w:pPr>
            <w:r>
              <w:rPr>
                <w:rFonts w:ascii="Arial" w:cs="Arial" w:eastAsia="Arial" w:hAnsi="Arial"/>
                <w:sz w:val="14"/>
                <w:szCs w:val="14"/>
                <w:color w:val="auto"/>
              </w:rPr>
              <w:t>Cost of revenue</w:t>
            </w:r>
          </w:p>
        </w:tc>
        <w:tc>
          <w:tcPr>
            <w:tcW w:w="1380" w:type="dxa"/>
            <w:vAlign w:val="bottom"/>
          </w:tcPr>
          <w:p>
            <w:pPr>
              <w:jc w:val="right"/>
              <w:ind w:right="132"/>
              <w:spacing w:after="0"/>
              <w:rPr>
                <w:sz w:val="20"/>
                <w:szCs w:val="20"/>
                <w:color w:val="auto"/>
              </w:rPr>
            </w:pPr>
            <w:r>
              <w:rPr>
                <w:rFonts w:ascii="Arial" w:cs="Arial" w:eastAsia="Arial" w:hAnsi="Arial"/>
                <w:sz w:val="14"/>
                <w:szCs w:val="14"/>
                <w:color w:val="auto"/>
              </w:rPr>
              <w:t>36</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60" w:type="dxa"/>
            <w:vAlign w:val="bottom"/>
          </w:tcPr>
          <w:p>
            <w:pPr>
              <w:jc w:val="right"/>
              <w:ind w:right="112"/>
              <w:spacing w:after="0"/>
              <w:rPr>
                <w:sz w:val="20"/>
                <w:szCs w:val="20"/>
                <w:color w:val="auto"/>
              </w:rPr>
            </w:pPr>
            <w:r>
              <w:rPr>
                <w:rFonts w:ascii="Arial" w:cs="Arial" w:eastAsia="Arial" w:hAnsi="Arial"/>
                <w:sz w:val="14"/>
                <w:szCs w:val="14"/>
                <w:color w:val="auto"/>
              </w:rPr>
              <w:t>40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jc w:val="right"/>
              <w:ind w:right="132"/>
              <w:spacing w:after="0"/>
              <w:rPr>
                <w:sz w:val="20"/>
                <w:szCs w:val="20"/>
                <w:color w:val="auto"/>
              </w:rPr>
            </w:pPr>
            <w:r>
              <w:rPr>
                <w:rFonts w:ascii="Arial" w:cs="Arial" w:eastAsia="Arial" w:hAnsi="Arial"/>
                <w:sz w:val="14"/>
                <w:szCs w:val="14"/>
                <w:color w:val="auto"/>
              </w:rPr>
              <w:t>41</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41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Sales and marketing</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24</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22</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24</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4180" w:type="dxa"/>
            <w:vAlign w:val="bottom"/>
          </w:tcPr>
          <w:p>
            <w:pPr>
              <w:ind w:left="620"/>
              <w:spacing w:after="0"/>
              <w:rPr>
                <w:sz w:val="20"/>
                <w:szCs w:val="20"/>
                <w:color w:val="auto"/>
              </w:rPr>
            </w:pPr>
            <w:r>
              <w:rPr>
                <w:rFonts w:ascii="Arial" w:cs="Arial" w:eastAsia="Arial" w:hAnsi="Arial"/>
                <w:sz w:val="14"/>
                <w:szCs w:val="14"/>
                <w:color w:val="auto"/>
              </w:rPr>
              <w:t>Product development</w:t>
            </w:r>
          </w:p>
        </w:tc>
        <w:tc>
          <w:tcPr>
            <w:tcW w:w="1380" w:type="dxa"/>
            <w:vAlign w:val="bottom"/>
          </w:tcPr>
          <w:p>
            <w:pPr>
              <w:jc w:val="right"/>
              <w:ind w:right="132"/>
              <w:spacing w:after="0"/>
              <w:rPr>
                <w:sz w:val="20"/>
                <w:szCs w:val="20"/>
                <w:color w:val="auto"/>
              </w:rPr>
            </w:pPr>
            <w:r>
              <w:rPr>
                <w:rFonts w:ascii="Arial" w:cs="Arial" w:eastAsia="Arial" w:hAnsi="Arial"/>
                <w:sz w:val="14"/>
                <w:szCs w:val="14"/>
                <w:color w:val="auto"/>
              </w:rPr>
              <w:t>6</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60" w:type="dxa"/>
            <w:vAlign w:val="bottom"/>
          </w:tcPr>
          <w:p>
            <w:pPr>
              <w:jc w:val="right"/>
              <w:ind w:right="112"/>
              <w:spacing w:after="0"/>
              <w:rPr>
                <w:sz w:val="20"/>
                <w:szCs w:val="20"/>
                <w:color w:val="auto"/>
              </w:rPr>
            </w:pPr>
            <w:r>
              <w:rPr>
                <w:rFonts w:ascii="Arial" w:cs="Arial" w:eastAsia="Arial" w:hAnsi="Arial"/>
                <w:sz w:val="14"/>
                <w:szCs w:val="14"/>
                <w:color w:val="auto"/>
              </w:rPr>
              <w:t>8</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jc w:val="right"/>
              <w:ind w:right="132"/>
              <w:spacing w:after="0"/>
              <w:rPr>
                <w:sz w:val="20"/>
                <w:szCs w:val="20"/>
                <w:color w:val="auto"/>
              </w:rPr>
            </w:pPr>
            <w:r>
              <w:rPr>
                <w:rFonts w:ascii="Arial" w:cs="Arial" w:eastAsia="Arial" w:hAnsi="Arial"/>
                <w:sz w:val="14"/>
                <w:szCs w:val="14"/>
                <w:color w:val="auto"/>
              </w:rPr>
              <w:t>8</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41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General and administrative</w:t>
            </w: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16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16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17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4180" w:type="dxa"/>
            <w:vAlign w:val="bottom"/>
            <w:tcBorders>
              <w:bottom w:val="single" w:sz="8" w:color="CCEEFF"/>
            </w:tcBorders>
          </w:tcPr>
          <w:p>
            <w:pPr>
              <w:ind w:left="800"/>
              <w:spacing w:after="0" w:line="158" w:lineRule="exact"/>
              <w:rPr>
                <w:sz w:val="20"/>
                <w:szCs w:val="20"/>
                <w:color w:val="auto"/>
              </w:rPr>
            </w:pPr>
            <w:r>
              <w:rPr>
                <w:rFonts w:ascii="Arial" w:cs="Arial" w:eastAsia="Arial" w:hAnsi="Arial"/>
                <w:sz w:val="14"/>
                <w:szCs w:val="14"/>
                <w:color w:val="auto"/>
              </w:rPr>
              <w:t>Total operating expenses</w:t>
            </w: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83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86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91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8"/>
        </w:trPr>
        <w:tc>
          <w:tcPr>
            <w:tcW w:w="41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from operations</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17</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14</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9</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418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 income / (expense), net</w:t>
            </w: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8"/>
        </w:trPr>
        <w:tc>
          <w:tcPr>
            <w:tcW w:w="41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before income taxes</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18</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14</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9</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418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Provision for income taxes</w:t>
            </w: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41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Net income</w:t>
            </w: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16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12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2"/>
          <w:szCs w:val="12"/>
          <w:color w:val="auto"/>
        </w:rPr>
        <w:t>Note: Due to rounding, percentages may not sum to totals.</w:t>
      </w:r>
    </w:p>
    <w:p>
      <w:pPr>
        <w:spacing w:after="0" w:line="200" w:lineRule="exact"/>
        <w:rPr>
          <w:sz w:val="20"/>
          <w:szCs w:val="20"/>
          <w:color w:val="auto"/>
        </w:rPr>
      </w:pPr>
    </w:p>
    <w:p>
      <w:pPr>
        <w:spacing w:after="0" w:line="276"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5" w:name="page26"/>
    <w:bookmarkEnd w:id="25"/>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Comparison of the Three Months Ended June 30, 2021 and 2020</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presents our results of operations for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tcPr>
          <w:p>
            <w:pPr>
              <w:ind w:left="580"/>
              <w:spacing w:after="0"/>
              <w:rPr>
                <w:sz w:val="20"/>
                <w:szCs w:val="20"/>
                <w:color w:val="auto"/>
              </w:rPr>
            </w:pPr>
            <w:r>
              <w:rPr>
                <w:rFonts w:ascii="Arial" w:cs="Arial" w:eastAsia="Arial" w:hAnsi="Arial"/>
                <w:sz w:val="12"/>
                <w:szCs w:val="12"/>
                <w:b w:val="1"/>
                <w:bCs w:val="1"/>
                <w:color w:val="auto"/>
              </w:rPr>
              <w:t>Three Months Ended June 30,</w:t>
            </w:r>
          </w:p>
        </w:tc>
        <w:tc>
          <w:tcPr>
            <w:tcW w:w="1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r>
      <w:tr>
        <w:trPr>
          <w:trHeight w:val="157"/>
        </w:trPr>
        <w:tc>
          <w:tcPr>
            <w:tcW w:w="4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jc w:val="right"/>
              <w:ind w:right="473"/>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 Change</w:t>
            </w:r>
          </w:p>
        </w:tc>
        <w:tc>
          <w:tcPr>
            <w:tcW w:w="1420" w:type="dxa"/>
            <w:vAlign w:val="bottom"/>
          </w:tcPr>
          <w:p>
            <w:pPr>
              <w:jc w:val="right"/>
              <w:ind w:right="52"/>
              <w:spacing w:after="0"/>
              <w:rPr>
                <w:sz w:val="20"/>
                <w:szCs w:val="20"/>
                <w:color w:val="auto"/>
              </w:rPr>
            </w:pPr>
            <w:r>
              <w:rPr>
                <w:rFonts w:ascii="Arial" w:cs="Arial" w:eastAsia="Arial" w:hAnsi="Arial"/>
                <w:sz w:val="12"/>
                <w:szCs w:val="12"/>
                <w:b w:val="1"/>
                <w:bCs w:val="1"/>
                <w:color w:val="auto"/>
              </w:rPr>
              <w:t>% Change</w:t>
            </w:r>
          </w:p>
        </w:tc>
        <w:tc>
          <w:tcPr>
            <w:tcW w:w="280" w:type="dxa"/>
            <w:vAlign w:val="bottom"/>
          </w:tcPr>
          <w:p>
            <w:pPr>
              <w:spacing w:after="0"/>
              <w:rPr>
                <w:sz w:val="13"/>
                <w:szCs w:val="13"/>
                <w:color w:val="auto"/>
              </w:rPr>
            </w:pPr>
          </w:p>
        </w:tc>
      </w:tr>
      <w:tr>
        <w:trPr>
          <w:trHeight w:val="152"/>
        </w:trPr>
        <w:tc>
          <w:tcPr>
            <w:tcW w:w="426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(in thousands)</w:t>
            </w:r>
          </w:p>
        </w:tc>
        <w:tc>
          <w:tcPr>
            <w:tcW w:w="6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r>
      <w:tr>
        <w:trPr>
          <w:trHeight w:val="185"/>
        </w:trPr>
        <w:tc>
          <w:tcPr>
            <w:tcW w:w="426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Consolidated Statements of Operations:</w:t>
            </w: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181"/>
        </w:trPr>
        <w:tc>
          <w:tcPr>
            <w:tcW w:w="4260" w:type="dxa"/>
            <w:vAlign w:val="bottom"/>
          </w:tcPr>
          <w:p>
            <w:pPr>
              <w:ind w:left="460"/>
              <w:spacing w:after="0"/>
              <w:rPr>
                <w:sz w:val="20"/>
                <w:szCs w:val="20"/>
                <w:color w:val="auto"/>
              </w:rPr>
            </w:pPr>
            <w:r>
              <w:rPr>
                <w:rFonts w:ascii="Arial" w:cs="Arial" w:eastAsia="Arial" w:hAnsi="Arial"/>
                <w:sz w:val="14"/>
                <w:szCs w:val="14"/>
                <w:color w:val="auto"/>
              </w:rPr>
              <w:t>Revenue</w:t>
            </w:r>
          </w:p>
        </w:tc>
        <w:tc>
          <w:tcPr>
            <w:tcW w:w="1140" w:type="dxa"/>
            <w:vAlign w:val="bottom"/>
          </w:tcPr>
          <w:p>
            <w:pPr>
              <w:jc w:val="right"/>
              <w:ind w:right="634"/>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189,912</w:t>
            </w:r>
          </w:p>
        </w:tc>
        <w:tc>
          <w:tcPr>
            <w:tcW w:w="100" w:type="dxa"/>
            <w:vAlign w:val="bottom"/>
          </w:tcPr>
          <w:p>
            <w:pPr>
              <w:spacing w:after="0"/>
              <w:rPr>
                <w:sz w:val="15"/>
                <w:szCs w:val="15"/>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159,230</w:t>
            </w:r>
          </w:p>
        </w:tc>
        <w:tc>
          <w:tcPr>
            <w:tcW w:w="100" w:type="dxa"/>
            <w:vAlign w:val="bottom"/>
          </w:tcPr>
          <w:p>
            <w:pPr>
              <w:spacing w:after="0"/>
              <w:rPr>
                <w:sz w:val="15"/>
                <w:szCs w:val="15"/>
                <w:color w:val="auto"/>
              </w:rPr>
            </w:pPr>
          </w:p>
        </w:tc>
        <w:tc>
          <w:tcPr>
            <w:tcW w:w="60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30,682</w:t>
            </w:r>
          </w:p>
        </w:tc>
        <w:tc>
          <w:tcPr>
            <w:tcW w:w="120" w:type="dxa"/>
            <w:vAlign w:val="bottom"/>
          </w:tcPr>
          <w:p>
            <w:pPr>
              <w:spacing w:after="0"/>
              <w:rPr>
                <w:sz w:val="15"/>
                <w:szCs w:val="15"/>
                <w:color w:val="auto"/>
              </w:rPr>
            </w:pPr>
          </w:p>
        </w:tc>
        <w:tc>
          <w:tcPr>
            <w:tcW w:w="1420" w:type="dxa"/>
            <w:vAlign w:val="bottom"/>
          </w:tcPr>
          <w:p>
            <w:pPr>
              <w:jc w:val="right"/>
              <w:ind w:right="172"/>
              <w:spacing w:after="0"/>
              <w:rPr>
                <w:sz w:val="20"/>
                <w:szCs w:val="20"/>
                <w:color w:val="auto"/>
              </w:rPr>
            </w:pPr>
            <w:r>
              <w:rPr>
                <w:rFonts w:ascii="Arial" w:cs="Arial" w:eastAsia="Arial" w:hAnsi="Arial"/>
                <w:sz w:val="14"/>
                <w:szCs w:val="14"/>
                <w:color w:val="auto"/>
              </w:rPr>
              <w:t>19</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42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Operating expenses:</w:t>
            </w: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181"/>
        </w:trPr>
        <w:tc>
          <w:tcPr>
            <w:tcW w:w="4260" w:type="dxa"/>
            <w:vAlign w:val="bottom"/>
          </w:tcPr>
          <w:p>
            <w:pPr>
              <w:ind w:left="620"/>
              <w:spacing w:after="0"/>
              <w:rPr>
                <w:sz w:val="20"/>
                <w:szCs w:val="20"/>
                <w:color w:val="auto"/>
              </w:rPr>
            </w:pPr>
            <w:r>
              <w:rPr>
                <w:rFonts w:ascii="Arial" w:cs="Arial" w:eastAsia="Arial" w:hAnsi="Arial"/>
                <w:sz w:val="14"/>
                <w:szCs w:val="14"/>
                <w:color w:val="auto"/>
              </w:rPr>
              <w:t>Cost of revenue</w:t>
            </w:r>
          </w:p>
        </w:tc>
        <w:tc>
          <w:tcPr>
            <w:tcW w:w="1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67,757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63,811</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3,946</w:t>
            </w:r>
          </w:p>
        </w:tc>
        <w:tc>
          <w:tcPr>
            <w:tcW w:w="120" w:type="dxa"/>
            <w:vAlign w:val="bottom"/>
          </w:tcPr>
          <w:p>
            <w:pPr>
              <w:spacing w:after="0"/>
              <w:rPr>
                <w:sz w:val="15"/>
                <w:szCs w:val="15"/>
                <w:color w:val="auto"/>
              </w:rPr>
            </w:pPr>
          </w:p>
        </w:tc>
        <w:tc>
          <w:tcPr>
            <w:tcW w:w="1420" w:type="dxa"/>
            <w:vAlign w:val="bottom"/>
          </w:tcPr>
          <w:p>
            <w:pPr>
              <w:jc w:val="right"/>
              <w:ind w:right="172"/>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15"/>
                <w:szCs w:val="15"/>
                <w:color w:val="auto"/>
              </w:rPr>
            </w:pPr>
          </w:p>
        </w:tc>
      </w:tr>
      <w:tr>
        <w:trPr>
          <w:trHeight w:val="187"/>
        </w:trPr>
        <w:tc>
          <w:tcPr>
            <w:tcW w:w="42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Sales and marketing</w:t>
            </w: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45,896</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35,557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10,339</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29</w:t>
            </w:r>
          </w:p>
        </w:tc>
        <w:tc>
          <w:tcPr>
            <w:tcW w:w="280" w:type="dxa"/>
            <w:vAlign w:val="bottom"/>
            <w:shd w:val="clear" w:color="auto" w:fill="CCEEFF"/>
          </w:tcPr>
          <w:p>
            <w:pPr>
              <w:spacing w:after="0"/>
              <w:rPr>
                <w:sz w:val="16"/>
                <w:szCs w:val="16"/>
                <w:color w:val="auto"/>
              </w:rPr>
            </w:pPr>
          </w:p>
        </w:tc>
      </w:tr>
      <w:tr>
        <w:trPr>
          <w:trHeight w:val="181"/>
        </w:trPr>
        <w:tc>
          <w:tcPr>
            <w:tcW w:w="4260" w:type="dxa"/>
            <w:vAlign w:val="bottom"/>
          </w:tcPr>
          <w:p>
            <w:pPr>
              <w:ind w:left="620"/>
              <w:spacing w:after="0"/>
              <w:rPr>
                <w:sz w:val="20"/>
                <w:szCs w:val="20"/>
                <w:color w:val="auto"/>
              </w:rPr>
            </w:pPr>
            <w:r>
              <w:rPr>
                <w:rFonts w:ascii="Arial" w:cs="Arial" w:eastAsia="Arial" w:hAnsi="Arial"/>
                <w:sz w:val="14"/>
                <w:szCs w:val="14"/>
                <w:color w:val="auto"/>
              </w:rPr>
              <w:t>Product development</w:t>
            </w:r>
          </w:p>
        </w:tc>
        <w:tc>
          <w:tcPr>
            <w:tcW w:w="1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11,993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12,485</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(492)</w:t>
            </w:r>
          </w:p>
        </w:tc>
        <w:tc>
          <w:tcPr>
            <w:tcW w:w="120" w:type="dxa"/>
            <w:vAlign w:val="bottom"/>
          </w:tcPr>
          <w:p>
            <w:pPr>
              <w:spacing w:after="0"/>
              <w:rPr>
                <w:sz w:val="15"/>
                <w:szCs w:val="15"/>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5"/>
                <w:szCs w:val="15"/>
                <w:color w:val="auto"/>
              </w:rPr>
            </w:pPr>
          </w:p>
        </w:tc>
      </w:tr>
      <w:tr>
        <w:trPr>
          <w:trHeight w:val="187"/>
        </w:trPr>
        <w:tc>
          <w:tcPr>
            <w:tcW w:w="42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General and administrative</w:t>
            </w:r>
          </w:p>
        </w:tc>
        <w:tc>
          <w:tcPr>
            <w:tcW w:w="1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31,041</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24,832</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6,209</w:t>
            </w:r>
          </w:p>
        </w:tc>
        <w:tc>
          <w:tcPr>
            <w:tcW w:w="12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rPr>
              <w:t>25</w:t>
            </w:r>
          </w:p>
        </w:tc>
        <w:tc>
          <w:tcPr>
            <w:tcW w:w="280" w:type="dxa"/>
            <w:vAlign w:val="bottom"/>
            <w:tcBorders>
              <w:bottom w:val="single" w:sz="8" w:color="auto"/>
            </w:tcBorders>
            <w:shd w:val="clear" w:color="auto" w:fill="CCEEFF"/>
          </w:tcPr>
          <w:p>
            <w:pPr>
              <w:spacing w:after="0"/>
              <w:rPr>
                <w:sz w:val="16"/>
                <w:szCs w:val="16"/>
                <w:color w:val="auto"/>
              </w:rPr>
            </w:pPr>
          </w:p>
        </w:tc>
      </w:tr>
      <w:tr>
        <w:trPr>
          <w:trHeight w:val="172"/>
        </w:trPr>
        <w:tc>
          <w:tcPr>
            <w:tcW w:w="4260" w:type="dxa"/>
            <w:vAlign w:val="bottom"/>
            <w:tcBorders>
              <w:bottom w:val="single" w:sz="8" w:color="CCEEFF"/>
            </w:tcBorders>
          </w:tcPr>
          <w:p>
            <w:pPr>
              <w:ind w:left="800"/>
              <w:spacing w:after="0" w:line="158" w:lineRule="exact"/>
              <w:rPr>
                <w:sz w:val="20"/>
                <w:szCs w:val="20"/>
                <w:color w:val="auto"/>
              </w:rPr>
            </w:pPr>
            <w:r>
              <w:rPr>
                <w:rFonts w:ascii="Arial" w:cs="Arial" w:eastAsia="Arial" w:hAnsi="Arial"/>
                <w:sz w:val="14"/>
                <w:szCs w:val="14"/>
                <w:color w:val="auto"/>
              </w:rPr>
              <w:t>Total operating expenses</w:t>
            </w:r>
          </w:p>
        </w:tc>
        <w:tc>
          <w:tcPr>
            <w:tcW w:w="1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156,687</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136,685</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20,002</w:t>
            </w:r>
          </w:p>
        </w:tc>
        <w:tc>
          <w:tcPr>
            <w:tcW w:w="12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15</w:t>
            </w:r>
          </w:p>
        </w:tc>
        <w:tc>
          <w:tcPr>
            <w:tcW w:w="280" w:type="dxa"/>
            <w:vAlign w:val="bottom"/>
            <w:tcBorders>
              <w:bottom w:val="single" w:sz="8" w:color="auto"/>
            </w:tcBorders>
          </w:tcPr>
          <w:p>
            <w:pPr>
              <w:spacing w:after="0"/>
              <w:rPr>
                <w:sz w:val="14"/>
                <w:szCs w:val="14"/>
                <w:color w:val="auto"/>
              </w:rPr>
            </w:pPr>
          </w:p>
        </w:tc>
      </w:tr>
      <w:tr>
        <w:trPr>
          <w:trHeight w:val="178"/>
        </w:trPr>
        <w:tc>
          <w:tcPr>
            <w:tcW w:w="42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from operations</w:t>
            </w: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33,225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22,545</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10,680</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47</w:t>
            </w:r>
          </w:p>
        </w:tc>
        <w:tc>
          <w:tcPr>
            <w:tcW w:w="280" w:type="dxa"/>
            <w:vAlign w:val="bottom"/>
            <w:shd w:val="clear" w:color="auto" w:fill="CCEEFF"/>
          </w:tcPr>
          <w:p>
            <w:pPr>
              <w:spacing w:after="0"/>
              <w:rPr>
                <w:sz w:val="15"/>
                <w:szCs w:val="15"/>
                <w:color w:val="auto"/>
              </w:rPr>
            </w:pPr>
          </w:p>
        </w:tc>
      </w:tr>
      <w:tr>
        <w:trPr>
          <w:trHeight w:val="181"/>
        </w:trPr>
        <w:tc>
          <w:tcPr>
            <w:tcW w:w="42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 income / (expense), net</w:t>
            </w:r>
          </w:p>
        </w:tc>
        <w:tc>
          <w:tcPr>
            <w:tcW w:w="1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8"/>
        </w:trPr>
        <w:tc>
          <w:tcPr>
            <w:tcW w:w="42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before income taxes</w:t>
            </w: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34,548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22,694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11,854</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52</w:t>
            </w:r>
          </w:p>
        </w:tc>
        <w:tc>
          <w:tcPr>
            <w:tcW w:w="280" w:type="dxa"/>
            <w:vAlign w:val="bottom"/>
            <w:shd w:val="clear" w:color="auto" w:fill="CCEEFF"/>
          </w:tcPr>
          <w:p>
            <w:pPr>
              <w:spacing w:after="0"/>
              <w:rPr>
                <w:sz w:val="15"/>
                <w:szCs w:val="15"/>
                <w:color w:val="auto"/>
              </w:rPr>
            </w:pPr>
          </w:p>
        </w:tc>
      </w:tr>
      <w:tr>
        <w:trPr>
          <w:trHeight w:val="181"/>
        </w:trPr>
        <w:tc>
          <w:tcPr>
            <w:tcW w:w="42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Provision for income taxes</w:t>
            </w:r>
          </w:p>
        </w:tc>
        <w:tc>
          <w:tcPr>
            <w:tcW w:w="1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5,094</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3,707</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1,387</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37</w:t>
            </w:r>
          </w:p>
        </w:tc>
        <w:tc>
          <w:tcPr>
            <w:tcW w:w="280" w:type="dxa"/>
            <w:vAlign w:val="bottom"/>
            <w:tcBorders>
              <w:bottom w:val="single" w:sz="8" w:color="auto"/>
            </w:tcBorders>
          </w:tcPr>
          <w:p>
            <w:pPr>
              <w:spacing w:after="0"/>
              <w:rPr>
                <w:sz w:val="15"/>
                <w:szCs w:val="15"/>
                <w:color w:val="auto"/>
              </w:rPr>
            </w:pPr>
          </w:p>
        </w:tc>
      </w:tr>
      <w:tr>
        <w:trPr>
          <w:trHeight w:val="200"/>
        </w:trPr>
        <w:tc>
          <w:tcPr>
            <w:tcW w:w="42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Net income</w:t>
            </w:r>
          </w:p>
        </w:tc>
        <w:tc>
          <w:tcPr>
            <w:tcW w:w="1140" w:type="dxa"/>
            <w:vAlign w:val="bottom"/>
            <w:tcBorders>
              <w:bottom w:val="single" w:sz="8" w:color="auto"/>
            </w:tcBorders>
            <w:shd w:val="clear" w:color="auto" w:fill="CCEEFF"/>
          </w:tcPr>
          <w:p>
            <w:pPr>
              <w:jc w:val="right"/>
              <w:ind w:right="63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29,454</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18,987</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10,467</w:t>
            </w: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rPr>
              <w:t>55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__________________________________</w:t>
      </w:r>
    </w:p>
    <w:p>
      <w:pPr>
        <w:spacing w:after="0" w:line="98" w:lineRule="exact"/>
        <w:rPr>
          <w:sz w:val="20"/>
          <w:szCs w:val="20"/>
          <w:color w:val="auto"/>
        </w:rPr>
      </w:pPr>
    </w:p>
    <w:p>
      <w:pPr>
        <w:ind w:left="340"/>
        <w:spacing w:after="0"/>
        <w:tabs>
          <w:tab w:leader="none" w:pos="50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0"/>
          <w:szCs w:val="10"/>
          <w:color w:val="auto"/>
        </w:rPr>
        <w:t>Percentage change is not meaningful</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126" w:lineRule="exact"/>
        <w:rPr>
          <w:sz w:val="20"/>
          <w:szCs w:val="20"/>
          <w:color w:val="auto"/>
        </w:rPr>
      </w:pPr>
    </w:p>
    <w:p>
      <w:pPr>
        <w:ind w:right="340" w:firstLine="345"/>
        <w:spacing w:after="0" w:line="286" w:lineRule="auto"/>
        <w:rPr>
          <w:sz w:val="20"/>
          <w:szCs w:val="20"/>
          <w:color w:val="auto"/>
        </w:rPr>
      </w:pPr>
      <w:r>
        <w:rPr>
          <w:rFonts w:ascii="Arial" w:cs="Arial" w:eastAsia="Arial" w:hAnsi="Arial"/>
          <w:sz w:val="15"/>
          <w:szCs w:val="15"/>
          <w:color w:val="auto"/>
        </w:rPr>
        <w:t>Revenue increased by $30.7 million, or 19%, to $189.9 million in the three months ended June 30, 2021 compared to the same period in 2020. On a constant currency basis, revenue increased approximately 16% in the three months ended June 30, 2021, compared to the same period in 2020.</w:t>
      </w:r>
    </w:p>
    <w:p>
      <w:pPr>
        <w:spacing w:after="0" w:line="83" w:lineRule="exact"/>
        <w:rPr>
          <w:sz w:val="20"/>
          <w:szCs w:val="20"/>
          <w:color w:val="auto"/>
        </w:rPr>
      </w:pPr>
    </w:p>
    <w:p>
      <w:pPr>
        <w:ind w:firstLine="345"/>
        <w:spacing w:after="0" w:line="266" w:lineRule="auto"/>
        <w:rPr>
          <w:sz w:val="20"/>
          <w:szCs w:val="20"/>
          <w:color w:val="auto"/>
        </w:rPr>
      </w:pPr>
      <w:r>
        <w:rPr>
          <w:rFonts w:ascii="Arial" w:cs="Arial" w:eastAsia="Arial" w:hAnsi="Arial"/>
          <w:sz w:val="15"/>
          <w:szCs w:val="15"/>
          <w:color w:val="auto"/>
        </w:rPr>
        <w:t>The Company’s E-commerce revenues increased by 23%, to $120.7 million in the three months ended June 30, 2021, compared to the same period in 2020. On a constant currency basis, the Company’s E-commerce revenues increased by 20% in the three months ended June 30, 2021, compared to the same period in 2020. During the three months ended June 30, 2021, growth in our E-commerce sales channel was primarily driven by increased subscriber revenue. E-commerce revenues also benefited from our acquisition of TurboSquid on February 1, 2021.</w:t>
      </w:r>
    </w:p>
    <w:p>
      <w:pPr>
        <w:spacing w:after="0" w:line="97" w:lineRule="exact"/>
        <w:rPr>
          <w:sz w:val="20"/>
          <w:szCs w:val="20"/>
          <w:color w:val="auto"/>
        </w:rPr>
      </w:pPr>
    </w:p>
    <w:p>
      <w:pPr>
        <w:ind w:right="80" w:firstLine="345"/>
        <w:spacing w:after="0" w:line="290" w:lineRule="auto"/>
        <w:rPr>
          <w:sz w:val="20"/>
          <w:szCs w:val="20"/>
          <w:color w:val="auto"/>
        </w:rPr>
      </w:pPr>
      <w:r>
        <w:rPr>
          <w:rFonts w:ascii="Arial" w:cs="Arial" w:eastAsia="Arial" w:hAnsi="Arial"/>
          <w:sz w:val="14"/>
          <w:szCs w:val="14"/>
          <w:color w:val="auto"/>
        </w:rPr>
        <w:t>The Company’s Enterprise revenues increased by 13%, to $69.2 million in the three months ended June 30, 2021, compared to the same period in 2020. On a constant currency basis, the Company’s Enterprise revenues increased by 9% in the three months ended June 30, 2021, compared to the same period in 2020. The Company has continued to execute on its strategy to respond to market trends including making updates to product offerings and continuously improving our platform. We believe these enhancements impacted our Enterprise sales operations during the period and is one of the drivers of the increased deferred revenue balance as of June 30, 2021.</w:t>
      </w:r>
    </w:p>
    <w:p>
      <w:pPr>
        <w:spacing w:after="0" w:line="72" w:lineRule="exact"/>
        <w:rPr>
          <w:sz w:val="20"/>
          <w:szCs w:val="20"/>
          <w:color w:val="auto"/>
        </w:rPr>
      </w:pPr>
    </w:p>
    <w:p>
      <w:pPr>
        <w:jc w:val="both"/>
        <w:ind w:right="60" w:firstLine="345"/>
        <w:spacing w:after="0" w:line="271" w:lineRule="auto"/>
        <w:rPr>
          <w:sz w:val="20"/>
          <w:szCs w:val="20"/>
          <w:color w:val="auto"/>
        </w:rPr>
      </w:pPr>
      <w:r>
        <w:rPr>
          <w:rFonts w:ascii="Arial" w:cs="Arial" w:eastAsia="Arial" w:hAnsi="Arial"/>
          <w:sz w:val="15"/>
          <w:szCs w:val="15"/>
          <w:color w:val="auto"/>
        </w:rPr>
        <w:t>In the three months ended June 30, 2021 and 2020, we delivered 44.9 million and 44.0 million paid downloads, respectively, and our revenue per download was $4.17 and $3.61 for the three months ended June 30, 2021 and 2020, respectively. During the three months ended June 30, 2021, the increase in revenue per download was primarily due to changes in product mix.</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Changes in our revenue by region were as follows: revenue from North America increased by $12.7 million, or 23%, to $69.0 million, revenue from Europe increased by</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$12.6 million, or 24%, to $64.8 million and revenue from outside Europe and North America increased by $5.4 million, or 11%, to $56.2 million, in the three months ended June 30,</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2021 compared to the same period in 2020.</w:t>
      </w:r>
    </w:p>
    <w:p>
      <w:pPr>
        <w:spacing w:after="0" w:line="200" w:lineRule="exact"/>
        <w:rPr>
          <w:sz w:val="20"/>
          <w:szCs w:val="20"/>
          <w:color w:val="auto"/>
        </w:rPr>
      </w:pPr>
    </w:p>
    <w:p>
      <w:pPr>
        <w:spacing w:after="0" w:line="307"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6" w:name="page27"/>
    <w:bookmarkEnd w:id="26"/>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Costs and Expenses</w:t>
      </w:r>
    </w:p>
    <w:p>
      <w:pPr>
        <w:spacing w:after="0" w:line="103" w:lineRule="exact"/>
        <w:rPr>
          <w:sz w:val="20"/>
          <w:szCs w:val="20"/>
          <w:color w:val="auto"/>
        </w:rPr>
      </w:pPr>
    </w:p>
    <w:p>
      <w:pPr>
        <w:ind w:right="100" w:firstLine="345"/>
        <w:spacing w:after="0" w:line="299" w:lineRule="auto"/>
        <w:rPr>
          <w:sz w:val="20"/>
          <w:szCs w:val="20"/>
          <w:color w:val="auto"/>
        </w:rPr>
      </w:pPr>
      <w:r>
        <w:rPr>
          <w:rFonts w:ascii="Arial" w:cs="Arial" w:eastAsia="Arial" w:hAnsi="Arial"/>
          <w:sz w:val="14"/>
          <w:szCs w:val="14"/>
          <w:i w:val="1"/>
          <w:iCs w:val="1"/>
          <w:color w:val="auto"/>
        </w:rPr>
        <w:t>Cost of Revenue</w:t>
      </w:r>
      <w:r>
        <w:rPr>
          <w:rFonts w:ascii="Arial" w:cs="Arial" w:eastAsia="Arial" w:hAnsi="Arial"/>
          <w:sz w:val="14"/>
          <w:szCs w:val="14"/>
          <w:color w:val="auto"/>
        </w:rPr>
        <w:t>. Cost of revenue increased by $3.9 million, or 6% to $67.8 million in the three months ended June 30, 2021 compared to the same period in 2020, due to higher</w:t>
      </w:r>
      <w:r>
        <w:rPr>
          <w:rFonts w:ascii="Arial" w:cs="Arial" w:eastAsia="Arial" w:hAnsi="Arial"/>
          <w:sz w:val="14"/>
          <w:szCs w:val="14"/>
          <w:i w:val="1"/>
          <w:iCs w:val="1"/>
          <w:color w:val="auto"/>
        </w:rPr>
        <w:t xml:space="preserve"> </w:t>
      </w:r>
      <w:r>
        <w:rPr>
          <w:rFonts w:ascii="Arial" w:cs="Arial" w:eastAsia="Arial" w:hAnsi="Arial"/>
          <w:sz w:val="14"/>
          <w:szCs w:val="14"/>
          <w:color w:val="auto"/>
        </w:rPr>
        <w:t>royalty expense and credit card fees, which is in line with the increase in revenue and paid downloads. These amounts are partially offset by lower content procurement costs and depreciation and amortization expense. We expect that our cost of revenue will continue to fluctuate in line with changes in revenue and paid downloads.</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 xml:space="preserve">Sales and Marketing. </w:t>
      </w:r>
      <w:r>
        <w:rPr>
          <w:rFonts w:ascii="Arial" w:cs="Arial" w:eastAsia="Arial" w:hAnsi="Arial"/>
          <w:sz w:val="13"/>
          <w:szCs w:val="13"/>
          <w:color w:val="auto"/>
        </w:rPr>
        <w:t>Sales and marketing expenses increased by $10.3 million, or 29%, to $45.9 million in the three months ended June 30, 2021 compared to the same period in</w:t>
      </w:r>
    </w:p>
    <w:p>
      <w:pPr>
        <w:spacing w:after="0" w:line="45" w:lineRule="exact"/>
        <w:rPr>
          <w:sz w:val="20"/>
          <w:szCs w:val="20"/>
          <w:color w:val="auto"/>
        </w:rPr>
      </w:pPr>
    </w:p>
    <w:p>
      <w:pPr>
        <w:jc w:val="both"/>
        <w:ind w:right="180"/>
        <w:spacing w:after="0" w:line="285" w:lineRule="auto"/>
        <w:rPr>
          <w:sz w:val="20"/>
          <w:szCs w:val="20"/>
          <w:color w:val="auto"/>
        </w:rPr>
      </w:pPr>
      <w:r>
        <w:rPr>
          <w:rFonts w:ascii="Arial" w:cs="Arial" w:eastAsia="Arial" w:hAnsi="Arial"/>
          <w:sz w:val="14"/>
          <w:szCs w:val="14"/>
          <w:color w:val="auto"/>
        </w:rPr>
        <w:t>2020. As a percent of revenue, sales and marketing expenses increased to 24% for the three months ended June 30, 2021, from 22% for the same period in 2020. This was primarily driven by a (i) $5.7 million increase in marketing spend, and (ii) $3.9 million in higher employee-related costs, primarily related to commissions associated with increased enterprise billings. For the three months ended June 30, 2020, sales and marketing expenses included severance charges of $1.5 million. We expect sales and marketing expenses to continue to fluctuate as we optimize our sales channels and invest in new customer acquisition, products and geographies.</w:t>
      </w:r>
    </w:p>
    <w:p>
      <w:pPr>
        <w:spacing w:after="0" w:line="52" w:lineRule="exact"/>
        <w:rPr>
          <w:sz w:val="20"/>
          <w:szCs w:val="20"/>
          <w:color w:val="auto"/>
        </w:rPr>
      </w:pPr>
    </w:p>
    <w:p>
      <w:pPr>
        <w:ind w:firstLine="345"/>
        <w:spacing w:after="0" w:line="286" w:lineRule="auto"/>
        <w:rPr>
          <w:sz w:val="20"/>
          <w:szCs w:val="20"/>
          <w:color w:val="auto"/>
        </w:rPr>
      </w:pPr>
      <w:r>
        <w:rPr>
          <w:rFonts w:ascii="Arial" w:cs="Arial" w:eastAsia="Arial" w:hAnsi="Arial"/>
          <w:sz w:val="14"/>
          <w:szCs w:val="14"/>
          <w:i w:val="1"/>
          <w:iCs w:val="1"/>
          <w:color w:val="auto"/>
        </w:rPr>
        <w:t>Product Development</w:t>
      </w:r>
      <w:r>
        <w:rPr>
          <w:rFonts w:ascii="Arial" w:cs="Arial" w:eastAsia="Arial" w:hAnsi="Arial"/>
          <w:sz w:val="14"/>
          <w:szCs w:val="14"/>
          <w:color w:val="auto"/>
        </w:rPr>
        <w:t>. Product development expenses decreased by $0.5 million, or 4%, to $12.0 million in the three months ended June 30, 2021 compared to the same period in</w:t>
      </w:r>
      <w:r>
        <w:rPr>
          <w:rFonts w:ascii="Arial" w:cs="Arial" w:eastAsia="Arial" w:hAnsi="Arial"/>
          <w:sz w:val="14"/>
          <w:szCs w:val="14"/>
          <w:i w:val="1"/>
          <w:iCs w:val="1"/>
          <w:color w:val="auto"/>
        </w:rPr>
        <w:t xml:space="preserve"> </w:t>
      </w:r>
      <w:r>
        <w:rPr>
          <w:rFonts w:ascii="Arial" w:cs="Arial" w:eastAsia="Arial" w:hAnsi="Arial"/>
          <w:sz w:val="14"/>
          <w:szCs w:val="14"/>
          <w:color w:val="auto"/>
        </w:rPr>
        <w:t>2020. This decrease was driven by (i) lower employee and third-party contractor related costs, net of capitalized labor, and (ii) a reduction in software and other IT-related costs, for the three months ended June 30, 2021, as compared to the same period in the prior year. These declines were partially offset by higher non-cash compensation expense, attributable to certain performance-based awards.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52" w:lineRule="exact"/>
        <w:rPr>
          <w:sz w:val="20"/>
          <w:szCs w:val="20"/>
          <w:color w:val="auto"/>
        </w:rPr>
      </w:pPr>
    </w:p>
    <w:p>
      <w:pPr>
        <w:ind w:right="120" w:firstLine="345"/>
        <w:spacing w:after="0" w:line="263" w:lineRule="auto"/>
        <w:rPr>
          <w:sz w:val="20"/>
          <w:szCs w:val="20"/>
          <w:color w:val="auto"/>
        </w:rPr>
      </w:pPr>
      <w:r>
        <w:rPr>
          <w:rFonts w:ascii="Arial" w:cs="Arial" w:eastAsia="Arial" w:hAnsi="Arial"/>
          <w:sz w:val="15"/>
          <w:szCs w:val="15"/>
          <w:i w:val="1"/>
          <w:iCs w:val="1"/>
          <w:color w:val="auto"/>
        </w:rPr>
        <w:t>General and Administrative</w:t>
      </w:r>
      <w:r>
        <w:rPr>
          <w:rFonts w:ascii="Arial" w:cs="Arial" w:eastAsia="Arial" w:hAnsi="Arial"/>
          <w:sz w:val="15"/>
          <w:szCs w:val="15"/>
          <w:color w:val="auto"/>
        </w:rPr>
        <w:t>. General and administrative expenses increased by $6.2 million, or 25%, to $31.0 million in the three months ended June 30, 2021 compared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same period in 2020. During the three months ended June 30, 2021, general and administrative expenses included higher non-cash compensation expense of $4.7 million, attributable to certain performance-based awards, and $1.6 million in higher employee-related costs. In addition, during the three months ended June 30, 2021, increases in professional fees, and depreciation and amortization expense were offset by reductions in bad debt expense. For the three months ended June 30, 2020, general and administrative expenses included severance charges of $0.7 million.</w:t>
      </w:r>
    </w:p>
    <w:p>
      <w:pPr>
        <w:spacing w:after="0" w:line="66" w:lineRule="exact"/>
        <w:rPr>
          <w:sz w:val="20"/>
          <w:szCs w:val="20"/>
          <w:color w:val="auto"/>
        </w:rPr>
      </w:pPr>
    </w:p>
    <w:p>
      <w:pPr>
        <w:ind w:right="420" w:firstLine="345"/>
        <w:spacing w:after="0" w:line="286" w:lineRule="auto"/>
        <w:rPr>
          <w:sz w:val="20"/>
          <w:szCs w:val="20"/>
          <w:color w:val="auto"/>
        </w:rPr>
      </w:pPr>
      <w:r>
        <w:rPr>
          <w:rFonts w:ascii="Arial" w:cs="Arial" w:eastAsia="Arial" w:hAnsi="Arial"/>
          <w:sz w:val="15"/>
          <w:szCs w:val="15"/>
          <w:i w:val="1"/>
          <w:iCs w:val="1"/>
          <w:color w:val="auto"/>
        </w:rPr>
        <w:t>Other Income / (Expense), Net</w:t>
      </w:r>
      <w:r>
        <w:rPr>
          <w:rFonts w:ascii="Arial" w:cs="Arial" w:eastAsia="Arial" w:hAnsi="Arial"/>
          <w:sz w:val="15"/>
          <w:szCs w:val="15"/>
          <w:color w:val="auto"/>
        </w:rPr>
        <w:t>. In the three months ended June 30, 2021, other income / (expense), net substantially consisted of $1.3 million of favorable foreign currency</w:t>
      </w:r>
      <w:r>
        <w:rPr>
          <w:rFonts w:ascii="Arial" w:cs="Arial" w:eastAsia="Arial" w:hAnsi="Arial"/>
          <w:sz w:val="15"/>
          <w:szCs w:val="15"/>
          <w:i w:val="1"/>
          <w:iCs w:val="1"/>
          <w:color w:val="auto"/>
        </w:rPr>
        <w:t xml:space="preserve"> </w:t>
      </w:r>
      <w:r>
        <w:rPr>
          <w:rFonts w:ascii="Arial" w:cs="Arial" w:eastAsia="Arial" w:hAnsi="Arial"/>
          <w:sz w:val="15"/>
          <w:szCs w:val="15"/>
          <w:color w:val="auto"/>
        </w:rPr>
        <w:t>fluctuations.</w:t>
      </w:r>
    </w:p>
    <w:p>
      <w:pPr>
        <w:spacing w:after="0" w:line="49" w:lineRule="exact"/>
        <w:rPr>
          <w:sz w:val="20"/>
          <w:szCs w:val="20"/>
          <w:color w:val="auto"/>
        </w:rPr>
      </w:pPr>
    </w:p>
    <w:p>
      <w:pPr>
        <w:ind w:right="80" w:firstLine="345"/>
        <w:spacing w:after="0" w:line="271" w:lineRule="auto"/>
        <w:rPr>
          <w:sz w:val="20"/>
          <w:szCs w:val="20"/>
          <w:color w:val="auto"/>
        </w:rPr>
      </w:pPr>
      <w:r>
        <w:rPr>
          <w:rFonts w:ascii="Arial" w:cs="Arial" w:eastAsia="Arial" w:hAnsi="Arial"/>
          <w:sz w:val="15"/>
          <w:szCs w:val="15"/>
          <w:color w:val="auto"/>
        </w:rPr>
        <w:t>During the three months ended June 30, 2020, other income / (expense), net substantially consisted of $0.1 million of favorable foreign currency fluctuations. As we increase the volume of business transacted in foreign currencies resulting from international expansion and as currency rates fluctuate, we expect foreign currency gains and losses to continue to fluctuate.</w:t>
      </w:r>
    </w:p>
    <w:p>
      <w:pPr>
        <w:spacing w:after="0" w:line="59" w:lineRule="exact"/>
        <w:rPr>
          <w:sz w:val="20"/>
          <w:szCs w:val="20"/>
          <w:color w:val="auto"/>
        </w:rPr>
      </w:pPr>
    </w:p>
    <w:p>
      <w:pPr>
        <w:ind w:right="120" w:firstLine="345"/>
        <w:spacing w:after="0" w:line="286" w:lineRule="auto"/>
        <w:rPr>
          <w:sz w:val="20"/>
          <w:szCs w:val="20"/>
          <w:color w:val="auto"/>
        </w:rPr>
      </w:pPr>
      <w:r>
        <w:rPr>
          <w:rFonts w:ascii="Arial" w:cs="Arial" w:eastAsia="Arial" w:hAnsi="Arial"/>
          <w:sz w:val="15"/>
          <w:szCs w:val="15"/>
          <w:i w:val="1"/>
          <w:iCs w:val="1"/>
          <w:color w:val="auto"/>
        </w:rPr>
        <w:t>Income Taxes</w:t>
      </w:r>
      <w:r>
        <w:rPr>
          <w:rFonts w:ascii="Arial" w:cs="Arial" w:eastAsia="Arial" w:hAnsi="Arial"/>
          <w:sz w:val="15"/>
          <w:szCs w:val="15"/>
          <w:color w:val="auto"/>
        </w:rPr>
        <w:t>. Income tax expense increased by $1.4 million for the three months ended June 30, 2021 as compared to the same period in 2020. Our effective tax rates yielded a</w:t>
      </w:r>
      <w:r>
        <w:rPr>
          <w:rFonts w:ascii="Arial" w:cs="Arial" w:eastAsia="Arial" w:hAnsi="Arial"/>
          <w:sz w:val="15"/>
          <w:szCs w:val="15"/>
          <w:i w:val="1"/>
          <w:iCs w:val="1"/>
          <w:color w:val="auto"/>
        </w:rPr>
        <w:t xml:space="preserve"> </w:t>
      </w:r>
      <w:r>
        <w:rPr>
          <w:rFonts w:ascii="Arial" w:cs="Arial" w:eastAsia="Arial" w:hAnsi="Arial"/>
          <w:sz w:val="15"/>
          <w:szCs w:val="15"/>
          <w:color w:val="auto"/>
        </w:rPr>
        <w:t>net expense of 14.7% and 16.3% for the three months ended June 30, 2021 and 2020, respectively.</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For the three months ended June 30, 2021, the effective tax rate decreased by 5.3% related primarily to windfall tax benefits associated with equity-based compensation.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Excluding discrete items, our effective tax rate would have been 20.0% for the three months ended June 30, 2021.</w:t>
      </w:r>
    </w:p>
    <w:p>
      <w:pPr>
        <w:spacing w:after="0" w:line="93" w:lineRule="exact"/>
        <w:rPr>
          <w:sz w:val="20"/>
          <w:szCs w:val="20"/>
          <w:color w:val="auto"/>
        </w:rPr>
      </w:pPr>
    </w:p>
    <w:p>
      <w:pPr>
        <w:ind w:right="100" w:firstLine="345"/>
        <w:spacing w:after="0" w:line="286" w:lineRule="auto"/>
        <w:rPr>
          <w:sz w:val="20"/>
          <w:szCs w:val="20"/>
          <w:color w:val="auto"/>
        </w:rPr>
      </w:pPr>
      <w:r>
        <w:rPr>
          <w:rFonts w:ascii="Arial" w:cs="Arial" w:eastAsia="Arial" w:hAnsi="Arial"/>
          <w:sz w:val="15"/>
          <w:szCs w:val="15"/>
          <w:color w:val="auto"/>
        </w:rPr>
        <w:t>For the three months ended June 30, 2020, the net effect of discrete items decreased the effective tax rate by 0.3%. Excluding these items, our effective tax rate would have been 16.6% for the three months ended June 30, 2020.</w:t>
      </w:r>
    </w:p>
    <w:p>
      <w:pPr>
        <w:spacing w:after="0" w:line="83" w:lineRule="exact"/>
        <w:rPr>
          <w:sz w:val="20"/>
          <w:szCs w:val="20"/>
          <w:color w:val="auto"/>
        </w:rPr>
      </w:pPr>
    </w:p>
    <w:p>
      <w:pPr>
        <w:ind w:right="120" w:firstLine="345"/>
        <w:spacing w:after="0" w:line="286" w:lineRule="auto"/>
        <w:rPr>
          <w:sz w:val="20"/>
          <w:szCs w:val="20"/>
          <w:color w:val="auto"/>
        </w:rPr>
      </w:pPr>
      <w:r>
        <w:rPr>
          <w:rFonts w:ascii="Arial" w:cs="Arial" w:eastAsia="Arial" w:hAnsi="Arial"/>
          <w:sz w:val="15"/>
          <w:szCs w:val="15"/>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7" w:name="page28"/>
    <w:bookmarkEnd w:id="27"/>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Comparison of the Six Months Ended June 30, 2021 and 2020</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presents our results of operations for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tcPr>
          <w:p>
            <w:pPr>
              <w:ind w:left="660"/>
              <w:spacing w:after="0"/>
              <w:rPr>
                <w:sz w:val="20"/>
                <w:szCs w:val="20"/>
                <w:color w:val="auto"/>
              </w:rPr>
            </w:pPr>
            <w:r>
              <w:rPr>
                <w:rFonts w:ascii="Arial" w:cs="Arial" w:eastAsia="Arial" w:hAnsi="Arial"/>
                <w:sz w:val="12"/>
                <w:szCs w:val="12"/>
                <w:b w:val="1"/>
                <w:bCs w:val="1"/>
                <w:color w:val="auto"/>
              </w:rPr>
              <w:t>Six Months Ended June 30,</w:t>
            </w:r>
          </w:p>
        </w:tc>
        <w:tc>
          <w:tcPr>
            <w:tcW w:w="1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r>
      <w:tr>
        <w:trPr>
          <w:trHeight w:val="157"/>
        </w:trPr>
        <w:tc>
          <w:tcPr>
            <w:tcW w:w="4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ind w:right="453"/>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 Change</w:t>
            </w:r>
          </w:p>
        </w:tc>
        <w:tc>
          <w:tcPr>
            <w:tcW w:w="1440" w:type="dxa"/>
            <w:vAlign w:val="bottom"/>
          </w:tcPr>
          <w:p>
            <w:pPr>
              <w:jc w:val="right"/>
              <w:ind w:right="72"/>
              <w:spacing w:after="0"/>
              <w:rPr>
                <w:sz w:val="20"/>
                <w:szCs w:val="20"/>
                <w:color w:val="auto"/>
              </w:rPr>
            </w:pPr>
            <w:r>
              <w:rPr>
                <w:rFonts w:ascii="Arial" w:cs="Arial" w:eastAsia="Arial" w:hAnsi="Arial"/>
                <w:sz w:val="12"/>
                <w:szCs w:val="12"/>
                <w:b w:val="1"/>
                <w:bCs w:val="1"/>
                <w:color w:val="auto"/>
              </w:rPr>
              <w:t>% Change</w:t>
            </w:r>
          </w:p>
        </w:tc>
        <w:tc>
          <w:tcPr>
            <w:tcW w:w="280" w:type="dxa"/>
            <w:vAlign w:val="bottom"/>
          </w:tcPr>
          <w:p>
            <w:pPr>
              <w:spacing w:after="0"/>
              <w:rPr>
                <w:sz w:val="13"/>
                <w:szCs w:val="13"/>
                <w:color w:val="auto"/>
              </w:rPr>
            </w:pPr>
          </w:p>
        </w:tc>
      </w:tr>
      <w:tr>
        <w:trPr>
          <w:trHeight w:val="152"/>
        </w:trPr>
        <w:tc>
          <w:tcPr>
            <w:tcW w:w="426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(in thousands)</w:t>
            </w:r>
          </w:p>
        </w:tc>
        <w:tc>
          <w:tcPr>
            <w:tcW w:w="5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r>
      <w:tr>
        <w:trPr>
          <w:trHeight w:val="185"/>
        </w:trPr>
        <w:tc>
          <w:tcPr>
            <w:tcW w:w="426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Consolidated Statements of Operations Data:</w:t>
            </w: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181"/>
        </w:trPr>
        <w:tc>
          <w:tcPr>
            <w:tcW w:w="4260" w:type="dxa"/>
            <w:vAlign w:val="bottom"/>
          </w:tcPr>
          <w:p>
            <w:pPr>
              <w:ind w:left="460"/>
              <w:spacing w:after="0"/>
              <w:rPr>
                <w:sz w:val="20"/>
                <w:szCs w:val="20"/>
                <w:color w:val="auto"/>
              </w:rPr>
            </w:pPr>
            <w:r>
              <w:rPr>
                <w:rFonts w:ascii="Arial" w:cs="Arial" w:eastAsia="Arial" w:hAnsi="Arial"/>
                <w:sz w:val="14"/>
                <w:szCs w:val="14"/>
                <w:color w:val="auto"/>
              </w:rPr>
              <w:t>Revenue</w:t>
            </w:r>
          </w:p>
        </w:tc>
        <w:tc>
          <w:tcPr>
            <w:tcW w:w="1140" w:type="dxa"/>
            <w:vAlign w:val="bottom"/>
          </w:tcPr>
          <w:p>
            <w:pPr>
              <w:jc w:val="right"/>
              <w:ind w:right="654"/>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86"/>
              </w:rPr>
              <w:t>373,193</w:t>
            </w:r>
          </w:p>
        </w:tc>
        <w:tc>
          <w:tcPr>
            <w:tcW w:w="100" w:type="dxa"/>
            <w:vAlign w:val="bottom"/>
          </w:tcPr>
          <w:p>
            <w:pPr>
              <w:spacing w:after="0"/>
              <w:rPr>
                <w:sz w:val="15"/>
                <w:szCs w:val="15"/>
                <w:color w:val="auto"/>
              </w:rPr>
            </w:pPr>
          </w:p>
        </w:tc>
        <w:tc>
          <w:tcPr>
            <w:tcW w:w="5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320,515</w:t>
            </w:r>
          </w:p>
        </w:tc>
        <w:tc>
          <w:tcPr>
            <w:tcW w:w="120" w:type="dxa"/>
            <w:vAlign w:val="bottom"/>
          </w:tcPr>
          <w:p>
            <w:pPr>
              <w:spacing w:after="0"/>
              <w:rPr>
                <w:sz w:val="15"/>
                <w:szCs w:val="15"/>
                <w:color w:val="auto"/>
              </w:rPr>
            </w:pPr>
          </w:p>
        </w:tc>
        <w:tc>
          <w:tcPr>
            <w:tcW w:w="5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52,678</w:t>
            </w:r>
          </w:p>
        </w:tc>
        <w:tc>
          <w:tcPr>
            <w:tcW w:w="100" w:type="dxa"/>
            <w:vAlign w:val="bottom"/>
          </w:tcPr>
          <w:p>
            <w:pPr>
              <w:spacing w:after="0"/>
              <w:rPr>
                <w:sz w:val="15"/>
                <w:szCs w:val="15"/>
                <w:color w:val="auto"/>
              </w:rPr>
            </w:pPr>
          </w:p>
        </w:tc>
        <w:tc>
          <w:tcPr>
            <w:tcW w:w="1440" w:type="dxa"/>
            <w:vAlign w:val="bottom"/>
          </w:tcPr>
          <w:p>
            <w:pPr>
              <w:jc w:val="right"/>
              <w:ind w:right="172"/>
              <w:spacing w:after="0"/>
              <w:rPr>
                <w:sz w:val="20"/>
                <w:szCs w:val="20"/>
                <w:color w:val="auto"/>
              </w:rPr>
            </w:pPr>
            <w:r>
              <w:rPr>
                <w:rFonts w:ascii="Arial" w:cs="Arial" w:eastAsia="Arial" w:hAnsi="Arial"/>
                <w:sz w:val="14"/>
                <w:szCs w:val="14"/>
                <w:color w:val="auto"/>
              </w:rPr>
              <w:t>16</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42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Operating expenses:</w:t>
            </w: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181"/>
        </w:trPr>
        <w:tc>
          <w:tcPr>
            <w:tcW w:w="4260" w:type="dxa"/>
            <w:vAlign w:val="bottom"/>
          </w:tcPr>
          <w:p>
            <w:pPr>
              <w:ind w:left="620"/>
              <w:spacing w:after="0"/>
              <w:rPr>
                <w:sz w:val="20"/>
                <w:szCs w:val="20"/>
                <w:color w:val="auto"/>
              </w:rPr>
            </w:pPr>
            <w:r>
              <w:rPr>
                <w:rFonts w:ascii="Arial" w:cs="Arial" w:eastAsia="Arial" w:hAnsi="Arial"/>
                <w:sz w:val="14"/>
                <w:szCs w:val="14"/>
                <w:color w:val="auto"/>
              </w:rPr>
              <w:t>Cost of revenue</w:t>
            </w:r>
          </w:p>
        </w:tc>
        <w:tc>
          <w:tcPr>
            <w:tcW w:w="1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129,589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132,934</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(3,345)</w:t>
            </w:r>
          </w:p>
        </w:tc>
        <w:tc>
          <w:tcPr>
            <w:tcW w:w="100" w:type="dxa"/>
            <w:vAlign w:val="bottom"/>
          </w:tcPr>
          <w:p>
            <w:pPr>
              <w:spacing w:after="0"/>
              <w:rPr>
                <w:sz w:val="15"/>
                <w:szCs w:val="15"/>
                <w:color w:val="auto"/>
              </w:rPr>
            </w:pPr>
          </w:p>
        </w:tc>
        <w:tc>
          <w:tcPr>
            <w:tcW w:w="1440" w:type="dxa"/>
            <w:vAlign w:val="bottom"/>
          </w:tcPr>
          <w:p>
            <w:pPr>
              <w:jc w:val="right"/>
              <w:ind w:right="132"/>
              <w:spacing w:after="0"/>
              <w:rPr>
                <w:sz w:val="20"/>
                <w:szCs w:val="20"/>
                <w:color w:val="auto"/>
              </w:rPr>
            </w:pPr>
            <w:r>
              <w:rPr>
                <w:rFonts w:ascii="Arial" w:cs="Arial" w:eastAsia="Arial" w:hAnsi="Arial"/>
                <w:sz w:val="14"/>
                <w:szCs w:val="14"/>
                <w:color w:val="auto"/>
              </w:rPr>
              <w:t>(3)</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42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Sales and marketing</w:t>
            </w: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87,817</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78,217</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12</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4260" w:type="dxa"/>
            <w:vAlign w:val="bottom"/>
          </w:tcPr>
          <w:p>
            <w:pPr>
              <w:ind w:left="620"/>
              <w:spacing w:after="0"/>
              <w:rPr>
                <w:sz w:val="20"/>
                <w:szCs w:val="20"/>
                <w:color w:val="auto"/>
              </w:rPr>
            </w:pPr>
            <w:r>
              <w:rPr>
                <w:rFonts w:ascii="Arial" w:cs="Arial" w:eastAsia="Arial" w:hAnsi="Arial"/>
                <w:sz w:val="14"/>
                <w:szCs w:val="14"/>
                <w:color w:val="auto"/>
              </w:rPr>
              <w:t>Product development</w:t>
            </w:r>
          </w:p>
        </w:tc>
        <w:tc>
          <w:tcPr>
            <w:tcW w:w="1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22,724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25,554</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(2,830)</w:t>
            </w:r>
          </w:p>
        </w:tc>
        <w:tc>
          <w:tcPr>
            <w:tcW w:w="100" w:type="dxa"/>
            <w:vAlign w:val="bottom"/>
          </w:tcPr>
          <w:p>
            <w:pPr>
              <w:spacing w:after="0"/>
              <w:rPr>
                <w:sz w:val="15"/>
                <w:szCs w:val="15"/>
                <w:color w:val="auto"/>
              </w:rPr>
            </w:pPr>
          </w:p>
        </w:tc>
        <w:tc>
          <w:tcPr>
            <w:tcW w:w="1440" w:type="dxa"/>
            <w:vAlign w:val="bottom"/>
          </w:tcPr>
          <w:p>
            <w:pPr>
              <w:jc w:val="right"/>
              <w:ind w:right="132"/>
              <w:spacing w:after="0"/>
              <w:rPr>
                <w:sz w:val="20"/>
                <w:szCs w:val="20"/>
                <w:color w:val="auto"/>
              </w:rPr>
            </w:pPr>
            <w:r>
              <w:rPr>
                <w:rFonts w:ascii="Arial" w:cs="Arial" w:eastAsia="Arial" w:hAnsi="Arial"/>
                <w:sz w:val="14"/>
                <w:szCs w:val="14"/>
                <w:color w:val="auto"/>
              </w:rPr>
              <w:t>(11)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42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General and administrative</w:t>
            </w:r>
          </w:p>
        </w:tc>
        <w:tc>
          <w:tcPr>
            <w:tcW w:w="1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61,720</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55,484</w:t>
            </w:r>
          </w:p>
        </w:tc>
        <w:tc>
          <w:tcPr>
            <w:tcW w:w="12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6,236</w:t>
            </w:r>
          </w:p>
        </w:tc>
        <w:tc>
          <w:tcPr>
            <w:tcW w:w="100" w:type="dxa"/>
            <w:vAlign w:val="bottom"/>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rPr>
              <w:t>11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4260" w:type="dxa"/>
            <w:vAlign w:val="bottom"/>
            <w:tcBorders>
              <w:bottom w:val="single" w:sz="8" w:color="CCEEFF"/>
            </w:tcBorders>
          </w:tcPr>
          <w:p>
            <w:pPr>
              <w:ind w:left="800"/>
              <w:spacing w:after="0" w:line="158" w:lineRule="exact"/>
              <w:rPr>
                <w:sz w:val="20"/>
                <w:szCs w:val="20"/>
                <w:color w:val="auto"/>
              </w:rPr>
            </w:pPr>
            <w:r>
              <w:rPr>
                <w:rFonts w:ascii="Arial" w:cs="Arial" w:eastAsia="Arial" w:hAnsi="Arial"/>
                <w:sz w:val="14"/>
                <w:szCs w:val="14"/>
                <w:color w:val="auto"/>
              </w:rPr>
              <w:t>Total operating expenses</w:t>
            </w:r>
          </w:p>
        </w:tc>
        <w:tc>
          <w:tcPr>
            <w:tcW w:w="1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301,850</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292,189</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9,661</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8"/>
        </w:trPr>
        <w:tc>
          <w:tcPr>
            <w:tcW w:w="42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from operations</w:t>
            </w: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71,343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28,326</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43,017</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152</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42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 (expense) / income, net</w:t>
            </w:r>
          </w:p>
        </w:tc>
        <w:tc>
          <w:tcPr>
            <w:tcW w:w="1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(1,801)</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8"/>
        </w:trPr>
        <w:tc>
          <w:tcPr>
            <w:tcW w:w="42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before income taxes</w:t>
            </w: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70,204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28,988</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41,216</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142</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42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Provision for income taxes</w:t>
            </w:r>
          </w:p>
        </w:tc>
        <w:tc>
          <w:tcPr>
            <w:tcW w:w="1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11,236</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5,683</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5,553</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98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42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Net income</w:t>
            </w:r>
          </w:p>
        </w:tc>
        <w:tc>
          <w:tcPr>
            <w:tcW w:w="114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58,968</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23,305</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35,663</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rPr>
              <w:t>153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______________________________________</w:t>
      </w:r>
    </w:p>
    <w:p>
      <w:pPr>
        <w:spacing w:after="0" w:line="98" w:lineRule="exact"/>
        <w:rPr>
          <w:sz w:val="20"/>
          <w:szCs w:val="20"/>
          <w:color w:val="auto"/>
        </w:rPr>
      </w:pPr>
    </w:p>
    <w:p>
      <w:pPr>
        <w:ind w:left="340"/>
        <w:spacing w:after="0"/>
        <w:tabs>
          <w:tab w:leader="none" w:pos="50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Not meaningful</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103" w:lineRule="exact"/>
        <w:rPr>
          <w:sz w:val="20"/>
          <w:szCs w:val="20"/>
          <w:color w:val="auto"/>
        </w:rPr>
      </w:pPr>
    </w:p>
    <w:p>
      <w:pPr>
        <w:ind w:right="460" w:firstLine="345"/>
        <w:spacing w:after="0" w:line="286" w:lineRule="auto"/>
        <w:rPr>
          <w:sz w:val="20"/>
          <w:szCs w:val="20"/>
          <w:color w:val="auto"/>
        </w:rPr>
      </w:pPr>
      <w:r>
        <w:rPr>
          <w:rFonts w:ascii="Arial" w:cs="Arial" w:eastAsia="Arial" w:hAnsi="Arial"/>
          <w:sz w:val="15"/>
          <w:szCs w:val="15"/>
          <w:color w:val="auto"/>
        </w:rPr>
        <w:t>Revenue increased by $52.7 million, or 16%, to $373.2 million in the six months ended June 30, 2021 compared to the same period in 2020. On a constant currency basis, revenue increased approximately 13% in the six months ended June 30, 2021, compared to the same period in 2020.</w:t>
      </w:r>
    </w:p>
    <w:p>
      <w:pPr>
        <w:spacing w:after="0" w:line="72" w:lineRule="exact"/>
        <w:rPr>
          <w:sz w:val="20"/>
          <w:szCs w:val="20"/>
          <w:color w:val="auto"/>
        </w:rPr>
      </w:pPr>
    </w:p>
    <w:p>
      <w:pPr>
        <w:ind w:right="40" w:firstLine="345"/>
        <w:spacing w:after="0" w:line="266" w:lineRule="auto"/>
        <w:rPr>
          <w:sz w:val="20"/>
          <w:szCs w:val="20"/>
          <w:color w:val="auto"/>
        </w:rPr>
      </w:pPr>
      <w:r>
        <w:rPr>
          <w:rFonts w:ascii="Arial" w:cs="Arial" w:eastAsia="Arial" w:hAnsi="Arial"/>
          <w:sz w:val="15"/>
          <w:szCs w:val="15"/>
          <w:color w:val="auto"/>
        </w:rPr>
        <w:t>The Company’s E-commerce revenues increased by 21%, to $239.1 million in the six months ended June 30, 2021, compared to the same period in 2020. On a constant currency basis, the Company’s E-commerce revenues increased by 18% in the six months ended June 30, 2021, compared to the same period in 2020. During the six months ended June 30, 2021, growth in our E-commerce sales channel was primarily driven by increased subscriber revenue. E-commerce revenues also benefited from our acquisition of TurboSquid on February 1, 2021.</w:t>
      </w:r>
    </w:p>
    <w:p>
      <w:pPr>
        <w:spacing w:after="0" w:line="97" w:lineRule="exact"/>
        <w:rPr>
          <w:sz w:val="20"/>
          <w:szCs w:val="20"/>
          <w:color w:val="auto"/>
        </w:rPr>
      </w:pPr>
    </w:p>
    <w:p>
      <w:pPr>
        <w:ind w:right="40" w:firstLine="345"/>
        <w:spacing w:after="0" w:line="290" w:lineRule="auto"/>
        <w:rPr>
          <w:sz w:val="20"/>
          <w:szCs w:val="20"/>
          <w:color w:val="auto"/>
        </w:rPr>
      </w:pPr>
      <w:r>
        <w:rPr>
          <w:rFonts w:ascii="Arial" w:cs="Arial" w:eastAsia="Arial" w:hAnsi="Arial"/>
          <w:sz w:val="14"/>
          <w:szCs w:val="14"/>
          <w:color w:val="auto"/>
        </w:rPr>
        <w:t>The Company’s Enterprise revenues increased by 9%, to $134.1 million in the six months ended June 30, 2021, compared to the same period in 2020. On a constant currency basis, the Company’s Enterprise revenues increased by 6% in the six months ended June 30, 2021, compared to the same period in 2020. The Company has continued to execute on its strategy to respond to market trends including making updates to product offerings and continuously improving our platform. We believe these enhancements impacted our Enterprise sales operations during the period and were one of the drivers of the increased deferred revenue balance as of June 30, 2021.</w:t>
      </w:r>
    </w:p>
    <w:p>
      <w:pPr>
        <w:spacing w:after="0" w:line="49" w:lineRule="exact"/>
        <w:rPr>
          <w:sz w:val="20"/>
          <w:szCs w:val="20"/>
          <w:color w:val="auto"/>
        </w:rPr>
      </w:pPr>
    </w:p>
    <w:p>
      <w:pPr>
        <w:ind w:right="200" w:firstLine="345"/>
        <w:spacing w:after="0" w:line="271" w:lineRule="auto"/>
        <w:rPr>
          <w:sz w:val="20"/>
          <w:szCs w:val="20"/>
          <w:color w:val="auto"/>
        </w:rPr>
      </w:pPr>
      <w:r>
        <w:rPr>
          <w:rFonts w:ascii="Arial" w:cs="Arial" w:eastAsia="Arial" w:hAnsi="Arial"/>
          <w:sz w:val="15"/>
          <w:szCs w:val="15"/>
          <w:color w:val="auto"/>
        </w:rPr>
        <w:t>In the six months ended June 30, 2021 and 2020, we delivered 90.7 million and 90.8 million paid downloads, respectively, and our revenue per download was $4.07 and $3.51 for the six months ended June 30, 2021 and 2020, respectively. During the six months ended June 30, 2021, the increase in revenue per download was primarily due to changes in product mix.</w:t>
      </w:r>
    </w:p>
    <w:p>
      <w:pPr>
        <w:spacing w:after="0" w:line="59" w:lineRule="exact"/>
        <w:rPr>
          <w:sz w:val="20"/>
          <w:szCs w:val="20"/>
          <w:color w:val="auto"/>
        </w:rPr>
      </w:pPr>
    </w:p>
    <w:p>
      <w:pPr>
        <w:jc w:val="both"/>
        <w:ind w:right="60" w:firstLine="345"/>
        <w:spacing w:after="0" w:line="271" w:lineRule="auto"/>
        <w:rPr>
          <w:sz w:val="20"/>
          <w:szCs w:val="20"/>
          <w:color w:val="auto"/>
        </w:rPr>
      </w:pPr>
      <w:r>
        <w:rPr>
          <w:rFonts w:ascii="Arial" w:cs="Arial" w:eastAsia="Arial" w:hAnsi="Arial"/>
          <w:sz w:val="15"/>
          <w:szCs w:val="15"/>
          <w:color w:val="auto"/>
        </w:rPr>
        <w:t>Changes in our revenue by region were as follows: revenue from North America increased by $20.0 million, or 18%, to $133.3 million, revenue from Europe increased by $21.1 million, or 20%, to $127.1 million and revenue from outside Europe and North America increased by $11.6 million, or 11%, to $112.9 million, in the six months ended June 30, 2021 compared to the same period in 2020.</w:t>
      </w:r>
    </w:p>
    <w:p>
      <w:pPr>
        <w:spacing w:after="0" w:line="200" w:lineRule="exact"/>
        <w:rPr>
          <w:sz w:val="20"/>
          <w:szCs w:val="20"/>
          <w:color w:val="auto"/>
        </w:rPr>
      </w:pPr>
    </w:p>
    <w:p>
      <w:pPr>
        <w:spacing w:after="0" w:line="273"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8" w:name="page29"/>
    <w:bookmarkEnd w:id="28"/>
    <w:p>
      <w:pPr>
        <w:ind w:left="348"/>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Costs and Expenses</w:t>
      </w:r>
    </w:p>
    <w:p>
      <w:pPr>
        <w:spacing w:after="0" w:line="103" w:lineRule="exact"/>
        <w:rPr>
          <w:sz w:val="20"/>
          <w:szCs w:val="20"/>
          <w:color w:val="auto"/>
        </w:rPr>
      </w:pPr>
    </w:p>
    <w:p>
      <w:pPr>
        <w:ind w:left="8" w:right="60" w:firstLine="345"/>
        <w:spacing w:after="0" w:line="290" w:lineRule="auto"/>
        <w:rPr>
          <w:sz w:val="20"/>
          <w:szCs w:val="20"/>
          <w:color w:val="auto"/>
        </w:rPr>
      </w:pPr>
      <w:r>
        <w:rPr>
          <w:rFonts w:ascii="Arial" w:cs="Arial" w:eastAsia="Arial" w:hAnsi="Arial"/>
          <w:sz w:val="14"/>
          <w:szCs w:val="14"/>
          <w:i w:val="1"/>
          <w:iCs w:val="1"/>
          <w:color w:val="auto"/>
        </w:rPr>
        <w:t xml:space="preserve">Cost of Revenue. </w:t>
      </w:r>
      <w:r>
        <w:rPr>
          <w:rFonts w:ascii="Arial" w:cs="Arial" w:eastAsia="Arial" w:hAnsi="Arial"/>
          <w:sz w:val="14"/>
          <w:szCs w:val="14"/>
          <w:color w:val="auto"/>
        </w:rPr>
        <w:t>Cost of revenue decreased by $3.3 million, or 3%, to $129.6 million in the six months ended June 30, 2021 compared to the same period in 2020, due to lower</w:t>
      </w:r>
      <w:r>
        <w:rPr>
          <w:rFonts w:ascii="Arial" w:cs="Arial" w:eastAsia="Arial" w:hAnsi="Arial"/>
          <w:sz w:val="14"/>
          <w:szCs w:val="14"/>
          <w:i w:val="1"/>
          <w:iCs w:val="1"/>
          <w:color w:val="auto"/>
        </w:rPr>
        <w:t xml:space="preserve"> </w:t>
      </w:r>
      <w:r>
        <w:rPr>
          <w:rFonts w:ascii="Arial" w:cs="Arial" w:eastAsia="Arial" w:hAnsi="Arial"/>
          <w:sz w:val="14"/>
          <w:szCs w:val="14"/>
          <w:color w:val="auto"/>
        </w:rPr>
        <w:t>royalty expense, content procurement costs and depreciation and amortization expense, partially offset by increased credit card fees. In addition, for the six months ended June 30, 2020, cost of revenue includes severance charges of $1.2 million. The reduction in royalty expense was driven by a change in product mix as well as a modification in the way we compensate contributors. We expect that our cost of revenue will continue to fluctuate in line with changes in revenue and paid downloads.</w:t>
      </w:r>
    </w:p>
    <w:p>
      <w:pPr>
        <w:spacing w:after="0" w:line="49" w:lineRule="exact"/>
        <w:rPr>
          <w:sz w:val="20"/>
          <w:szCs w:val="20"/>
          <w:color w:val="auto"/>
        </w:rPr>
      </w:pPr>
    </w:p>
    <w:p>
      <w:pPr>
        <w:ind w:left="8" w:right="80" w:firstLine="345"/>
        <w:spacing w:after="0" w:line="300" w:lineRule="auto"/>
        <w:rPr>
          <w:sz w:val="20"/>
          <w:szCs w:val="20"/>
          <w:color w:val="auto"/>
        </w:rPr>
      </w:pPr>
      <w:r>
        <w:rPr>
          <w:rFonts w:ascii="Arial" w:cs="Arial" w:eastAsia="Arial" w:hAnsi="Arial"/>
          <w:sz w:val="13"/>
          <w:szCs w:val="13"/>
          <w:i w:val="1"/>
          <w:iCs w:val="1"/>
          <w:color w:val="auto"/>
        </w:rPr>
        <w:t xml:space="preserve">Sales and Marketing. </w:t>
      </w:r>
      <w:r>
        <w:rPr>
          <w:rFonts w:ascii="Arial" w:cs="Arial" w:eastAsia="Arial" w:hAnsi="Arial"/>
          <w:sz w:val="13"/>
          <w:szCs w:val="13"/>
          <w:color w:val="auto"/>
        </w:rPr>
        <w:t>Sales and marketing expenses increased by $9.6 million, or 12%, to $87.8 million in the six months ended June 30, 2021 compared to the same period in</w:t>
      </w:r>
      <w:r>
        <w:rPr>
          <w:rFonts w:ascii="Arial" w:cs="Arial" w:eastAsia="Arial" w:hAnsi="Arial"/>
          <w:sz w:val="13"/>
          <w:szCs w:val="13"/>
          <w:i w:val="1"/>
          <w:iCs w:val="1"/>
          <w:color w:val="auto"/>
        </w:rPr>
        <w:t xml:space="preserve"> </w:t>
      </w:r>
      <w:r>
        <w:rPr>
          <w:rFonts w:ascii="Arial" w:cs="Arial" w:eastAsia="Arial" w:hAnsi="Arial"/>
          <w:sz w:val="13"/>
          <w:szCs w:val="13"/>
          <w:color w:val="auto"/>
        </w:rPr>
        <w:t>2020. As a percent of revenue, sales and marketing expenses remained flat at 24% for the six months ended June 30, 2021, compared to the same period in 2020. The increase in sales and marketing expenses was primarily driven by (i) $5.3 million in higher employee-related costs, primarily related to commissions associated with increased enterprise billings, and</w:t>
      </w:r>
    </w:p>
    <w:p>
      <w:pPr>
        <w:spacing w:after="0" w:line="2" w:lineRule="exact"/>
        <w:rPr>
          <w:sz w:val="20"/>
          <w:szCs w:val="20"/>
          <w:color w:val="auto"/>
        </w:rPr>
      </w:pPr>
    </w:p>
    <w:p>
      <w:pPr>
        <w:ind w:left="8" w:right="180" w:hanging="8"/>
        <w:spacing w:after="0" w:line="271" w:lineRule="auto"/>
        <w:tabs>
          <w:tab w:leader="none" w:pos="233" w:val="left"/>
        </w:tabs>
        <w:numPr>
          <w:ilvl w:val="0"/>
          <w:numId w:val="9"/>
        </w:numPr>
        <w:rPr>
          <w:rFonts w:ascii="Arial" w:cs="Arial" w:eastAsia="Arial" w:hAnsi="Arial"/>
          <w:sz w:val="15"/>
          <w:szCs w:val="15"/>
          <w:color w:val="auto"/>
        </w:rPr>
      </w:pPr>
      <w:r>
        <w:rPr>
          <w:rFonts w:ascii="Arial" w:cs="Arial" w:eastAsia="Arial" w:hAnsi="Arial"/>
          <w:sz w:val="15"/>
          <w:szCs w:val="15"/>
          <w:color w:val="auto"/>
        </w:rPr>
        <w:t>$4.0 million in higher marketing spend. In addition, for the six months ended June 30, 2020, sales and marketing includes severance charges of $1.6 million. We expect sales and marketing expenses to continue to fluctuate as we optimize our sales channels and invest in new customer acquisition, products and geographies.</w:t>
      </w:r>
    </w:p>
    <w:p>
      <w:pPr>
        <w:spacing w:after="0" w:line="60" w:lineRule="exact"/>
        <w:rPr>
          <w:sz w:val="20"/>
          <w:szCs w:val="20"/>
          <w:color w:val="auto"/>
        </w:rPr>
      </w:pPr>
    </w:p>
    <w:p>
      <w:pPr>
        <w:ind w:left="8" w:right="100" w:firstLine="345"/>
        <w:spacing w:after="0" w:line="286" w:lineRule="auto"/>
        <w:rPr>
          <w:sz w:val="20"/>
          <w:szCs w:val="20"/>
          <w:color w:val="auto"/>
        </w:rPr>
      </w:pPr>
      <w:r>
        <w:rPr>
          <w:rFonts w:ascii="Arial" w:cs="Arial" w:eastAsia="Arial" w:hAnsi="Arial"/>
          <w:sz w:val="14"/>
          <w:szCs w:val="14"/>
          <w:i w:val="1"/>
          <w:iCs w:val="1"/>
          <w:color w:val="auto"/>
        </w:rPr>
        <w:t xml:space="preserve">Product Development. </w:t>
      </w:r>
      <w:r>
        <w:rPr>
          <w:rFonts w:ascii="Arial" w:cs="Arial" w:eastAsia="Arial" w:hAnsi="Arial"/>
          <w:sz w:val="14"/>
          <w:szCs w:val="14"/>
          <w:color w:val="auto"/>
        </w:rPr>
        <w:t>Product development expenses decreased by $2.8 million, or 11%, to $22.7 million in the six months ended June 30, 2021 as compared to $25.6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for the same period in 2020. This decrease was primarily driven by (i) lower employee and third-party contractor related costs, net of capitalized labor, and (ii) a reduction in software and other IT-related costs, for the six months ended June 30, 2021, as compared to the same period in the prior year. These declines were partially offset by higher non-cash compensation expense, attributable to certain performance-based awards.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52" w:lineRule="exact"/>
        <w:rPr>
          <w:sz w:val="20"/>
          <w:szCs w:val="20"/>
          <w:color w:val="auto"/>
        </w:rPr>
      </w:pPr>
    </w:p>
    <w:p>
      <w:pPr>
        <w:ind w:left="8" w:right="220" w:firstLine="345"/>
        <w:spacing w:after="0" w:line="266" w:lineRule="auto"/>
        <w:rPr>
          <w:sz w:val="20"/>
          <w:szCs w:val="20"/>
          <w:color w:val="auto"/>
        </w:rPr>
      </w:pPr>
      <w:r>
        <w:rPr>
          <w:rFonts w:ascii="Arial" w:cs="Arial" w:eastAsia="Arial" w:hAnsi="Arial"/>
          <w:sz w:val="15"/>
          <w:szCs w:val="15"/>
          <w:i w:val="1"/>
          <w:iCs w:val="1"/>
          <w:color w:val="auto"/>
        </w:rPr>
        <w:t xml:space="preserve">General and Administrative. </w:t>
      </w:r>
      <w:r>
        <w:rPr>
          <w:rFonts w:ascii="Arial" w:cs="Arial" w:eastAsia="Arial" w:hAnsi="Arial"/>
          <w:sz w:val="15"/>
          <w:szCs w:val="15"/>
          <w:color w:val="auto"/>
        </w:rPr>
        <w:t>General and administrative expenses increased by $6.2 million, or 11%, to $61.7 million in the six months ended June 30, 2021 compared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same period in 2020. This increase was primarily driven by: (i) $6.8 million in higher non-cash compensation expense, attributable to certain performance-based awards, and (ii) $1.7 million in higher professional fees, primarily associated with transaction costs associated with our acquisition of TurboSquid. These increases were partially offset by a $0.9 million decline in bad debt expense, and other reductions associated with ongoing vendor management initiatives.</w:t>
      </w:r>
    </w:p>
    <w:p>
      <w:pPr>
        <w:spacing w:after="0" w:line="63" w:lineRule="exact"/>
        <w:rPr>
          <w:sz w:val="20"/>
          <w:szCs w:val="20"/>
          <w:color w:val="auto"/>
        </w:rPr>
      </w:pPr>
    </w:p>
    <w:p>
      <w:pPr>
        <w:ind w:left="8" w:right="100" w:firstLine="345"/>
        <w:spacing w:after="0" w:line="286" w:lineRule="auto"/>
        <w:rPr>
          <w:sz w:val="20"/>
          <w:szCs w:val="20"/>
          <w:color w:val="auto"/>
        </w:rPr>
      </w:pPr>
      <w:r>
        <w:rPr>
          <w:rFonts w:ascii="Arial" w:cs="Arial" w:eastAsia="Arial" w:hAnsi="Arial"/>
          <w:sz w:val="15"/>
          <w:szCs w:val="15"/>
          <w:i w:val="1"/>
          <w:iCs w:val="1"/>
          <w:color w:val="auto"/>
        </w:rPr>
        <w:t xml:space="preserve">Other Income / (Expense), Net. </w:t>
      </w:r>
      <w:r>
        <w:rPr>
          <w:rFonts w:ascii="Arial" w:cs="Arial" w:eastAsia="Arial" w:hAnsi="Arial"/>
          <w:sz w:val="15"/>
          <w:szCs w:val="15"/>
          <w:color w:val="auto"/>
        </w:rPr>
        <w:t>During the six months ended June 30, 2021, other income / (expense), net substantially consisted of $1.2 million of unfavorable foreign currency</w:t>
      </w:r>
      <w:r>
        <w:rPr>
          <w:rFonts w:ascii="Arial" w:cs="Arial" w:eastAsia="Arial" w:hAnsi="Arial"/>
          <w:sz w:val="15"/>
          <w:szCs w:val="15"/>
          <w:i w:val="1"/>
          <w:iCs w:val="1"/>
          <w:color w:val="auto"/>
        </w:rPr>
        <w:t xml:space="preserve"> </w:t>
      </w:r>
      <w:r>
        <w:rPr>
          <w:rFonts w:ascii="Arial" w:cs="Arial" w:eastAsia="Arial" w:hAnsi="Arial"/>
          <w:sz w:val="15"/>
          <w:szCs w:val="15"/>
          <w:color w:val="auto"/>
        </w:rPr>
        <w:t>fluctuations.</w:t>
      </w:r>
    </w:p>
    <w:p>
      <w:pPr>
        <w:spacing w:after="0" w:line="49" w:lineRule="exact"/>
        <w:rPr>
          <w:sz w:val="20"/>
          <w:szCs w:val="20"/>
          <w:color w:val="auto"/>
        </w:rPr>
      </w:pPr>
    </w:p>
    <w:p>
      <w:pPr>
        <w:ind w:left="8" w:firstLine="345"/>
        <w:spacing w:after="0" w:line="271" w:lineRule="auto"/>
        <w:rPr>
          <w:sz w:val="20"/>
          <w:szCs w:val="20"/>
          <w:color w:val="auto"/>
        </w:rPr>
      </w:pPr>
      <w:r>
        <w:rPr>
          <w:rFonts w:ascii="Arial" w:cs="Arial" w:eastAsia="Arial" w:hAnsi="Arial"/>
          <w:sz w:val="15"/>
          <w:szCs w:val="15"/>
          <w:color w:val="auto"/>
        </w:rPr>
        <w:t>During the six months ended June 30, 2020, approximately $1.1 million of other income / (expense), net consisted of interest income which was partially offset by $0.5 million of unfavorable foreign currency fluctuations. As we increase the volume of business transacted in foreign currencies resulting from international expansion and as currency rates fluctuate, we expect foreign currency gains and losses to continue to fluctuate.</w:t>
      </w:r>
    </w:p>
    <w:p>
      <w:pPr>
        <w:spacing w:after="0" w:line="59" w:lineRule="exact"/>
        <w:rPr>
          <w:sz w:val="20"/>
          <w:szCs w:val="20"/>
          <w:color w:val="auto"/>
        </w:rPr>
      </w:pPr>
    </w:p>
    <w:p>
      <w:pPr>
        <w:ind w:left="8" w:right="100" w:firstLine="345"/>
        <w:spacing w:after="0" w:line="286" w:lineRule="auto"/>
        <w:rPr>
          <w:sz w:val="20"/>
          <w:szCs w:val="20"/>
          <w:color w:val="auto"/>
        </w:rPr>
      </w:pPr>
      <w:r>
        <w:rPr>
          <w:rFonts w:ascii="Arial" w:cs="Arial" w:eastAsia="Arial" w:hAnsi="Arial"/>
          <w:sz w:val="15"/>
          <w:szCs w:val="15"/>
          <w:i w:val="1"/>
          <w:iCs w:val="1"/>
          <w:color w:val="auto"/>
        </w:rPr>
        <w:t xml:space="preserve">Income Taxes. </w:t>
      </w:r>
      <w:r>
        <w:rPr>
          <w:rFonts w:ascii="Arial" w:cs="Arial" w:eastAsia="Arial" w:hAnsi="Arial"/>
          <w:sz w:val="15"/>
          <w:szCs w:val="15"/>
          <w:color w:val="auto"/>
        </w:rPr>
        <w:t>Income tax expense increased by $5.6 million for the six months ended June 30, 2021 as compared to the same period in 2020. Our effective tax rates for the six</w:t>
      </w:r>
      <w:r>
        <w:rPr>
          <w:rFonts w:ascii="Arial" w:cs="Arial" w:eastAsia="Arial" w:hAnsi="Arial"/>
          <w:sz w:val="15"/>
          <w:szCs w:val="15"/>
          <w:i w:val="1"/>
          <w:iCs w:val="1"/>
          <w:color w:val="auto"/>
        </w:rPr>
        <w:t xml:space="preserve"> </w:t>
      </w:r>
      <w:r>
        <w:rPr>
          <w:rFonts w:ascii="Arial" w:cs="Arial" w:eastAsia="Arial" w:hAnsi="Arial"/>
          <w:sz w:val="15"/>
          <w:szCs w:val="15"/>
          <w:color w:val="auto"/>
        </w:rPr>
        <w:t>months ended June 30, 2021 and 2020 were 16.0% and 19.6%, respectively.</w:t>
      </w:r>
    </w:p>
    <w:p>
      <w:pPr>
        <w:spacing w:after="0" w:line="49" w:lineRule="exact"/>
        <w:rPr>
          <w:sz w:val="20"/>
          <w:szCs w:val="20"/>
          <w:color w:val="auto"/>
        </w:rPr>
      </w:pPr>
    </w:p>
    <w:p>
      <w:pPr>
        <w:ind w:left="8" w:right="40" w:firstLine="345"/>
        <w:spacing w:after="0" w:line="286" w:lineRule="auto"/>
        <w:rPr>
          <w:sz w:val="20"/>
          <w:szCs w:val="20"/>
          <w:color w:val="auto"/>
        </w:rPr>
      </w:pPr>
      <w:r>
        <w:rPr>
          <w:rFonts w:ascii="Arial" w:cs="Arial" w:eastAsia="Arial" w:hAnsi="Arial"/>
          <w:sz w:val="15"/>
          <w:szCs w:val="15"/>
          <w:color w:val="auto"/>
        </w:rPr>
        <w:t>For the six months ended June 30, 2021, the effective tax rate decreased by 4.0% related primarily to windfall tax benefits associated with equity-based compensation. Excluding discrete items, our effective tax rate would have been 20.0% for the six months ended June 30, 2021.</w:t>
      </w:r>
    </w:p>
    <w:p>
      <w:pPr>
        <w:spacing w:after="0" w:line="49" w:lineRule="exact"/>
        <w:rPr>
          <w:sz w:val="20"/>
          <w:szCs w:val="20"/>
          <w:color w:val="auto"/>
        </w:rPr>
      </w:pPr>
    </w:p>
    <w:p>
      <w:pPr>
        <w:ind w:left="8" w:right="100" w:firstLine="345"/>
        <w:spacing w:after="0" w:line="286" w:lineRule="auto"/>
        <w:rPr>
          <w:sz w:val="20"/>
          <w:szCs w:val="20"/>
          <w:color w:val="auto"/>
        </w:rPr>
      </w:pPr>
      <w:r>
        <w:rPr>
          <w:rFonts w:ascii="Arial" w:cs="Arial" w:eastAsia="Arial" w:hAnsi="Arial"/>
          <w:sz w:val="15"/>
          <w:szCs w:val="15"/>
          <w:color w:val="auto"/>
        </w:rPr>
        <w:t>For the six months ended June 30, 2020, the effective tax rate increased by 1.6% as a result of a loss jurisdiction with no tax benefit. Discrete item further increased the effective tax rate by 1.4%. Excluding these items, our effective tax rate would have been 16.6% for the six months ended June 30, 2020.</w:t>
      </w:r>
    </w:p>
    <w:p>
      <w:pPr>
        <w:spacing w:after="0" w:line="49" w:lineRule="exact"/>
        <w:rPr>
          <w:sz w:val="20"/>
          <w:szCs w:val="20"/>
          <w:color w:val="auto"/>
        </w:rPr>
      </w:pPr>
    </w:p>
    <w:p>
      <w:pPr>
        <w:ind w:left="8" w:right="80" w:firstLine="345"/>
        <w:spacing w:after="0" w:line="286" w:lineRule="auto"/>
        <w:rPr>
          <w:sz w:val="20"/>
          <w:szCs w:val="20"/>
          <w:color w:val="auto"/>
        </w:rPr>
      </w:pPr>
      <w:r>
        <w:rPr>
          <w:rFonts w:ascii="Arial" w:cs="Arial" w:eastAsia="Arial" w:hAnsi="Arial"/>
          <w:sz w:val="15"/>
          <w:szCs w:val="15"/>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28"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118110</wp:posOffset>
            </wp:positionV>
            <wp:extent cx="717804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9" w:right="319" w:bottom="1440" w:gutter="0" w:footer="0" w:header="0"/>
        </w:sectPr>
      </w:pPr>
    </w:p>
    <w:bookmarkStart w:id="29" w:name="page30"/>
    <w:bookmarkEnd w:id="29"/>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Quarterly Trends</w:t>
      </w:r>
    </w:p>
    <w:p>
      <w:pPr>
        <w:spacing w:after="0" w:line="138" w:lineRule="exact"/>
        <w:rPr>
          <w:sz w:val="20"/>
          <w:szCs w:val="20"/>
          <w:color w:val="auto"/>
        </w:rPr>
      </w:pPr>
    </w:p>
    <w:p>
      <w:pPr>
        <w:ind w:right="40" w:firstLine="345"/>
        <w:spacing w:after="0" w:line="313" w:lineRule="auto"/>
        <w:rPr>
          <w:sz w:val="20"/>
          <w:szCs w:val="20"/>
          <w:color w:val="auto"/>
        </w:rPr>
      </w:pPr>
      <w:r>
        <w:rPr>
          <w:rFonts w:ascii="Arial" w:cs="Arial" w:eastAsia="Arial" w:hAnsi="Arial"/>
          <w:sz w:val="13"/>
          <w:szCs w:val="13"/>
          <w:color w:val="auto"/>
        </w:rPr>
        <w:t>Our operating results may fluctuate from quarter to quarter as a result of a variety of factors, including the effects of some seasonal trends in customer behavior. For example, we expect that certain customers’ usage may decrease at times during the third quarter of each calendar year due to the summer vacation season and may increase at times during the fourth quarter of each calendar year as demand is generally higher to support marketing campaigns in advance of the fourth quarter holiday season. While we believe seasonal trends have affected and will continue to affect our quarterly results, our growth trajectory may have overshadowed these effects to date. Additionally, because a significant portion of our revenue is derived from repeat customers who have purchased subscription plans, our revenues have historically been less volatile than if we had no subscription-based customers.</w:t>
      </w:r>
    </w:p>
    <w:p>
      <w:pPr>
        <w:spacing w:after="0" w:line="60" w:lineRule="exact"/>
        <w:rPr>
          <w:sz w:val="20"/>
          <w:szCs w:val="20"/>
          <w:color w:val="auto"/>
        </w:rPr>
      </w:pPr>
    </w:p>
    <w:p>
      <w:pPr>
        <w:ind w:right="340" w:firstLine="345"/>
        <w:spacing w:after="0" w:line="271" w:lineRule="auto"/>
        <w:rPr>
          <w:sz w:val="20"/>
          <w:szCs w:val="20"/>
          <w:color w:val="auto"/>
        </w:rPr>
      </w:pPr>
      <w:r>
        <w:rPr>
          <w:rFonts w:ascii="Arial" w:cs="Arial" w:eastAsia="Arial" w:hAnsi="Arial"/>
          <w:sz w:val="15"/>
          <w:szCs w:val="15"/>
          <w:color w:val="auto"/>
        </w:rPr>
        <w:t>In addition, expenditures on content by customers tend to be discretionary in nature, reflecting overall economic conditions, the economic prospects of specific industries, budgeting constraints, buying patterns and a variety of other factors, many of which are outside our control, including any impacts from COVID-19. As a result of these and other factors, the results of any prior quarterly or annual periods should not be relied upon as indicators of our future operating performance.</w:t>
      </w:r>
    </w:p>
    <w:p>
      <w:pPr>
        <w:spacing w:after="0" w:line="94" w:lineRule="exact"/>
        <w:rPr>
          <w:sz w:val="20"/>
          <w:szCs w:val="20"/>
          <w:color w:val="auto"/>
        </w:rPr>
      </w:pPr>
    </w:p>
    <w:p>
      <w:pPr>
        <w:ind w:right="80" w:firstLine="345"/>
        <w:spacing w:after="0" w:line="271" w:lineRule="auto"/>
        <w:rPr>
          <w:sz w:val="20"/>
          <w:szCs w:val="20"/>
          <w:color w:val="auto"/>
        </w:rPr>
      </w:pPr>
      <w:r>
        <w:rPr>
          <w:rFonts w:ascii="Arial" w:cs="Arial" w:eastAsia="Arial" w:hAnsi="Arial"/>
          <w:sz w:val="15"/>
          <w:szCs w:val="15"/>
          <w:color w:val="auto"/>
        </w:rPr>
        <w:t>See “Risks Related to the Coronavirus (COVID-19) Pandemic, The effect of the COVID-19 pandemic on our operations, and the operations of our customers, partners and suppliers, could have a material adverse effect on our business, financial condition, cash flows and results of operations” in Part I, Item 1A, “Risk Factors” in our 2020 Form 10-K for further discussion of the possible impact of the COVID-19 pandemic on our business.</w:t>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07" w:lineRule="exact"/>
        <w:rPr>
          <w:sz w:val="20"/>
          <w:szCs w:val="20"/>
          <w:color w:val="auto"/>
        </w:rPr>
      </w:pPr>
    </w:p>
    <w:p>
      <w:pPr>
        <w:ind w:right="240" w:firstLine="345"/>
        <w:spacing w:after="0" w:line="286" w:lineRule="auto"/>
        <w:rPr>
          <w:sz w:val="20"/>
          <w:szCs w:val="20"/>
          <w:color w:val="auto"/>
        </w:rPr>
      </w:pPr>
      <w:r>
        <w:rPr>
          <w:rFonts w:ascii="Arial" w:cs="Arial" w:eastAsia="Arial" w:hAnsi="Arial"/>
          <w:sz w:val="15"/>
          <w:szCs w:val="15"/>
          <w:color w:val="auto"/>
        </w:rPr>
        <w:t>As of June 30, 2021, we had cash and cash equivalents totaling $411.0 million which primarily consisted of bank balances and money market funds. Since inception, we have financed our operations primarily through cash flows generated from operations.</w:t>
      </w:r>
    </w:p>
    <w:p>
      <w:pPr>
        <w:spacing w:after="0" w:line="49" w:lineRule="exact"/>
        <w:rPr>
          <w:sz w:val="20"/>
          <w:szCs w:val="20"/>
          <w:color w:val="auto"/>
        </w:rPr>
      </w:pPr>
    </w:p>
    <w:p>
      <w:pPr>
        <w:ind w:right="140" w:firstLine="345"/>
        <w:spacing w:after="0" w:line="331" w:lineRule="auto"/>
        <w:rPr>
          <w:sz w:val="20"/>
          <w:szCs w:val="20"/>
          <w:color w:val="auto"/>
        </w:rPr>
      </w:pPr>
      <w:r>
        <w:rPr>
          <w:rFonts w:ascii="Arial" w:cs="Arial" w:eastAsia="Arial" w:hAnsi="Arial"/>
          <w:sz w:val="13"/>
          <w:szCs w:val="13"/>
          <w:color w:val="auto"/>
        </w:rPr>
        <w:t>Historically, our principal uses of cash have included funding our operations, capital expenditures, content acquisitions, business combinations that enhance our strategic position, cash dividend payments and share purchases under our share repurchase program. We plan to finance our operations and capital expenses largely through cash generated by our operations. Since our results of operations are sensitive to the level of competition we face, increased competition could adversely affect our liquidity and capital resources.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Dividends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We declared and paid cash dividends of $0.42 per share of common stock, or $15.3 million during the six months ended June 30, 2021.</w:t>
      </w:r>
    </w:p>
    <w:p>
      <w:pPr>
        <w:spacing w:after="0" w:line="103" w:lineRule="exact"/>
        <w:rPr>
          <w:sz w:val="20"/>
          <w:szCs w:val="20"/>
          <w:color w:val="auto"/>
        </w:rPr>
      </w:pPr>
    </w:p>
    <w:p>
      <w:pPr>
        <w:ind w:firstLine="345"/>
        <w:spacing w:after="0" w:line="266" w:lineRule="auto"/>
        <w:rPr>
          <w:sz w:val="20"/>
          <w:szCs w:val="20"/>
          <w:color w:val="auto"/>
        </w:rPr>
      </w:pPr>
      <w:r>
        <w:rPr>
          <w:rFonts w:ascii="Arial" w:cs="Arial" w:eastAsia="Arial" w:hAnsi="Arial"/>
          <w:sz w:val="15"/>
          <w:szCs w:val="15"/>
          <w:color w:val="auto"/>
        </w:rPr>
        <w:t>On July 19, 2021, our Board of Directors declared a quarterly cash dividend of $0.21 per share of outstanding common stock payable on September 16, 2021 to stockholders of record at the close of business on September 2, 2021. Future declarations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Share Repurchase Program</w:t>
      </w:r>
    </w:p>
    <w:p>
      <w:pPr>
        <w:spacing w:after="0" w:line="57" w:lineRule="exact"/>
        <w:rPr>
          <w:sz w:val="20"/>
          <w:szCs w:val="20"/>
          <w:color w:val="auto"/>
        </w:rPr>
      </w:pPr>
    </w:p>
    <w:p>
      <w:pPr>
        <w:ind w:firstLine="345"/>
        <w:spacing w:after="0" w:line="262" w:lineRule="auto"/>
        <w:rPr>
          <w:sz w:val="20"/>
          <w:szCs w:val="20"/>
          <w:color w:val="auto"/>
        </w:rPr>
      </w:pPr>
      <w:r>
        <w:rPr>
          <w:rFonts w:ascii="Arial" w:cs="Arial" w:eastAsia="Arial" w:hAnsi="Arial"/>
          <w:sz w:val="15"/>
          <w:szCs w:val="15"/>
          <w:color w:val="auto"/>
        </w:rPr>
        <w:t>In October 2015, our Board of Directors approved a share repurchase program, authorizing us to repurchase up to $100 million of our common stock, and in February 2017, our Board of Directors approved an increase to the share repurchase program, authorizing us to repurchase up to an additional $100 million of our outstanding common stock. We expect to fund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66" w:lineRule="exact"/>
        <w:rPr>
          <w:sz w:val="20"/>
          <w:szCs w:val="20"/>
          <w:color w:val="auto"/>
        </w:rPr>
      </w:pPr>
    </w:p>
    <w:p>
      <w:pPr>
        <w:ind w:right="80" w:firstLine="345"/>
        <w:spacing w:after="0" w:line="271" w:lineRule="auto"/>
        <w:rPr>
          <w:sz w:val="20"/>
          <w:szCs w:val="20"/>
          <w:color w:val="auto"/>
        </w:rPr>
      </w:pPr>
      <w:r>
        <w:rPr>
          <w:rFonts w:ascii="Arial" w:cs="Arial" w:eastAsia="Arial" w:hAnsi="Arial"/>
          <w:sz w:val="15"/>
          <w:szCs w:val="15"/>
          <w:color w:val="auto"/>
        </w:rPr>
        <w:t>As of June 30, 2021, we have repurchased approximately 2,558,000 shares of our common stock under the share repurchase program at an average per-share cost of $39.09. During the six months ended June 30, 2021, we did not repurchase any shares of our common stock under the share repurchase program. As of June 30, 2021, we had $100 million of repurchase capacity remaining under the share repurchase program.</w:t>
      </w:r>
    </w:p>
    <w:p>
      <w:pPr>
        <w:spacing w:after="0" w:line="200" w:lineRule="exact"/>
        <w:rPr>
          <w:sz w:val="20"/>
          <w:szCs w:val="20"/>
          <w:color w:val="auto"/>
        </w:rPr>
      </w:pPr>
    </w:p>
    <w:p>
      <w:pPr>
        <w:spacing w:after="0" w:line="239"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0" w:name="page31"/>
    <w:bookmarkEnd w:id="30"/>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Equity-Based Compensation</w:t>
      </w:r>
    </w:p>
    <w:p>
      <w:pPr>
        <w:spacing w:after="0" w:line="57" w:lineRule="exact"/>
        <w:rPr>
          <w:sz w:val="20"/>
          <w:szCs w:val="20"/>
          <w:color w:val="auto"/>
        </w:rPr>
      </w:pPr>
    </w:p>
    <w:p>
      <w:pPr>
        <w:ind w:right="60" w:firstLine="345"/>
        <w:spacing w:after="0" w:line="286" w:lineRule="auto"/>
        <w:rPr>
          <w:sz w:val="20"/>
          <w:szCs w:val="20"/>
          <w:color w:val="auto"/>
        </w:rPr>
      </w:pPr>
      <w:r>
        <w:rPr>
          <w:rFonts w:ascii="Arial" w:cs="Arial" w:eastAsia="Arial" w:hAnsi="Arial"/>
          <w:sz w:val="14"/>
          <w:szCs w:val="14"/>
          <w:color w:val="auto"/>
        </w:rPr>
        <w:t>Upon the vesting of restricted stock units (“RSUs”), the Company has a practice of net share settlement, to cover any required withholding taxes by retaining the number of shares with a value equal to the amount of the tax and remitting an equal amount of cash to the appropriate taxing authorities, rather than requiring employees to sell a portion of the shares that they receive upon vesting to fund the required withholding taxes (“sell-to-cover”). The net share settlement approach has increased our cash outflows compared to the cash outflows under the sell-to-cover approach. In addition, as compared to the sell-to-cover approach, net share settlement has resulted in fewer shares being issued into the market as employees’ RSUs vest, thereby reducing the dilutive impact of our equity-based compensation programs on stockholders.</w:t>
      </w:r>
    </w:p>
    <w:p>
      <w:pPr>
        <w:spacing w:after="0" w:line="52" w:lineRule="exact"/>
        <w:rPr>
          <w:sz w:val="20"/>
          <w:szCs w:val="20"/>
          <w:color w:val="auto"/>
        </w:rPr>
      </w:pPr>
    </w:p>
    <w:p>
      <w:pPr>
        <w:ind w:right="80" w:firstLine="345"/>
        <w:spacing w:after="0" w:line="286" w:lineRule="auto"/>
        <w:rPr>
          <w:sz w:val="20"/>
          <w:szCs w:val="20"/>
          <w:color w:val="auto"/>
        </w:rPr>
      </w:pPr>
      <w:r>
        <w:rPr>
          <w:rFonts w:ascii="Arial" w:cs="Arial" w:eastAsia="Arial" w:hAnsi="Arial"/>
          <w:sz w:val="15"/>
          <w:szCs w:val="15"/>
          <w:color w:val="auto"/>
        </w:rPr>
        <w:t>During the six months ended June 30, 2021, shares with an aggregate value of $20.2 million were withheld upon vesting of RSUs and paid in connection with related remittance to taxing authorities.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Acquisition of Three Artificial Intelligence Platforms</w:t>
      </w:r>
    </w:p>
    <w:p>
      <w:pPr>
        <w:spacing w:after="0" w:line="57" w:lineRule="exact"/>
        <w:rPr>
          <w:sz w:val="20"/>
          <w:szCs w:val="20"/>
          <w:color w:val="auto"/>
        </w:rPr>
      </w:pPr>
    </w:p>
    <w:p>
      <w:pPr>
        <w:jc w:val="both"/>
        <w:ind w:right="400" w:firstLine="345"/>
        <w:spacing w:after="0" w:line="271" w:lineRule="auto"/>
        <w:rPr>
          <w:sz w:val="20"/>
          <w:szCs w:val="20"/>
          <w:color w:val="auto"/>
        </w:rPr>
      </w:pPr>
      <w:r>
        <w:rPr>
          <w:rFonts w:ascii="Arial" w:cs="Arial" w:eastAsia="Arial" w:hAnsi="Arial"/>
          <w:sz w:val="15"/>
          <w:szCs w:val="15"/>
          <w:color w:val="auto"/>
        </w:rPr>
        <w:t>In July 2021, the Company acquired Pattern89 Inc., Datasine Limited and assets from Shotzr, Inc. The aggregate cash consideration was approximately $35 million, and is subject to customary working capital and other adjustments, paid from existing cash on hand. These three entities provide data driven insights through their artificial intelligence platforms.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Sources and Uses of Funds</w:t>
      </w:r>
    </w:p>
    <w:p>
      <w:pPr>
        <w:spacing w:after="0" w:line="103" w:lineRule="exact"/>
        <w:rPr>
          <w:sz w:val="20"/>
          <w:szCs w:val="20"/>
          <w:color w:val="auto"/>
        </w:rPr>
      </w:pPr>
    </w:p>
    <w:p>
      <w:pPr>
        <w:ind w:firstLine="345"/>
        <w:spacing w:after="0" w:line="263" w:lineRule="auto"/>
        <w:rPr>
          <w:sz w:val="20"/>
          <w:szCs w:val="20"/>
          <w:color w:val="auto"/>
        </w:rPr>
      </w:pPr>
      <w:r>
        <w:rPr>
          <w:rFonts w:ascii="Arial" w:cs="Arial" w:eastAsia="Arial" w:hAnsi="Arial"/>
          <w:sz w:val="15"/>
          <w:szCs w:val="15"/>
          <w:color w:val="auto"/>
        </w:rPr>
        <w:t>We believe, based on our current operating plan, that our cash and cash equivalents, and cash from operations, will be sufficient to meet our anticipated cash needs for at least the next 12 months. Future capital expenditures could relate to building enhancements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 See Note 13 to our Unaudited Consolidated Financial Statements included in Part I, Item 1 of this Quarterly Report on Form 10-Q for information regarding our existing capital commitments as of June 30, 2021.</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summarizes our cash flow data for the six months ended June 30, 2021 and 2020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8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500"/>
              <w:spacing w:after="0"/>
              <w:rPr>
                <w:sz w:val="20"/>
                <w:szCs w:val="20"/>
                <w:color w:val="auto"/>
              </w:rPr>
            </w:pPr>
            <w:r>
              <w:rPr>
                <w:rFonts w:ascii="Arial" w:cs="Arial" w:eastAsia="Arial" w:hAnsi="Arial"/>
                <w:sz w:val="12"/>
                <w:szCs w:val="12"/>
                <w:b w:val="1"/>
                <w:bCs w:val="1"/>
                <w:color w:val="auto"/>
                <w:w w:val="92"/>
              </w:rPr>
              <w:t>Six Months Ended June 30,</w:t>
            </w:r>
          </w:p>
        </w:tc>
        <w:tc>
          <w:tcPr>
            <w:tcW w:w="780" w:type="dxa"/>
            <w:vAlign w:val="bottom"/>
            <w:tcBorders>
              <w:bottom w:val="single" w:sz="8" w:color="auto"/>
            </w:tcBorders>
          </w:tcPr>
          <w:p>
            <w:pPr>
              <w:spacing w:after="0"/>
              <w:rPr>
                <w:sz w:val="14"/>
                <w:szCs w:val="14"/>
                <w:color w:val="auto"/>
              </w:rPr>
            </w:pPr>
          </w:p>
        </w:tc>
      </w:tr>
      <w:tr>
        <w:trPr>
          <w:trHeight w:val="157"/>
        </w:trPr>
        <w:tc>
          <w:tcPr>
            <w:tcW w:w="784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53"/>
              <w:spacing w:after="0"/>
              <w:rPr>
                <w:sz w:val="20"/>
                <w:szCs w:val="20"/>
                <w:color w:val="auto"/>
              </w:rPr>
            </w:pPr>
            <w:r>
              <w:rPr>
                <w:rFonts w:ascii="Arial" w:cs="Arial" w:eastAsia="Arial" w:hAnsi="Arial"/>
                <w:sz w:val="12"/>
                <w:szCs w:val="12"/>
                <w:b w:val="1"/>
                <w:bCs w:val="1"/>
                <w:color w:val="auto"/>
                <w:w w:val="89"/>
              </w:rPr>
              <w:t>2020</w:t>
            </w:r>
          </w:p>
        </w:tc>
      </w:tr>
      <w:tr>
        <w:trPr>
          <w:trHeight w:val="176"/>
        </w:trPr>
        <w:tc>
          <w:tcPr>
            <w:tcW w:w="7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provided by operating activities</w:t>
            </w: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480"/>
              <w:spacing w:after="0"/>
              <w:rPr>
                <w:sz w:val="20"/>
                <w:szCs w:val="20"/>
                <w:color w:val="auto"/>
              </w:rPr>
            </w:pPr>
            <w:r>
              <w:rPr>
                <w:rFonts w:ascii="Arial" w:cs="Arial" w:eastAsia="Arial" w:hAnsi="Arial"/>
                <w:sz w:val="14"/>
                <w:szCs w:val="14"/>
                <w:color w:val="auto"/>
                <w:w w:val="98"/>
              </w:rPr>
              <w:t>107,216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center"/>
              <w:ind w:left="213"/>
              <w:spacing w:after="0"/>
              <w:rPr>
                <w:sz w:val="20"/>
                <w:szCs w:val="20"/>
                <w:color w:val="auto"/>
              </w:rPr>
            </w:pPr>
            <w:r>
              <w:rPr>
                <w:rFonts w:ascii="Arial" w:cs="Arial" w:eastAsia="Arial" w:hAnsi="Arial"/>
                <w:sz w:val="14"/>
                <w:szCs w:val="14"/>
                <w:color w:val="auto"/>
                <w:w w:val="88"/>
              </w:rPr>
              <w:t>36,343</w:t>
            </w:r>
          </w:p>
        </w:tc>
      </w:tr>
      <w:tr>
        <w:trPr>
          <w:trHeight w:val="181"/>
        </w:trPr>
        <w:tc>
          <w:tcPr>
            <w:tcW w:w="7840" w:type="dxa"/>
            <w:vAlign w:val="bottom"/>
          </w:tcPr>
          <w:p>
            <w:pPr>
              <w:ind w:left="360"/>
              <w:spacing w:after="0"/>
              <w:rPr>
                <w:sz w:val="20"/>
                <w:szCs w:val="20"/>
                <w:color w:val="auto"/>
              </w:rPr>
            </w:pPr>
            <w:r>
              <w:rPr>
                <w:rFonts w:ascii="Arial" w:cs="Arial" w:eastAsia="Arial" w:hAnsi="Arial"/>
                <w:sz w:val="14"/>
                <w:szCs w:val="14"/>
                <w:color w:val="auto"/>
              </w:rPr>
              <w:t>Net cash used in investing activities</w:t>
            </w:r>
          </w:p>
        </w:tc>
        <w:tc>
          <w:tcPr>
            <w:tcW w:w="6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tcPr>
          <w:p>
            <w:pPr>
              <w:ind w:left="500"/>
              <w:spacing w:after="0"/>
              <w:rPr>
                <w:sz w:val="20"/>
                <w:szCs w:val="20"/>
                <w:color w:val="auto"/>
              </w:rPr>
            </w:pPr>
            <w:r>
              <w:rPr>
                <w:rFonts w:ascii="Arial" w:cs="Arial" w:eastAsia="Arial" w:hAnsi="Arial"/>
                <w:sz w:val="14"/>
                <w:szCs w:val="14"/>
                <w:color w:val="auto"/>
                <w:w w:val="91"/>
              </w:rPr>
              <w:t>(90,963)</w:t>
            </w:r>
          </w:p>
        </w:tc>
        <w:tc>
          <w:tcPr>
            <w:tcW w:w="100" w:type="dxa"/>
            <w:vAlign w:val="bottom"/>
          </w:tcPr>
          <w:p>
            <w:pPr>
              <w:spacing w:after="0"/>
              <w:rPr>
                <w:sz w:val="15"/>
                <w:szCs w:val="15"/>
                <w:color w:val="auto"/>
              </w:rPr>
            </w:pPr>
          </w:p>
        </w:tc>
        <w:tc>
          <w:tcPr>
            <w:tcW w:w="860" w:type="dxa"/>
            <w:vAlign w:val="bottom"/>
          </w:tcPr>
          <w:p>
            <w:pPr>
              <w:jc w:val="right"/>
              <w:ind w:right="371"/>
              <w:spacing w:after="0"/>
              <w:rPr>
                <w:sz w:val="20"/>
                <w:szCs w:val="20"/>
                <w:color w:val="auto"/>
              </w:rPr>
            </w:pPr>
            <w:r>
              <w:rPr>
                <w:rFonts w:ascii="Arial" w:cs="Arial" w:eastAsia="Arial" w:hAnsi="Arial"/>
                <w:sz w:val="14"/>
                <w:szCs w:val="14"/>
                <w:color w:val="auto"/>
              </w:rPr>
              <w:t>$</w:t>
            </w:r>
          </w:p>
        </w:tc>
        <w:tc>
          <w:tcPr>
            <w:tcW w:w="780" w:type="dxa"/>
            <w:vAlign w:val="bottom"/>
          </w:tcPr>
          <w:p>
            <w:pPr>
              <w:jc w:val="center"/>
              <w:ind w:left="193"/>
              <w:spacing w:after="0"/>
              <w:rPr>
                <w:sz w:val="20"/>
                <w:szCs w:val="20"/>
                <w:color w:val="auto"/>
              </w:rPr>
            </w:pPr>
            <w:r>
              <w:rPr>
                <w:rFonts w:ascii="Arial" w:cs="Arial" w:eastAsia="Arial" w:hAnsi="Arial"/>
                <w:sz w:val="14"/>
                <w:szCs w:val="14"/>
                <w:color w:val="auto"/>
                <w:w w:val="91"/>
              </w:rPr>
              <w:t>(15,438)</w:t>
            </w:r>
          </w:p>
        </w:tc>
      </w:tr>
      <w:tr>
        <w:trPr>
          <w:trHeight w:val="187"/>
        </w:trPr>
        <w:tc>
          <w:tcPr>
            <w:tcW w:w="7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used in financing activities</w:t>
            </w: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1"/>
              </w:rPr>
              <w:t>(33,745)</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center"/>
              <w:ind w:left="193"/>
              <w:spacing w:after="0"/>
              <w:rPr>
                <w:sz w:val="20"/>
                <w:szCs w:val="20"/>
                <w:color w:val="auto"/>
              </w:rPr>
            </w:pPr>
            <w:r>
              <w:rPr>
                <w:rFonts w:ascii="Arial" w:cs="Arial" w:eastAsia="Arial" w:hAnsi="Arial"/>
                <w:sz w:val="14"/>
                <w:szCs w:val="14"/>
                <w:color w:val="auto"/>
                <w:w w:val="91"/>
              </w:rPr>
              <w:t>(14,905)</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Activities</w:t>
      </w:r>
    </w:p>
    <w:p>
      <w:pPr>
        <w:spacing w:after="0" w:line="57" w:lineRule="exact"/>
        <w:rPr>
          <w:sz w:val="20"/>
          <w:szCs w:val="20"/>
          <w:color w:val="auto"/>
        </w:rPr>
      </w:pPr>
    </w:p>
    <w:p>
      <w:pPr>
        <w:ind w:right="520" w:firstLine="345"/>
        <w:spacing w:after="0" w:line="271" w:lineRule="auto"/>
        <w:rPr>
          <w:sz w:val="20"/>
          <w:szCs w:val="20"/>
          <w:color w:val="auto"/>
        </w:rPr>
      </w:pPr>
      <w:r>
        <w:rPr>
          <w:rFonts w:ascii="Arial" w:cs="Arial" w:eastAsia="Arial" w:hAnsi="Arial"/>
          <w:sz w:val="15"/>
          <w:szCs w:val="15"/>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82" w:lineRule="exact"/>
        <w:rPr>
          <w:sz w:val="20"/>
          <w:szCs w:val="20"/>
          <w:color w:val="auto"/>
        </w:rPr>
      </w:pPr>
    </w:p>
    <w:p>
      <w:pPr>
        <w:ind w:firstLine="345"/>
        <w:spacing w:after="0" w:line="266" w:lineRule="auto"/>
        <w:rPr>
          <w:sz w:val="20"/>
          <w:szCs w:val="20"/>
          <w:color w:val="auto"/>
        </w:rPr>
      </w:pPr>
      <w:r>
        <w:rPr>
          <w:rFonts w:ascii="Arial" w:cs="Arial" w:eastAsia="Arial" w:hAnsi="Arial"/>
          <w:sz w:val="15"/>
          <w:szCs w:val="15"/>
          <w:color w:val="auto"/>
        </w:rPr>
        <w:t>Net cash provided by operating activities was $107.2 million for the six months ended June 30, 2021, compared to $36.3 million for the six months ended June 30, 2020. In the six months ended June 30, 2021, operating cash flows were favorably impacted from our increased operating income and changes in the timing of payments pertaining to operating expenses, which can cause operating cash flow to fluctuate from period to period. In addition, the six months ended June 30, 2020 were impacted by $7.8 million in one-time payments associated with long-term incentives related to our 2017 acquisition of Flashstock.</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Investing Activities</w:t>
      </w:r>
    </w:p>
    <w:p>
      <w:pPr>
        <w:spacing w:after="0" w:line="138" w:lineRule="exact"/>
        <w:rPr>
          <w:sz w:val="20"/>
          <w:szCs w:val="20"/>
          <w:color w:val="auto"/>
        </w:rPr>
      </w:pPr>
    </w:p>
    <w:p>
      <w:pPr>
        <w:jc w:val="both"/>
        <w:ind w:right="120" w:firstLine="345"/>
        <w:spacing w:after="0" w:line="271" w:lineRule="auto"/>
        <w:rPr>
          <w:sz w:val="20"/>
          <w:szCs w:val="20"/>
          <w:color w:val="auto"/>
        </w:rPr>
      </w:pPr>
      <w:r>
        <w:rPr>
          <w:rFonts w:ascii="Arial" w:cs="Arial" w:eastAsia="Arial" w:hAnsi="Arial"/>
          <w:sz w:val="15"/>
          <w:szCs w:val="15"/>
          <w:color w:val="auto"/>
        </w:rPr>
        <w:t>Cash used in investing activities for the six months ended June 30, 2021 was $91.0 million, consisting primarily of cash used in the acquisition of TurboSquid of $72.2 million, net of cash acquired, capital expenditures of $15.3 million for internal-use software and website development costs and purchases of software and equipment and $3.4 million paid to acquire the rights to distribute certain digital content into perpetuity.</w:t>
      </w:r>
    </w:p>
    <w:p>
      <w:pPr>
        <w:spacing w:after="0" w:line="59" w:lineRule="exact"/>
        <w:rPr>
          <w:sz w:val="20"/>
          <w:szCs w:val="20"/>
          <w:color w:val="auto"/>
        </w:rPr>
      </w:pPr>
    </w:p>
    <w:p>
      <w:pPr>
        <w:ind w:right="80" w:firstLine="345"/>
        <w:spacing w:after="0" w:line="324" w:lineRule="auto"/>
        <w:rPr>
          <w:sz w:val="20"/>
          <w:szCs w:val="20"/>
          <w:color w:val="auto"/>
        </w:rPr>
      </w:pPr>
      <w:r>
        <w:rPr>
          <w:rFonts w:ascii="Arial" w:cs="Arial" w:eastAsia="Arial" w:hAnsi="Arial"/>
          <w:sz w:val="14"/>
          <w:szCs w:val="14"/>
          <w:color w:val="auto"/>
        </w:rPr>
        <w:t>Cash used in investing activities in the six months ended June 30, 2020 was $15.4 million, consisting primarily of capital expenditures of $14.0 million for internal-use software and website development costs and purchases of software and equipment, and $1.6 million paid to acquire the rights to distribute certain digital content into perpetuity.</w:t>
      </w:r>
    </w:p>
    <w:p>
      <w:pPr>
        <w:spacing w:after="0" w:line="200" w:lineRule="exact"/>
        <w:rPr>
          <w:sz w:val="20"/>
          <w:szCs w:val="20"/>
          <w:color w:val="auto"/>
        </w:rPr>
      </w:pPr>
    </w:p>
    <w:p>
      <w:pPr>
        <w:spacing w:after="0" w:line="204"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1" w:name="page32"/>
    <w:bookmarkEnd w:id="31"/>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Financing Activities</w:t>
      </w:r>
    </w:p>
    <w:p>
      <w:pPr>
        <w:spacing w:after="0" w:line="57" w:lineRule="exact"/>
        <w:rPr>
          <w:sz w:val="20"/>
          <w:szCs w:val="20"/>
          <w:color w:val="auto"/>
        </w:rPr>
      </w:pPr>
    </w:p>
    <w:p>
      <w:pPr>
        <w:ind w:right="20" w:firstLine="345"/>
        <w:spacing w:after="0" w:line="271" w:lineRule="auto"/>
        <w:rPr>
          <w:sz w:val="20"/>
          <w:szCs w:val="20"/>
          <w:color w:val="auto"/>
        </w:rPr>
      </w:pPr>
      <w:r>
        <w:rPr>
          <w:rFonts w:ascii="Arial" w:cs="Arial" w:eastAsia="Arial" w:hAnsi="Arial"/>
          <w:sz w:val="15"/>
          <w:szCs w:val="15"/>
          <w:color w:val="auto"/>
        </w:rPr>
        <w:t>Cash used in financing activities in the six months ended June 30, 2021 was $33.7 million, consisting primarily of $20.2 million, paid in settlement of tax withholding obligations related to employee stock-based compensation awards and $15.3 million, related to the payment of the quarterly cash dividend. These amounts were partially offset by approximately $1.8 million received from the issuance of common stock in connection with the exercise of stock options.</w:t>
      </w:r>
    </w:p>
    <w:p>
      <w:pPr>
        <w:spacing w:after="0" w:line="59" w:lineRule="exact"/>
        <w:rPr>
          <w:sz w:val="20"/>
          <w:szCs w:val="20"/>
          <w:color w:val="auto"/>
        </w:rPr>
      </w:pPr>
    </w:p>
    <w:p>
      <w:pPr>
        <w:ind w:right="380" w:firstLine="345"/>
        <w:spacing w:after="0" w:line="286" w:lineRule="auto"/>
        <w:rPr>
          <w:sz w:val="20"/>
          <w:szCs w:val="20"/>
          <w:color w:val="auto"/>
        </w:rPr>
      </w:pPr>
      <w:r>
        <w:rPr>
          <w:rFonts w:ascii="Arial" w:cs="Arial" w:eastAsia="Arial" w:hAnsi="Arial"/>
          <w:sz w:val="15"/>
          <w:szCs w:val="15"/>
          <w:color w:val="auto"/>
        </w:rPr>
        <w:t>Cash used in financing activities in the six months ended June 30, 2020 was $14.9 million, consisting primarily of $12.1 million related to the payment of the quarterly cash dividend and $3.4 million, which was paid in settlement of tax withholding obligations related to employee stock-based compensation awards.</w:t>
      </w: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 and Commitments</w:t>
      </w:r>
    </w:p>
    <w:p>
      <w:pPr>
        <w:spacing w:after="0" w:line="107" w:lineRule="exact"/>
        <w:rPr>
          <w:sz w:val="20"/>
          <w:szCs w:val="20"/>
          <w:color w:val="auto"/>
        </w:rPr>
      </w:pPr>
    </w:p>
    <w:p>
      <w:pPr>
        <w:jc w:val="both"/>
        <w:ind w:right="620" w:firstLine="345"/>
        <w:spacing w:after="0" w:line="299" w:lineRule="auto"/>
        <w:rPr>
          <w:sz w:val="20"/>
          <w:szCs w:val="20"/>
          <w:color w:val="auto"/>
        </w:rPr>
      </w:pPr>
      <w:r>
        <w:rPr>
          <w:rFonts w:ascii="Arial" w:cs="Arial" w:eastAsia="Arial" w:hAnsi="Arial"/>
          <w:sz w:val="14"/>
          <w:szCs w:val="14"/>
          <w:color w:val="auto"/>
        </w:rPr>
        <w:t>We lease real estate under operating lease agreements that expire on various dates during the period from 2021 through 2029. We do not have any material finance lease obligations and our property, equipment and software have been purchased primarily with cash. We do not anticipate any difficulties in renewing those leases and co-location agreements that expire within the next several years and that we currently plan to renew, or in leasing other space or hosting facilities, if required.</w:t>
      </w:r>
    </w:p>
    <w:p>
      <w:pPr>
        <w:spacing w:after="0" w:line="42" w:lineRule="exact"/>
        <w:rPr>
          <w:sz w:val="20"/>
          <w:szCs w:val="20"/>
          <w:color w:val="auto"/>
        </w:rPr>
      </w:pPr>
    </w:p>
    <w:p>
      <w:pPr>
        <w:ind w:right="60" w:firstLine="345"/>
        <w:spacing w:after="0" w:line="331" w:lineRule="auto"/>
        <w:rPr>
          <w:sz w:val="20"/>
          <w:szCs w:val="20"/>
          <w:color w:val="auto"/>
        </w:rPr>
      </w:pPr>
      <w:r>
        <w:rPr>
          <w:rFonts w:ascii="Arial" w:cs="Arial" w:eastAsia="Arial" w:hAnsi="Arial"/>
          <w:sz w:val="13"/>
          <w:szCs w:val="13"/>
          <w:color w:val="auto"/>
        </w:rPr>
        <w:t>On March 21, 2013, we entered into an operating lease agreement to lease our headquarters in New York City, which was amended in 2016. The aggregate undiscounted future minimum lease payments under the lease, as amended, are approximately $53.3 million. We are also party to a letter of credit as a security deposit for this leased facility in the amount of $1.7 million. As of March 31, 2020, the Company is no longer required to provide cash collateral for its letter of credit, and, accordingly, these funds are no longer restricted.</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Additionally, as of June 30, 2021, aggregate undiscounted future minimum lease payments under other operating leases are approximately $6.2 million.</w:t>
      </w:r>
    </w:p>
    <w:p>
      <w:pPr>
        <w:spacing w:after="0" w:line="103" w:lineRule="exact"/>
        <w:rPr>
          <w:sz w:val="20"/>
          <w:szCs w:val="20"/>
          <w:color w:val="auto"/>
        </w:rPr>
      </w:pPr>
    </w:p>
    <w:p>
      <w:pPr>
        <w:jc w:val="both"/>
        <w:ind w:right="100" w:firstLine="345"/>
        <w:spacing w:after="0" w:line="331" w:lineRule="auto"/>
        <w:rPr>
          <w:sz w:val="20"/>
          <w:szCs w:val="20"/>
          <w:color w:val="auto"/>
        </w:rPr>
      </w:pPr>
      <w:r>
        <w:rPr>
          <w:rFonts w:ascii="Arial" w:cs="Arial" w:eastAsia="Arial" w:hAnsi="Arial"/>
          <w:sz w:val="13"/>
          <w:szCs w:val="13"/>
          <w:color w:val="auto"/>
        </w:rPr>
        <w:t>We enter into unconditional purchase obligations related to contracts for cloud-based services, infrastructure and other business services as well as minimum royalty guarantees in connection with certain content licenses. As of June 30, 2021, our guaranteed royalty payments and unconditional purchase obligations for the remainder of 2021 and for the fiscal years ending December 31, 2022, 2023, 2024, 2025 and 2026 were approximately $14.2 million, $14.2 million, $9.9 million, $4.7 million, $2.1 million and $0.3 million, respectively.</w:t>
      </w: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Non-GAAP Financial Measures</w:t>
      </w:r>
    </w:p>
    <w:p>
      <w:pPr>
        <w:spacing w:after="0" w:line="107" w:lineRule="exact"/>
        <w:rPr>
          <w:sz w:val="20"/>
          <w:szCs w:val="20"/>
          <w:color w:val="auto"/>
        </w:rPr>
      </w:pPr>
    </w:p>
    <w:p>
      <w:pPr>
        <w:ind w:right="60" w:firstLine="345"/>
        <w:spacing w:after="0" w:line="313" w:lineRule="auto"/>
        <w:rPr>
          <w:sz w:val="20"/>
          <w:szCs w:val="20"/>
          <w:color w:val="auto"/>
        </w:rPr>
      </w:pPr>
      <w:r>
        <w:rPr>
          <w:rFonts w:ascii="Arial" w:cs="Arial" w:eastAsia="Arial" w:hAnsi="Arial"/>
          <w:sz w:val="13"/>
          <w:szCs w:val="13"/>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EBITDA, adjusted EBITDA margin, adjusted net income, adjusted net income per diluted common share, revenue growth (including by distribution channel) on a constant currency basis (expressed as a percentage), and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shd w:val="clear" w:color="auto" w:fill="CCEEFF"/>
          </w:tcPr>
          <w:p>
            <w:pPr>
              <w:spacing w:after="0"/>
              <w:rPr>
                <w:sz w:val="13"/>
                <w:szCs w:val="13"/>
                <w:color w:val="auto"/>
              </w:rPr>
            </w:pPr>
          </w:p>
        </w:tc>
        <w:tc>
          <w:tcPr>
            <w:tcW w:w="2480" w:type="dxa"/>
            <w:vAlign w:val="bottom"/>
            <w:tcBorders>
              <w:bottom w:val="single" w:sz="8" w:color="auto"/>
            </w:tcBorders>
            <w:gridSpan w:val="3"/>
            <w:shd w:val="clear" w:color="auto" w:fill="CCEEFF"/>
          </w:tcPr>
          <w:p>
            <w:pPr>
              <w:jc w:val="right"/>
              <w:ind w:right="94"/>
              <w:spacing w:after="0"/>
              <w:rPr>
                <w:sz w:val="20"/>
                <w:szCs w:val="20"/>
                <w:color w:val="auto"/>
              </w:rPr>
            </w:pPr>
            <w:r>
              <w:rPr>
                <w:rFonts w:ascii="Arial" w:cs="Arial" w:eastAsia="Arial" w:hAnsi="Arial"/>
                <w:sz w:val="12"/>
                <w:szCs w:val="12"/>
                <w:b w:val="1"/>
                <w:bCs w:val="1"/>
                <w:color w:val="auto"/>
              </w:rPr>
              <w:t>Three Months Ended June 30,</w:t>
            </w:r>
          </w:p>
        </w:tc>
        <w:tc>
          <w:tcPr>
            <w:tcW w:w="5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2600" w:type="dxa"/>
            <w:vAlign w:val="bottom"/>
            <w:tcBorders>
              <w:bottom w:val="single" w:sz="8" w:color="auto"/>
            </w:tcBorders>
            <w:gridSpan w:val="3"/>
            <w:shd w:val="clear" w:color="auto" w:fill="CCEEFF"/>
          </w:tcPr>
          <w:p>
            <w:pPr>
              <w:jc w:val="right"/>
              <w:ind w:right="753"/>
              <w:spacing w:after="0"/>
              <w:rPr>
                <w:sz w:val="20"/>
                <w:szCs w:val="20"/>
                <w:color w:val="auto"/>
              </w:rPr>
            </w:pPr>
            <w:r>
              <w:rPr>
                <w:rFonts w:ascii="Arial" w:cs="Arial" w:eastAsia="Arial" w:hAnsi="Arial"/>
                <w:sz w:val="12"/>
                <w:szCs w:val="12"/>
                <w:b w:val="1"/>
                <w:bCs w:val="1"/>
                <w:color w:val="auto"/>
              </w:rPr>
              <w:t>Six Months Ended June 30,</w:t>
            </w:r>
          </w:p>
        </w:tc>
      </w:tr>
      <w:tr>
        <w:trPr>
          <w:trHeight w:val="152"/>
        </w:trPr>
        <w:tc>
          <w:tcPr>
            <w:tcW w:w="504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6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94"/>
              <w:spacing w:after="0"/>
              <w:rPr>
                <w:sz w:val="20"/>
                <w:szCs w:val="20"/>
                <w:color w:val="auto"/>
              </w:rPr>
            </w:pPr>
            <w:r>
              <w:rPr>
                <w:rFonts w:ascii="Arial" w:cs="Arial" w:eastAsia="Arial" w:hAnsi="Arial"/>
                <w:sz w:val="12"/>
                <w:szCs w:val="12"/>
                <w:b w:val="1"/>
                <w:bCs w:val="1"/>
                <w:color w:val="auto"/>
              </w:rPr>
              <w:t>2021</w:t>
            </w: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2"/>
                <w:szCs w:val="12"/>
                <w:b w:val="1"/>
                <w:bCs w:val="1"/>
                <w:color w:val="auto"/>
              </w:rPr>
              <w:t>2020</w:t>
            </w:r>
          </w:p>
        </w:tc>
      </w:tr>
      <w:tr>
        <w:trPr>
          <w:trHeight w:val="165"/>
        </w:trPr>
        <w:tc>
          <w:tcPr>
            <w:tcW w:w="50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Non-GAAP Financial Measures:</w:t>
            </w: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71"/>
              <w:spacing w:after="0"/>
              <w:rPr>
                <w:sz w:val="20"/>
                <w:szCs w:val="20"/>
                <w:color w:val="auto"/>
              </w:rPr>
            </w:pPr>
            <w:r>
              <w:rPr>
                <w:rFonts w:ascii="Arial" w:cs="Arial" w:eastAsia="Arial" w:hAnsi="Arial"/>
                <w:sz w:val="12"/>
                <w:szCs w:val="12"/>
                <w:b w:val="1"/>
                <w:bCs w:val="1"/>
                <w:color w:val="auto"/>
              </w:rPr>
              <w:t>(in thousands)</w:t>
            </w: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1"/>
        </w:trPr>
        <w:tc>
          <w:tcPr>
            <w:tcW w:w="5040" w:type="dxa"/>
            <w:vAlign w:val="bottom"/>
          </w:tcPr>
          <w:p>
            <w:pPr>
              <w:spacing w:after="0"/>
              <w:rPr>
                <w:sz w:val="20"/>
                <w:szCs w:val="20"/>
                <w:color w:val="auto"/>
              </w:rPr>
            </w:pPr>
            <w:r>
              <w:rPr>
                <w:rFonts w:ascii="Arial" w:cs="Arial" w:eastAsia="Arial" w:hAnsi="Arial"/>
                <w:sz w:val="14"/>
                <w:szCs w:val="14"/>
                <w:color w:val="auto"/>
              </w:rPr>
              <w:t>Adjusted EBITDA</w:t>
            </w:r>
          </w:p>
        </w:tc>
        <w:tc>
          <w:tcPr>
            <w:tcW w:w="900" w:type="dxa"/>
            <w:vAlign w:val="bottom"/>
          </w:tcPr>
          <w:p>
            <w:pPr>
              <w:jc w:val="right"/>
              <w:ind w:right="755"/>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151"/>
              <w:spacing w:after="0"/>
              <w:rPr>
                <w:sz w:val="20"/>
                <w:szCs w:val="20"/>
                <w:color w:val="auto"/>
              </w:rPr>
            </w:pPr>
            <w:r>
              <w:rPr>
                <w:rFonts w:ascii="Arial" w:cs="Arial" w:eastAsia="Arial" w:hAnsi="Arial"/>
                <w:sz w:val="14"/>
                <w:szCs w:val="14"/>
                <w:color w:val="auto"/>
                <w:w w:val="93"/>
              </w:rPr>
              <w:t>53,063</w:t>
            </w:r>
          </w:p>
        </w:tc>
        <w:tc>
          <w:tcPr>
            <w:tcW w:w="940" w:type="dxa"/>
            <w:vAlign w:val="bottom"/>
          </w:tcPr>
          <w:p>
            <w:pPr>
              <w:jc w:val="right"/>
              <w:ind w:right="754"/>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93"/>
              <w:spacing w:after="0"/>
              <w:rPr>
                <w:sz w:val="20"/>
                <w:szCs w:val="20"/>
                <w:color w:val="auto"/>
              </w:rPr>
            </w:pPr>
            <w:r>
              <w:rPr>
                <w:rFonts w:ascii="Arial" w:cs="Arial" w:eastAsia="Arial" w:hAnsi="Arial"/>
                <w:sz w:val="14"/>
                <w:szCs w:val="14"/>
                <w:color w:val="auto"/>
                <w:w w:val="93"/>
              </w:rPr>
              <w:t>37,032</w:t>
            </w:r>
          </w:p>
        </w:tc>
        <w:tc>
          <w:tcPr>
            <w:tcW w:w="80" w:type="dxa"/>
            <w:vAlign w:val="bottom"/>
          </w:tcPr>
          <w:p>
            <w:pPr>
              <w:spacing w:after="0"/>
              <w:rPr>
                <w:sz w:val="15"/>
                <w:szCs w:val="15"/>
                <w:color w:val="auto"/>
              </w:rPr>
            </w:pPr>
          </w:p>
        </w:tc>
        <w:tc>
          <w:tcPr>
            <w:tcW w:w="480" w:type="dxa"/>
            <w:vAlign w:val="bottom"/>
          </w:tcPr>
          <w:p>
            <w:pPr>
              <w:jc w:val="right"/>
              <w:ind w:right="31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54"/>
              <w:spacing w:after="0"/>
              <w:rPr>
                <w:sz w:val="20"/>
                <w:szCs w:val="20"/>
                <w:color w:val="auto"/>
              </w:rPr>
            </w:pPr>
            <w:r>
              <w:rPr>
                <w:rFonts w:ascii="Arial" w:cs="Arial" w:eastAsia="Arial" w:hAnsi="Arial"/>
                <w:sz w:val="14"/>
                <w:szCs w:val="14"/>
                <w:color w:val="auto"/>
              </w:rPr>
              <w:t>109,482</w:t>
            </w:r>
          </w:p>
        </w:tc>
        <w:tc>
          <w:tcPr>
            <w:tcW w:w="40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13"/>
              <w:spacing w:after="0"/>
              <w:rPr>
                <w:sz w:val="20"/>
                <w:szCs w:val="20"/>
                <w:color w:val="auto"/>
              </w:rPr>
            </w:pPr>
            <w:r>
              <w:rPr>
                <w:rFonts w:ascii="Arial" w:cs="Arial" w:eastAsia="Arial" w:hAnsi="Arial"/>
                <w:sz w:val="14"/>
                <w:szCs w:val="14"/>
                <w:color w:val="auto"/>
              </w:rPr>
              <w:t>59,092</w:t>
            </w:r>
          </w:p>
        </w:tc>
      </w:tr>
      <w:tr>
        <w:trPr>
          <w:trHeight w:val="187"/>
        </w:trPr>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rPr>
              <w:t>Adjusted net income</w:t>
            </w: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w w:val="93"/>
              </w:rPr>
              <w:t>37,935</w:t>
            </w: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w w:val="93"/>
              </w:rPr>
              <w:t>22,162</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4"/>
                <w:szCs w:val="14"/>
                <w:color w:val="auto"/>
              </w:rPr>
              <w:t>74,571</w:t>
            </w:r>
          </w:p>
        </w:tc>
        <w:tc>
          <w:tcPr>
            <w:tcW w:w="4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31,321</w:t>
            </w:r>
          </w:p>
        </w:tc>
      </w:tr>
      <w:tr>
        <w:trPr>
          <w:trHeight w:val="181"/>
        </w:trPr>
        <w:tc>
          <w:tcPr>
            <w:tcW w:w="5040" w:type="dxa"/>
            <w:vAlign w:val="bottom"/>
          </w:tcPr>
          <w:p>
            <w:pPr>
              <w:spacing w:after="0"/>
              <w:rPr>
                <w:sz w:val="20"/>
                <w:szCs w:val="20"/>
                <w:color w:val="auto"/>
              </w:rPr>
            </w:pPr>
            <w:r>
              <w:rPr>
                <w:rFonts w:ascii="Arial" w:cs="Arial" w:eastAsia="Arial" w:hAnsi="Arial"/>
                <w:sz w:val="14"/>
                <w:szCs w:val="14"/>
                <w:color w:val="auto"/>
              </w:rPr>
              <w:t>Free cash flow</w:t>
            </w:r>
          </w:p>
        </w:tc>
        <w:tc>
          <w:tcPr>
            <w:tcW w:w="900" w:type="dxa"/>
            <w:vAlign w:val="bottom"/>
          </w:tcPr>
          <w:p>
            <w:pPr>
              <w:jc w:val="right"/>
              <w:ind w:right="755"/>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151"/>
              <w:spacing w:after="0"/>
              <w:rPr>
                <w:sz w:val="20"/>
                <w:szCs w:val="20"/>
                <w:color w:val="auto"/>
              </w:rPr>
            </w:pPr>
            <w:r>
              <w:rPr>
                <w:rFonts w:ascii="Arial" w:cs="Arial" w:eastAsia="Arial" w:hAnsi="Arial"/>
                <w:sz w:val="14"/>
                <w:szCs w:val="14"/>
                <w:color w:val="auto"/>
                <w:w w:val="93"/>
              </w:rPr>
              <w:t>61,692</w:t>
            </w:r>
          </w:p>
        </w:tc>
        <w:tc>
          <w:tcPr>
            <w:tcW w:w="940" w:type="dxa"/>
            <w:vAlign w:val="bottom"/>
          </w:tcPr>
          <w:p>
            <w:pPr>
              <w:jc w:val="right"/>
              <w:ind w:right="754"/>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93"/>
              <w:spacing w:after="0"/>
              <w:rPr>
                <w:sz w:val="20"/>
                <w:szCs w:val="20"/>
                <w:color w:val="auto"/>
              </w:rPr>
            </w:pPr>
            <w:r>
              <w:rPr>
                <w:rFonts w:ascii="Arial" w:cs="Arial" w:eastAsia="Arial" w:hAnsi="Arial"/>
                <w:sz w:val="14"/>
                <w:szCs w:val="14"/>
                <w:color w:val="auto"/>
                <w:w w:val="93"/>
              </w:rPr>
              <w:t>22,383</w:t>
            </w:r>
          </w:p>
        </w:tc>
        <w:tc>
          <w:tcPr>
            <w:tcW w:w="80" w:type="dxa"/>
            <w:vAlign w:val="bottom"/>
          </w:tcPr>
          <w:p>
            <w:pPr>
              <w:spacing w:after="0"/>
              <w:rPr>
                <w:sz w:val="15"/>
                <w:szCs w:val="15"/>
                <w:color w:val="auto"/>
              </w:rPr>
            </w:pPr>
          </w:p>
        </w:tc>
        <w:tc>
          <w:tcPr>
            <w:tcW w:w="480" w:type="dxa"/>
            <w:vAlign w:val="bottom"/>
          </w:tcPr>
          <w:p>
            <w:pPr>
              <w:jc w:val="right"/>
              <w:ind w:right="31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54"/>
              <w:spacing w:after="0"/>
              <w:rPr>
                <w:sz w:val="20"/>
                <w:szCs w:val="20"/>
                <w:color w:val="auto"/>
              </w:rPr>
            </w:pPr>
            <w:r>
              <w:rPr>
                <w:rFonts w:ascii="Arial" w:cs="Arial" w:eastAsia="Arial" w:hAnsi="Arial"/>
                <w:sz w:val="14"/>
                <w:szCs w:val="14"/>
                <w:color w:val="auto"/>
              </w:rPr>
              <w:t>88,483</w:t>
            </w:r>
          </w:p>
        </w:tc>
        <w:tc>
          <w:tcPr>
            <w:tcW w:w="40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13"/>
              <w:spacing w:after="0"/>
              <w:rPr>
                <w:sz w:val="20"/>
                <w:szCs w:val="20"/>
                <w:color w:val="auto"/>
              </w:rPr>
            </w:pPr>
            <w:r>
              <w:rPr>
                <w:rFonts w:ascii="Arial" w:cs="Arial" w:eastAsia="Arial" w:hAnsi="Arial"/>
                <w:sz w:val="14"/>
                <w:szCs w:val="14"/>
                <w:color w:val="auto"/>
              </w:rPr>
              <w:t>28,559</w:t>
            </w:r>
          </w:p>
        </w:tc>
      </w:tr>
      <w:tr>
        <w:trPr>
          <w:trHeight w:val="187"/>
        </w:trPr>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rPr>
              <w:t>Revenue growth on a constant currency basis</w:t>
            </w: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4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bl>
    <w:p>
      <w:pPr>
        <w:spacing w:after="0" w:line="200" w:lineRule="exact"/>
        <w:rPr>
          <w:sz w:val="20"/>
          <w:szCs w:val="20"/>
          <w:color w:val="auto"/>
        </w:rPr>
      </w:pPr>
    </w:p>
    <w:p>
      <w:pPr>
        <w:spacing w:after="0" w:line="215" w:lineRule="exact"/>
        <w:rPr>
          <w:sz w:val="20"/>
          <w:szCs w:val="20"/>
          <w:color w:val="auto"/>
        </w:rPr>
      </w:pPr>
    </w:p>
    <w:p>
      <w:pPr>
        <w:ind w:right="100" w:firstLine="345"/>
        <w:spacing w:after="0" w:line="286" w:lineRule="auto"/>
        <w:rPr>
          <w:sz w:val="20"/>
          <w:szCs w:val="20"/>
          <w:color w:val="auto"/>
        </w:rPr>
      </w:pPr>
      <w:r>
        <w:rPr>
          <w:rFonts w:ascii="Arial" w:cs="Arial" w:eastAsia="Arial" w:hAnsi="Arial"/>
          <w:sz w:val="14"/>
          <w:szCs w:val="14"/>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EBITDA, adjusted EBITDA margin, adjusted net income, adjusted net income per diluted common share, revenue growth (including by distribution channel) on a constant currency basis (expressed as a percentage) and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w:t>
      </w:r>
    </w:p>
    <w:p>
      <w:pPr>
        <w:spacing w:after="0" w:line="200" w:lineRule="exact"/>
        <w:rPr>
          <w:sz w:val="20"/>
          <w:szCs w:val="20"/>
          <w:color w:val="auto"/>
        </w:rPr>
      </w:pPr>
    </w:p>
    <w:p>
      <w:pPr>
        <w:spacing w:after="0" w:line="232"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2" w:name="page33"/>
    <w:bookmarkEnd w:id="32"/>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use can make it difficult to compare our current results with our results from other reporting periods and with the results of other companies.</w:t>
      </w:r>
    </w:p>
    <w:p>
      <w:pPr>
        <w:spacing w:after="0" w:line="103" w:lineRule="exact"/>
        <w:rPr>
          <w:sz w:val="20"/>
          <w:szCs w:val="20"/>
          <w:color w:val="auto"/>
        </w:rPr>
      </w:pPr>
    </w:p>
    <w:p>
      <w:pPr>
        <w:ind w:right="40" w:firstLine="345"/>
        <w:spacing w:after="0" w:line="284" w:lineRule="auto"/>
        <w:rPr>
          <w:sz w:val="20"/>
          <w:szCs w:val="20"/>
          <w:color w:val="auto"/>
        </w:rPr>
      </w:pPr>
      <w:r>
        <w:rPr>
          <w:rFonts w:ascii="Arial" w:cs="Arial" w:eastAsia="Arial" w:hAnsi="Arial"/>
          <w:sz w:val="14"/>
          <w:szCs w:val="14"/>
          <w:color w:val="auto"/>
        </w:rPr>
        <w:t>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52" w:lineRule="exact"/>
        <w:rPr>
          <w:sz w:val="20"/>
          <w:szCs w:val="20"/>
          <w:color w:val="auto"/>
        </w:rPr>
      </w:pPr>
    </w:p>
    <w:p>
      <w:pPr>
        <w:ind w:firstLine="345"/>
        <w:spacing w:after="0" w:line="303" w:lineRule="auto"/>
        <w:rPr>
          <w:sz w:val="20"/>
          <w:szCs w:val="20"/>
          <w:color w:val="auto"/>
        </w:rPr>
      </w:pPr>
      <w:r>
        <w:rPr>
          <w:rFonts w:ascii="Arial" w:cs="Arial" w:eastAsia="Arial" w:hAnsi="Arial"/>
          <w:sz w:val="13"/>
          <w:szCs w:val="13"/>
          <w:color w:val="auto"/>
        </w:rPr>
        <w:t>Management believes that adjusted EBITDA, adjusted EBITDA margin, adjusted net income, adjusted net income per diluted common share, revenue growth (including by distribution channel) on a constant currency basis (expressed as a percentage) and free cash flow are useful to investors because these measures enable investors to analyze our operating results on the same basis as that used by management. Additionally, management believes that adjusted EBITDA, adjusted EBITDA margin, adjusted net income and adjusted net income per diluted common share provide useful information to investors about the performance of the Company’s overall business because such measures eliminate the effects of unusual or other infrequent charges that are not directly attributable to our underlying operating performance, and that revenue growth (including by distribution channel) on a constant currency basis, provides useful information to investors by eliminating the effect of foreign currency fluctuations that are not directly attributable to our operating performance. Management also believes that providing these non-GAAP financial measures enhances the comparability for investors in assessing our financial reporting.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after excluding the impact of nonrecurring payments associated with long-term incentives related to our 2017 acquisition of Flashstock, and provides them with the same measures that management uses as the basis for making resource allocation decisions.</w:t>
      </w:r>
    </w:p>
    <w:p>
      <w:pPr>
        <w:spacing w:after="0" w:line="44" w:lineRule="exact"/>
        <w:rPr>
          <w:sz w:val="20"/>
          <w:szCs w:val="20"/>
          <w:color w:val="auto"/>
        </w:rPr>
      </w:pPr>
    </w:p>
    <w:p>
      <w:pPr>
        <w:ind w:firstLine="345"/>
        <w:spacing w:after="0" w:line="290" w:lineRule="auto"/>
        <w:rPr>
          <w:sz w:val="20"/>
          <w:szCs w:val="20"/>
          <w:color w:val="auto"/>
        </w:rPr>
      </w:pPr>
      <w:r>
        <w:rPr>
          <w:rFonts w:ascii="Arial" w:cs="Arial" w:eastAsia="Arial" w:hAnsi="Arial"/>
          <w:sz w:val="14"/>
          <w:szCs w:val="14"/>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non-GAAP financial measures should be considered in addition to other financial performance measures, including various cash flow metrics, net income and our other GAAP results.</w:t>
      </w:r>
    </w:p>
    <w:p>
      <w:pPr>
        <w:spacing w:after="0" w:line="49" w:lineRule="exact"/>
        <w:rPr>
          <w:sz w:val="20"/>
          <w:szCs w:val="20"/>
          <w:color w:val="auto"/>
        </w:rPr>
      </w:pPr>
    </w:p>
    <w:p>
      <w:pPr>
        <w:jc w:val="both"/>
        <w:ind w:right="160" w:firstLine="345"/>
        <w:spacing w:after="0" w:line="266" w:lineRule="auto"/>
        <w:rPr>
          <w:sz w:val="20"/>
          <w:szCs w:val="20"/>
          <w:color w:val="auto"/>
        </w:rPr>
      </w:pPr>
      <w:r>
        <w:rPr>
          <w:rFonts w:ascii="Arial" w:cs="Arial" w:eastAsia="Arial" w:hAnsi="Arial"/>
          <w:sz w:val="15"/>
          <w:szCs w:val="15"/>
          <w:color w:val="auto"/>
        </w:rPr>
        <w:t>Our method for calculating adjusted EBITDA, adjusted EBITDA margin, adjusted net income, adjusted net income per diluted common share, revenue growth (including by distribution channel) on a constant currency basis and free cash flow, as well as a reconciliation of the differences between adjusted EBITDA, adjusted net income, revenue growth (including by distribution channel) on a constant currency basis and free cash flow, and the most comparable financial measures calculated and presented in accordance with GAAP, are presented below.</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33" w:name="page34"/>
    <w:bookmarkEnd w:id="33"/>
    <w:p>
      <w:pPr>
        <w:ind w:left="348"/>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Adjusted EBITDA and Adjusted EBITDA Margin</w:t>
      </w:r>
    </w:p>
    <w:p>
      <w:pPr>
        <w:spacing w:after="0" w:line="57" w:lineRule="exact"/>
        <w:rPr>
          <w:sz w:val="20"/>
          <w:szCs w:val="20"/>
          <w:color w:val="auto"/>
        </w:rPr>
      </w:pPr>
    </w:p>
    <w:p>
      <w:pPr>
        <w:ind w:left="8" w:right="440" w:firstLine="345"/>
        <w:spacing w:after="0" w:line="286" w:lineRule="auto"/>
        <w:rPr>
          <w:sz w:val="20"/>
          <w:szCs w:val="20"/>
          <w:color w:val="auto"/>
        </w:rPr>
      </w:pPr>
      <w:r>
        <w:rPr>
          <w:rFonts w:ascii="Arial" w:cs="Arial" w:eastAsia="Arial" w:hAnsi="Arial"/>
          <w:sz w:val="15"/>
          <w:szCs w:val="15"/>
          <w:color w:val="auto"/>
        </w:rPr>
        <w:t xml:space="preserve">We define adjusted EBITDA as net income adjusted for depreciation and amortization, non-cash equity-based compensation, foreign currency transaction gains and losses, interest income and expense and income taxes. We define adjusted EBITDA margin as </w:t>
      </w:r>
      <w:r>
        <w:rPr>
          <w:rFonts w:ascii="Arial" w:cs="Arial" w:eastAsia="Arial" w:hAnsi="Arial"/>
          <w:sz w:val="14"/>
          <w:szCs w:val="14"/>
          <w:color w:val="auto"/>
        </w:rPr>
        <w:t>the ratio of adjusted EBITDA to revenue.</w:t>
      </w:r>
    </w:p>
    <w:p>
      <w:pPr>
        <w:spacing w:after="0" w:line="49" w:lineRule="exact"/>
        <w:rPr>
          <w:sz w:val="20"/>
          <w:szCs w:val="20"/>
          <w:color w:val="auto"/>
        </w:rPr>
      </w:pPr>
    </w:p>
    <w:p>
      <w:pPr>
        <w:ind w:left="348"/>
        <w:spacing w:after="0"/>
        <w:rPr>
          <w:sz w:val="20"/>
          <w:szCs w:val="20"/>
          <w:color w:val="auto"/>
        </w:rPr>
      </w:pPr>
      <w:r>
        <w:rPr>
          <w:rFonts w:ascii="Arial" w:cs="Arial" w:eastAsia="Arial" w:hAnsi="Arial"/>
          <w:sz w:val="15"/>
          <w:szCs w:val="15"/>
          <w:color w:val="auto"/>
        </w:rPr>
        <w:t>The following is a reconciliation of net income to adjusted EBITDA for each of the periods indicated:</w:t>
      </w:r>
    </w:p>
    <w:p>
      <w:pPr>
        <w:spacing w:after="0" w:line="60" w:lineRule="exact"/>
        <w:rPr>
          <w:sz w:val="20"/>
          <w:szCs w:val="20"/>
          <w:color w:val="auto"/>
        </w:rPr>
      </w:pPr>
    </w:p>
    <w:tbl>
      <w:tblPr>
        <w:tblLayout w:type="fixed"/>
        <w:tblInd w:w="8" w:type="dxa"/>
        <w:tblCellMar>
          <w:top w:w="0" w:type="dxa"/>
          <w:left w:w="0" w:type="dxa"/>
          <w:bottom w:w="0" w:type="dxa"/>
          <w:right w:w="0" w:type="dxa"/>
        </w:tblCellMar>
      </w:tblPr>
      <w:tr>
        <w:trPr>
          <w:trHeight w:val="164"/>
        </w:trPr>
        <w:tc>
          <w:tcPr>
            <w:tcW w:w="3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2"/>
                <w:szCs w:val="12"/>
                <w:b w:val="1"/>
                <w:bCs w:val="1"/>
                <w:color w:val="auto"/>
              </w:rPr>
              <w:t>Three Months Ended June 30,</w:t>
            </w: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2"/>
                <w:szCs w:val="12"/>
                <w:b w:val="1"/>
                <w:bCs w:val="1"/>
                <w:color w:val="auto"/>
              </w:rPr>
              <w:t>Six Months Ended June 30,</w:t>
            </w: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1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2"/>
                <w:szCs w:val="12"/>
                <w:b w:val="1"/>
                <w:bCs w:val="1"/>
                <w:color w:val="auto"/>
              </w:rPr>
              <w:t>2021</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12"/>
              <w:spacing w:after="0"/>
              <w:rPr>
                <w:sz w:val="20"/>
                <w:szCs w:val="20"/>
                <w:color w:val="auto"/>
              </w:rPr>
            </w:pPr>
            <w:r>
              <w:rPr>
                <w:rFonts w:ascii="Arial" w:cs="Arial" w:eastAsia="Arial" w:hAnsi="Arial"/>
                <w:sz w:val="12"/>
                <w:szCs w:val="12"/>
                <w:b w:val="1"/>
                <w:bCs w:val="1"/>
                <w:color w:val="auto"/>
              </w:rPr>
              <w:t>2020</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2"/>
              <w:spacing w:after="0"/>
              <w:rPr>
                <w:sz w:val="20"/>
                <w:szCs w:val="20"/>
                <w:color w:val="auto"/>
              </w:rPr>
            </w:pPr>
            <w:r>
              <w:rPr>
                <w:rFonts w:ascii="Arial" w:cs="Arial" w:eastAsia="Arial" w:hAnsi="Arial"/>
                <w:sz w:val="12"/>
                <w:szCs w:val="12"/>
                <w:b w:val="1"/>
                <w:bCs w:val="1"/>
                <w:color w:val="auto"/>
              </w:rPr>
              <w:t>2020</w:t>
            </w:r>
          </w:p>
        </w:tc>
        <w:tc>
          <w:tcPr>
            <w:tcW w:w="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gridSpan w:val="3"/>
          </w:tcPr>
          <w:p>
            <w:pPr>
              <w:ind w:left="180"/>
              <w:spacing w:after="0"/>
              <w:rPr>
                <w:sz w:val="20"/>
                <w:szCs w:val="20"/>
                <w:color w:val="auto"/>
              </w:rPr>
            </w:pPr>
            <w:r>
              <w:rPr>
                <w:rFonts w:ascii="Arial" w:cs="Arial" w:eastAsia="Arial" w:hAnsi="Arial"/>
                <w:sz w:val="12"/>
                <w:szCs w:val="12"/>
                <w:b w:val="1"/>
                <w:bCs w:val="1"/>
                <w:color w:val="auto"/>
              </w:rPr>
              <w:t>(in thousands)</w:t>
            </w: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3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3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income</w:t>
            </w:r>
          </w:p>
        </w:tc>
        <w:tc>
          <w:tcPr>
            <w:tcW w:w="72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4"/>
                <w:szCs w:val="14"/>
                <w:color w:val="auto"/>
              </w:rPr>
              <w:t>29,454</w:t>
            </w: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18,987</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58,968</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23,305</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160" w:type="dxa"/>
            <w:vAlign w:val="bottom"/>
          </w:tcPr>
          <w:p>
            <w:pPr>
              <w:ind w:left="360"/>
              <w:spacing w:after="0"/>
              <w:rPr>
                <w:sz w:val="20"/>
                <w:szCs w:val="20"/>
                <w:color w:val="auto"/>
              </w:rPr>
            </w:pPr>
            <w:r>
              <w:rPr>
                <w:rFonts w:ascii="Arial" w:cs="Arial" w:eastAsia="Arial" w:hAnsi="Arial"/>
                <w:sz w:val="14"/>
                <w:szCs w:val="14"/>
                <w:color w:val="auto"/>
              </w:rPr>
              <w:t>Add / (less) Non-GAAP adjustments:</w:t>
            </w: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1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Depreciation and amortization</w:t>
            </w:r>
          </w:p>
        </w:tc>
        <w:tc>
          <w:tcPr>
            <w:tcW w:w="7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4"/>
                <w:szCs w:val="14"/>
                <w:color w:val="auto"/>
              </w:rPr>
              <w:t>10,152</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10,851</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20,243</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21,370</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160" w:type="dxa"/>
            <w:vAlign w:val="bottom"/>
          </w:tcPr>
          <w:p>
            <w:pPr>
              <w:ind w:left="460"/>
              <w:spacing w:after="0"/>
              <w:rPr>
                <w:sz w:val="20"/>
                <w:szCs w:val="20"/>
                <w:color w:val="auto"/>
              </w:rPr>
            </w:pPr>
            <w:r>
              <w:rPr>
                <w:rFonts w:ascii="Arial" w:cs="Arial" w:eastAsia="Arial" w:hAnsi="Arial"/>
                <w:sz w:val="14"/>
                <w:szCs w:val="14"/>
                <w:color w:val="auto"/>
              </w:rPr>
              <w:t>Non-cash equity-based compensation</w:t>
            </w:r>
          </w:p>
        </w:tc>
        <w:tc>
          <w:tcPr>
            <w:tcW w:w="720" w:type="dxa"/>
            <w:vAlign w:val="bottom"/>
          </w:tcPr>
          <w:p>
            <w:pPr>
              <w:spacing w:after="0"/>
              <w:rPr>
                <w:sz w:val="15"/>
                <w:szCs w:val="15"/>
                <w:color w:val="auto"/>
              </w:rPr>
            </w:pPr>
          </w:p>
        </w:tc>
        <w:tc>
          <w:tcPr>
            <w:tcW w:w="920" w:type="dxa"/>
            <w:vAlign w:val="bottom"/>
          </w:tcPr>
          <w:p>
            <w:pPr>
              <w:jc w:val="right"/>
              <w:ind w:right="153"/>
              <w:spacing w:after="0"/>
              <w:rPr>
                <w:sz w:val="20"/>
                <w:szCs w:val="20"/>
                <w:color w:val="auto"/>
              </w:rPr>
            </w:pPr>
            <w:r>
              <w:rPr>
                <w:rFonts w:ascii="Arial" w:cs="Arial" w:eastAsia="Arial" w:hAnsi="Arial"/>
                <w:sz w:val="14"/>
                <w:szCs w:val="14"/>
                <w:color w:val="auto"/>
              </w:rPr>
              <w:t>9,686</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jc w:val="right"/>
              <w:ind w:right="152"/>
              <w:spacing w:after="0"/>
              <w:rPr>
                <w:sz w:val="20"/>
                <w:szCs w:val="20"/>
                <w:color w:val="auto"/>
              </w:rPr>
            </w:pPr>
            <w:r>
              <w:rPr>
                <w:rFonts w:ascii="Arial" w:cs="Arial" w:eastAsia="Arial" w:hAnsi="Arial"/>
                <w:sz w:val="14"/>
                <w:szCs w:val="14"/>
                <w:color w:val="auto"/>
              </w:rPr>
              <w:t>3,636</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jc w:val="right"/>
              <w:ind w:right="133"/>
              <w:spacing w:after="0"/>
              <w:rPr>
                <w:sz w:val="20"/>
                <w:szCs w:val="20"/>
                <w:color w:val="auto"/>
              </w:rPr>
            </w:pPr>
            <w:r>
              <w:rPr>
                <w:rFonts w:ascii="Arial" w:cs="Arial" w:eastAsia="Arial" w:hAnsi="Arial"/>
                <w:sz w:val="14"/>
                <w:szCs w:val="14"/>
                <w:color w:val="auto"/>
              </w:rPr>
              <w:t>17,896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jc w:val="right"/>
              <w:ind w:right="132"/>
              <w:spacing w:after="0"/>
              <w:rPr>
                <w:sz w:val="20"/>
                <w:szCs w:val="20"/>
                <w:color w:val="auto"/>
              </w:rPr>
            </w:pPr>
            <w:r>
              <w:rPr>
                <w:rFonts w:ascii="Arial" w:cs="Arial" w:eastAsia="Arial" w:hAnsi="Arial"/>
                <w:sz w:val="14"/>
                <w:szCs w:val="14"/>
                <w:color w:val="auto"/>
              </w:rPr>
              <w:t>9,396</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160" w:type="dxa"/>
            <w:vAlign w:val="bottom"/>
            <w:shd w:val="clear" w:color="auto" w:fill="CCEEFF"/>
          </w:tcPr>
          <w:p>
            <w:pPr>
              <w:ind w:left="460"/>
              <w:spacing w:after="0" w:line="187" w:lineRule="exact"/>
              <w:rPr>
                <w:sz w:val="20"/>
                <w:szCs w:val="20"/>
                <w:color w:val="auto"/>
              </w:rPr>
            </w:pPr>
            <w:r>
              <w:rPr>
                <w:rFonts w:ascii="Arial" w:cs="Arial" w:eastAsia="Arial" w:hAnsi="Arial"/>
                <w:sz w:val="14"/>
                <w:szCs w:val="14"/>
                <w:color w:val="auto"/>
              </w:rPr>
              <w:t>Other adjustments, net</w:t>
            </w:r>
            <w:r>
              <w:rPr>
                <w:rFonts w:ascii="Arial" w:cs="Arial" w:eastAsia="Arial" w:hAnsi="Arial"/>
                <w:sz w:val="17"/>
                <w:szCs w:val="17"/>
                <w:color w:val="auto"/>
                <w:vertAlign w:val="superscript"/>
              </w:rPr>
              <w:t>(1)</w:t>
            </w:r>
          </w:p>
        </w:tc>
        <w:tc>
          <w:tcPr>
            <w:tcW w:w="7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(1,323)</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(149)</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1,139</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(662)</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1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Provision for income taxes</w:t>
            </w:r>
          </w:p>
        </w:tc>
        <w:tc>
          <w:tcPr>
            <w:tcW w:w="7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5,094</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3,707</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11,236</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5,683</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Adjusted EBITDA</w:t>
            </w:r>
          </w:p>
        </w:tc>
        <w:tc>
          <w:tcPr>
            <w:tcW w:w="72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4"/>
                <w:szCs w:val="14"/>
                <w:color w:val="auto"/>
              </w:rPr>
              <w:t>53,063</w:t>
            </w: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37,032</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109,482</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59,092</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color w:val="auto"/>
              </w:rPr>
              <w:t>Adjusted EBITDA margin</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1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jc w:val="right"/>
              <w:ind w:right="153"/>
              <w:spacing w:after="0" w:line="144" w:lineRule="exact"/>
              <w:rPr>
                <w:sz w:val="20"/>
                <w:szCs w:val="20"/>
                <w:color w:val="auto"/>
              </w:rPr>
            </w:pPr>
            <w:r>
              <w:rPr>
                <w:rFonts w:ascii="Arial" w:cs="Arial" w:eastAsia="Arial" w:hAnsi="Arial"/>
                <w:sz w:val="14"/>
                <w:szCs w:val="14"/>
                <w:color w:val="auto"/>
              </w:rPr>
              <w:t>27.9</w:t>
            </w:r>
          </w:p>
        </w:tc>
        <w:tc>
          <w:tcPr>
            <w:tcW w:w="30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jc w:val="right"/>
              <w:ind w:right="152"/>
              <w:spacing w:after="0" w:line="144" w:lineRule="exact"/>
              <w:rPr>
                <w:sz w:val="20"/>
                <w:szCs w:val="20"/>
                <w:color w:val="auto"/>
              </w:rPr>
            </w:pPr>
            <w:r>
              <w:rPr>
                <w:rFonts w:ascii="Arial" w:cs="Arial" w:eastAsia="Arial" w:hAnsi="Arial"/>
                <w:sz w:val="14"/>
                <w:szCs w:val="14"/>
                <w:color w:val="auto"/>
              </w:rPr>
              <w:t>23.3</w:t>
            </w:r>
          </w:p>
        </w:tc>
        <w:tc>
          <w:tcPr>
            <w:tcW w:w="300" w:type="dxa"/>
            <w:vAlign w:val="bottom"/>
          </w:tcPr>
          <w:p>
            <w:pPr>
              <w:ind w:left="180"/>
              <w:spacing w:after="0" w:line="144" w:lineRule="exact"/>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jc w:val="right"/>
              <w:ind w:right="133"/>
              <w:spacing w:after="0" w:line="144" w:lineRule="exact"/>
              <w:rPr>
                <w:sz w:val="20"/>
                <w:szCs w:val="20"/>
                <w:color w:val="auto"/>
              </w:rPr>
            </w:pPr>
            <w:r>
              <w:rPr>
                <w:rFonts w:ascii="Arial" w:cs="Arial" w:eastAsia="Arial" w:hAnsi="Arial"/>
                <w:sz w:val="14"/>
                <w:szCs w:val="14"/>
                <w:color w:val="auto"/>
              </w:rPr>
              <w:t>29.3</w:t>
            </w:r>
          </w:p>
        </w:tc>
        <w:tc>
          <w:tcPr>
            <w:tcW w:w="32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18.4</w:t>
            </w:r>
          </w:p>
        </w:tc>
        <w:tc>
          <w:tcPr>
            <w:tcW w:w="32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348"/>
        <w:spacing w:after="0"/>
        <w:rPr>
          <w:sz w:val="20"/>
          <w:szCs w:val="20"/>
          <w:color w:val="auto"/>
        </w:rPr>
      </w:pPr>
      <w:r>
        <w:rPr>
          <w:rFonts w:ascii="Arial" w:cs="Arial" w:eastAsia="Arial" w:hAnsi="Arial"/>
          <w:sz w:val="15"/>
          <w:szCs w:val="15"/>
          <w:color w:val="auto"/>
        </w:rPr>
        <w:t>_______________________________________________________________________________</w:t>
      </w:r>
    </w:p>
    <w:p>
      <w:pPr>
        <w:spacing w:after="0" w:line="98" w:lineRule="exact"/>
        <w:rPr>
          <w:sz w:val="20"/>
          <w:szCs w:val="20"/>
          <w:color w:val="auto"/>
        </w:rPr>
      </w:pPr>
    </w:p>
    <w:p>
      <w:pPr>
        <w:ind w:left="268" w:hanging="268"/>
        <w:spacing w:after="0"/>
        <w:tabs>
          <w:tab w:leader="none" w:pos="268"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Included in other adjustments, net are foreign currency transaction gains and losses and interest income and expense.</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Adjusted Net Income and Adjusted Net Income Per Diluted Common Share</w:t>
      </w:r>
    </w:p>
    <w:p>
      <w:pPr>
        <w:spacing w:after="0" w:line="57" w:lineRule="exact"/>
        <w:rPr>
          <w:sz w:val="20"/>
          <w:szCs w:val="20"/>
          <w:color w:val="auto"/>
        </w:rPr>
      </w:pPr>
    </w:p>
    <w:p>
      <w:pPr>
        <w:ind w:left="8" w:right="300" w:firstLine="345"/>
        <w:spacing w:after="0" w:line="324" w:lineRule="auto"/>
        <w:rPr>
          <w:sz w:val="20"/>
          <w:szCs w:val="20"/>
          <w:color w:val="auto"/>
        </w:rPr>
      </w:pPr>
      <w:r>
        <w:rPr>
          <w:rFonts w:ascii="Arial" w:cs="Arial" w:eastAsia="Arial" w:hAnsi="Arial"/>
          <w:sz w:val="14"/>
          <w:szCs w:val="14"/>
          <w:color w:val="auto"/>
        </w:rPr>
        <w:t xml:space="preserve">We define adjusted net income as net income adjusted for the impact of non-cash equity-based compensation, the amortization of acquisition-related intangible assets and the estimated tax impact of such adjustments. We define adjusted net income per diluted common share as </w:t>
      </w:r>
      <w:r>
        <w:rPr>
          <w:rFonts w:ascii="Arial" w:cs="Arial" w:eastAsia="Arial" w:hAnsi="Arial"/>
          <w:sz w:val="13"/>
          <w:szCs w:val="13"/>
          <w:color w:val="auto"/>
        </w:rPr>
        <w:t>adjusted net income divided by weighted average diluted shares.</w:t>
      </w:r>
    </w:p>
    <w:p>
      <w:pPr>
        <w:spacing w:after="0" w:line="25" w:lineRule="exact"/>
        <w:rPr>
          <w:sz w:val="20"/>
          <w:szCs w:val="20"/>
          <w:color w:val="auto"/>
        </w:rPr>
      </w:pPr>
    </w:p>
    <w:p>
      <w:pPr>
        <w:ind w:left="348"/>
        <w:spacing w:after="0"/>
        <w:rPr>
          <w:sz w:val="20"/>
          <w:szCs w:val="20"/>
          <w:color w:val="auto"/>
        </w:rPr>
      </w:pPr>
      <w:r>
        <w:rPr>
          <w:rFonts w:ascii="Arial" w:cs="Arial" w:eastAsia="Arial" w:hAnsi="Arial"/>
          <w:sz w:val="15"/>
          <w:szCs w:val="15"/>
          <w:color w:val="auto"/>
        </w:rPr>
        <w:t>The following is a reconciliation of net income to adjusted net income for each of the periods indicated:</w:t>
      </w:r>
    </w:p>
    <w:p>
      <w:pPr>
        <w:spacing w:after="0" w:line="60" w:lineRule="exact"/>
        <w:rPr>
          <w:sz w:val="20"/>
          <w:szCs w:val="20"/>
          <w:color w:val="auto"/>
        </w:rPr>
      </w:pPr>
    </w:p>
    <w:tbl>
      <w:tblPr>
        <w:tblLayout w:type="fixed"/>
        <w:tblInd w:w="8" w:type="dxa"/>
        <w:tblCellMar>
          <w:top w:w="0" w:type="dxa"/>
          <w:left w:w="0" w:type="dxa"/>
          <w:bottom w:w="0" w:type="dxa"/>
          <w:right w:w="0" w:type="dxa"/>
        </w:tblCellMar>
      </w:tblPr>
      <w:tr>
        <w:trPr>
          <w:trHeight w:val="164"/>
        </w:trPr>
        <w:tc>
          <w:tcPr>
            <w:tcW w:w="4380" w:type="dxa"/>
            <w:vAlign w:val="bottom"/>
          </w:tcPr>
          <w:p>
            <w:pPr>
              <w:spacing w:after="0"/>
              <w:rPr>
                <w:sz w:val="14"/>
                <w:szCs w:val="14"/>
                <w:color w:val="auto"/>
              </w:rPr>
            </w:pPr>
          </w:p>
        </w:tc>
        <w:tc>
          <w:tcPr>
            <w:tcW w:w="290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2"/>
                <w:szCs w:val="12"/>
                <w:b w:val="1"/>
                <w:bCs w:val="1"/>
                <w:color w:val="auto"/>
              </w:rPr>
              <w:t>Three Months Ended 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Six Months Ended June 30,</w:t>
            </w:r>
          </w:p>
        </w:tc>
        <w:tc>
          <w:tcPr>
            <w:tcW w:w="800" w:type="dxa"/>
            <w:vAlign w:val="bottom"/>
            <w:tcBorders>
              <w:bottom w:val="single" w:sz="8" w:color="auto"/>
            </w:tcBorders>
          </w:tcPr>
          <w:p>
            <w:pPr>
              <w:spacing w:after="0"/>
              <w:rPr>
                <w:sz w:val="14"/>
                <w:szCs w:val="14"/>
                <w:color w:val="auto"/>
              </w:rPr>
            </w:pPr>
          </w:p>
        </w:tc>
      </w:tr>
      <w:tr>
        <w:trPr>
          <w:trHeight w:val="157"/>
        </w:trPr>
        <w:tc>
          <w:tcPr>
            <w:tcW w:w="4380" w:type="dxa"/>
            <w:vAlign w:val="bottom"/>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3"/>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72"/>
              <w:spacing w:after="0"/>
              <w:rPr>
                <w:sz w:val="20"/>
                <w:szCs w:val="20"/>
                <w:color w:val="auto"/>
              </w:rPr>
            </w:pPr>
            <w:r>
              <w:rPr>
                <w:rFonts w:ascii="Arial" w:cs="Arial" w:eastAsia="Arial" w:hAnsi="Arial"/>
                <w:sz w:val="12"/>
                <w:szCs w:val="12"/>
                <w:b w:val="1"/>
                <w:bCs w:val="1"/>
                <w:color w:val="auto"/>
                <w:w w:val="89"/>
              </w:rPr>
              <w:t>2020</w:t>
            </w:r>
          </w:p>
        </w:tc>
      </w:tr>
      <w:tr>
        <w:trPr>
          <w:trHeight w:val="152"/>
        </w:trPr>
        <w:tc>
          <w:tcPr>
            <w:tcW w:w="4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60" w:type="dxa"/>
            <w:vAlign w:val="bottom"/>
            <w:gridSpan w:val="3"/>
          </w:tcPr>
          <w:p>
            <w:pPr>
              <w:jc w:val="right"/>
              <w:ind w:right="111"/>
              <w:spacing w:after="0"/>
              <w:rPr>
                <w:sz w:val="20"/>
                <w:szCs w:val="20"/>
                <w:color w:val="auto"/>
              </w:rPr>
            </w:pPr>
            <w:r>
              <w:rPr>
                <w:rFonts w:ascii="Arial" w:cs="Arial" w:eastAsia="Arial" w:hAnsi="Arial"/>
                <w:sz w:val="12"/>
                <w:szCs w:val="12"/>
                <w:b w:val="1"/>
                <w:bCs w:val="1"/>
                <w:color w:val="auto"/>
              </w:rPr>
              <w:t>(in thousands)</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48"/>
        </w:trPr>
        <w:tc>
          <w:tcPr>
            <w:tcW w:w="43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84"/>
        </w:trPr>
        <w:tc>
          <w:tcPr>
            <w:tcW w:w="4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income</w:t>
            </w:r>
          </w:p>
        </w:tc>
        <w:tc>
          <w:tcPr>
            <w:tcW w:w="116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29,454</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73"/>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18,987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58,968</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5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23,305</w:t>
            </w:r>
          </w:p>
        </w:tc>
      </w:tr>
      <w:tr>
        <w:trPr>
          <w:trHeight w:val="181"/>
        </w:trPr>
        <w:tc>
          <w:tcPr>
            <w:tcW w:w="4380" w:type="dxa"/>
            <w:vAlign w:val="bottom"/>
          </w:tcPr>
          <w:p>
            <w:pPr>
              <w:ind w:left="360"/>
              <w:spacing w:after="0"/>
              <w:rPr>
                <w:sz w:val="20"/>
                <w:szCs w:val="20"/>
                <w:color w:val="auto"/>
              </w:rPr>
            </w:pPr>
            <w:r>
              <w:rPr>
                <w:rFonts w:ascii="Arial" w:cs="Arial" w:eastAsia="Arial" w:hAnsi="Arial"/>
                <w:sz w:val="14"/>
                <w:szCs w:val="14"/>
                <w:color w:val="auto"/>
              </w:rPr>
              <w:t>Add / (less) Non-GAAP adjustments:</w:t>
            </w: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7"/>
        </w:trPr>
        <w:tc>
          <w:tcPr>
            <w:tcW w:w="43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Non-cash equity-based compensation</w:t>
            </w:r>
          </w:p>
        </w:tc>
        <w:tc>
          <w:tcPr>
            <w:tcW w:w="1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9,686</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3,636</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17,896</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9,396</w:t>
            </w:r>
          </w:p>
        </w:tc>
      </w:tr>
      <w:tr>
        <w:trPr>
          <w:trHeight w:val="184"/>
        </w:trPr>
        <w:tc>
          <w:tcPr>
            <w:tcW w:w="4380" w:type="dxa"/>
            <w:vAlign w:val="bottom"/>
          </w:tcPr>
          <w:p>
            <w:pPr>
              <w:ind w:left="460"/>
              <w:spacing w:after="0" w:line="184" w:lineRule="exact"/>
              <w:rPr>
                <w:sz w:val="20"/>
                <w:szCs w:val="20"/>
                <w:color w:val="auto"/>
              </w:rPr>
            </w:pPr>
            <w:r>
              <w:rPr>
                <w:rFonts w:ascii="Arial" w:cs="Arial" w:eastAsia="Arial" w:hAnsi="Arial"/>
                <w:sz w:val="14"/>
                <w:szCs w:val="14"/>
                <w:color w:val="auto"/>
              </w:rPr>
              <w:t>Tax effect of non-cash equity-based compensation</w:t>
            </w:r>
            <w:r>
              <w:rPr>
                <w:rFonts w:ascii="Arial" w:cs="Arial" w:eastAsia="Arial" w:hAnsi="Arial"/>
                <w:sz w:val="17"/>
                <w:szCs w:val="17"/>
                <w:color w:val="auto"/>
                <w:vertAlign w:val="superscript"/>
              </w:rPr>
              <w:t>(1)</w:t>
            </w:r>
          </w:p>
        </w:tc>
        <w:tc>
          <w:tcPr>
            <w:tcW w:w="1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9"/>
              </w:rPr>
              <w:t>(2,276)</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(854)</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(4,205)</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(2,208)</w:t>
            </w:r>
          </w:p>
        </w:tc>
      </w:tr>
      <w:tr>
        <w:trPr>
          <w:trHeight w:val="184"/>
        </w:trPr>
        <w:tc>
          <w:tcPr>
            <w:tcW w:w="43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Acquisition-related amortization expense</w:t>
            </w:r>
          </w:p>
        </w:tc>
        <w:tc>
          <w:tcPr>
            <w:tcW w:w="1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w:t>
            </w:r>
          </w:p>
        </w:tc>
      </w:tr>
      <w:tr>
        <w:trPr>
          <w:trHeight w:val="184"/>
        </w:trPr>
        <w:tc>
          <w:tcPr>
            <w:tcW w:w="4380" w:type="dxa"/>
            <w:vAlign w:val="bottom"/>
            <w:tcBorders>
              <w:bottom w:val="single" w:sz="8" w:color="CCEEFF"/>
            </w:tcBorders>
          </w:tcPr>
          <w:p>
            <w:pPr>
              <w:ind w:left="460"/>
              <w:spacing w:after="0" w:line="184" w:lineRule="exact"/>
              <w:rPr>
                <w:sz w:val="20"/>
                <w:szCs w:val="20"/>
                <w:color w:val="auto"/>
              </w:rPr>
            </w:pPr>
            <w:r>
              <w:rPr>
                <w:rFonts w:ascii="Arial" w:cs="Arial" w:eastAsia="Arial" w:hAnsi="Arial"/>
                <w:sz w:val="14"/>
                <w:szCs w:val="14"/>
                <w:color w:val="auto"/>
              </w:rPr>
              <w:t>Tax effect of acquisition-related amortization expense</w:t>
            </w:r>
            <w:r>
              <w:rPr>
                <w:rFonts w:ascii="Arial" w:cs="Arial" w:eastAsia="Arial" w:hAnsi="Arial"/>
                <w:sz w:val="17"/>
                <w:szCs w:val="17"/>
                <w:color w:val="auto"/>
                <w:vertAlign w:val="superscript"/>
              </w:rPr>
              <w:t>(1)</w:t>
            </w:r>
          </w:p>
        </w:tc>
        <w:tc>
          <w:tcPr>
            <w:tcW w:w="1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w:t>
            </w:r>
          </w:p>
        </w:tc>
      </w:tr>
      <w:tr>
        <w:trPr>
          <w:trHeight w:val="200"/>
        </w:trPr>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Adjusted net income</w:t>
            </w:r>
          </w:p>
        </w:tc>
        <w:tc>
          <w:tcPr>
            <w:tcW w:w="116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37,935</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22,162</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74,571</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31,321</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73"/>
        </w:trPr>
        <w:tc>
          <w:tcPr>
            <w:tcW w:w="4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Adjusted net income per diluted common share</w:t>
            </w:r>
          </w:p>
        </w:tc>
        <w:tc>
          <w:tcPr>
            <w:tcW w:w="116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73"/>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5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0.87</w:t>
            </w:r>
          </w:p>
        </w:tc>
      </w:tr>
    </w:tbl>
    <w:p>
      <w:pPr>
        <w:spacing w:after="0" w:line="145" w:lineRule="exact"/>
        <w:rPr>
          <w:sz w:val="20"/>
          <w:szCs w:val="20"/>
          <w:color w:val="auto"/>
        </w:rPr>
      </w:pPr>
    </w:p>
    <w:p>
      <w:pPr>
        <w:ind w:left="268" w:hanging="268"/>
        <w:spacing w:after="0"/>
        <w:tabs>
          <w:tab w:leader="none" w:pos="268" w:val="left"/>
        </w:tabs>
        <w:numPr>
          <w:ilvl w:val="0"/>
          <w:numId w:val="11"/>
        </w:numPr>
        <w:rPr>
          <w:rFonts w:ascii="Arial" w:cs="Arial" w:eastAsia="Arial" w:hAnsi="Arial"/>
          <w:sz w:val="11"/>
          <w:szCs w:val="11"/>
          <w:color w:val="auto"/>
        </w:rPr>
      </w:pPr>
      <w:r>
        <w:rPr>
          <w:rFonts w:ascii="Arial" w:cs="Arial" w:eastAsia="Arial" w:hAnsi="Arial"/>
          <w:sz w:val="12"/>
          <w:szCs w:val="12"/>
          <w:color w:val="auto"/>
        </w:rPr>
        <w:t>Statutory tax rates are used to calculate the tax effect of the adjustments.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118110</wp:posOffset>
            </wp:positionV>
            <wp:extent cx="717804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29" w:right="319" w:bottom="1440" w:gutter="0" w:footer="0" w:header="0"/>
        </w:sectPr>
      </w:pPr>
    </w:p>
    <w:bookmarkStart w:id="34" w:name="page35"/>
    <w:bookmarkEnd w:id="34"/>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 Growth (including by distribution channel) on a Constant Currency Basis</w:t>
      </w:r>
    </w:p>
    <w:p>
      <w:pPr>
        <w:spacing w:after="0" w:line="57" w:lineRule="exact"/>
        <w:rPr>
          <w:sz w:val="20"/>
          <w:szCs w:val="20"/>
          <w:color w:val="auto"/>
        </w:rPr>
      </w:pPr>
    </w:p>
    <w:p>
      <w:pPr>
        <w:ind w:right="440" w:firstLine="345"/>
        <w:spacing w:after="0" w:line="286" w:lineRule="auto"/>
        <w:rPr>
          <w:sz w:val="20"/>
          <w:szCs w:val="20"/>
          <w:color w:val="auto"/>
        </w:rPr>
      </w:pPr>
      <w:r>
        <w:rPr>
          <w:rFonts w:ascii="Arial" w:cs="Arial" w:eastAsia="Arial" w:hAnsi="Arial"/>
          <w:sz w:val="15"/>
          <w:szCs w:val="15"/>
          <w:color w:val="auto"/>
        </w:rPr>
        <w:t>We define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0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Three Months Ended June 30,</w:t>
            </w: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2"/>
                <w:szCs w:val="12"/>
                <w:b w:val="1"/>
                <w:bCs w:val="1"/>
                <w:color w:val="auto"/>
                <w:w w:val="91"/>
              </w:rPr>
              <w:t>Six Months Ended June 30,</w:t>
            </w: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0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2"/>
                <w:szCs w:val="12"/>
                <w:b w:val="1"/>
                <w:bCs w:val="1"/>
                <w:color w:val="auto"/>
              </w:rPr>
              <w:t>2021</w:t>
            </w:r>
          </w:p>
        </w:tc>
        <w:tc>
          <w:tcPr>
            <w:tcW w:w="1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2"/>
                <w:szCs w:val="12"/>
                <w:b w:val="1"/>
                <w:bCs w:val="1"/>
                <w:color w:val="auto"/>
              </w:rPr>
              <w:t>2020</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2"/>
                <w:szCs w:val="12"/>
                <w:b w:val="1"/>
                <w:bCs w:val="1"/>
                <w:color w:val="auto"/>
              </w:rPr>
              <w:t>2021</w:t>
            </w:r>
          </w:p>
        </w:tc>
        <w:tc>
          <w:tcPr>
            <w:tcW w:w="1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2"/>
                <w:szCs w:val="12"/>
                <w:b w:val="1"/>
                <w:bCs w:val="1"/>
                <w:color w:val="auto"/>
              </w:rPr>
              <w:t>2020</w:t>
            </w:r>
          </w:p>
        </w:tc>
        <w:tc>
          <w:tcPr>
            <w:tcW w:w="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rPr>
              <w:t>(in thousands)</w:t>
            </w:r>
          </w:p>
        </w:tc>
        <w:tc>
          <w:tcPr>
            <w:tcW w:w="7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3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30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Reported revenue (in thousands)</w:t>
            </w:r>
          </w:p>
        </w:tc>
        <w:tc>
          <w:tcPr>
            <w:tcW w:w="72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189,912</w:t>
            </w:r>
          </w:p>
        </w:tc>
        <w:tc>
          <w:tcPr>
            <w:tcW w:w="1380" w:type="dxa"/>
            <w:vAlign w:val="bottom"/>
            <w:shd w:val="clear" w:color="auto" w:fill="CCEEFF"/>
          </w:tcPr>
          <w:p>
            <w:pPr>
              <w:jc w:val="right"/>
              <w:ind w:right="4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w w:val="94"/>
              </w:rPr>
              <w:t>159,230</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373,193</w:t>
            </w:r>
          </w:p>
        </w:tc>
        <w:tc>
          <w:tcPr>
            <w:tcW w:w="152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320,515</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80" w:type="dxa"/>
            <w:vAlign w:val="bottom"/>
          </w:tcPr>
          <w:p>
            <w:pPr>
              <w:ind w:left="460"/>
              <w:spacing w:after="0"/>
              <w:rPr>
                <w:sz w:val="20"/>
                <w:szCs w:val="20"/>
                <w:color w:val="auto"/>
              </w:rPr>
            </w:pPr>
            <w:r>
              <w:rPr>
                <w:rFonts w:ascii="Arial" w:cs="Arial" w:eastAsia="Arial" w:hAnsi="Arial"/>
                <w:sz w:val="14"/>
                <w:szCs w:val="14"/>
                <w:i w:val="1"/>
                <w:iCs w:val="1"/>
                <w:color w:val="auto"/>
              </w:rPr>
              <w:t>Revenue growth</w:t>
            </w:r>
          </w:p>
        </w:tc>
        <w:tc>
          <w:tcPr>
            <w:tcW w:w="720" w:type="dxa"/>
            <w:vAlign w:val="bottom"/>
          </w:tcPr>
          <w:p>
            <w:pPr>
              <w:spacing w:after="0"/>
              <w:rPr>
                <w:sz w:val="15"/>
                <w:szCs w:val="15"/>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i w:val="1"/>
                <w:iCs w:val="1"/>
                <w:color w:val="auto"/>
              </w:rPr>
              <w:t>19</w:t>
            </w:r>
          </w:p>
        </w:tc>
        <w:tc>
          <w:tcPr>
            <w:tcW w:w="1380" w:type="dxa"/>
            <w:vAlign w:val="bottom"/>
          </w:tcPr>
          <w:p>
            <w:pPr>
              <w:jc w:val="right"/>
              <w:ind w:right="991"/>
              <w:spacing w:after="0"/>
              <w:rPr>
                <w:sz w:val="20"/>
                <w:szCs w:val="20"/>
                <w:color w:val="auto"/>
              </w:rPr>
            </w:pPr>
            <w:r>
              <w:rPr>
                <w:rFonts w:ascii="Arial" w:cs="Arial" w:eastAsia="Arial" w:hAnsi="Arial"/>
                <w:sz w:val="14"/>
                <w:szCs w:val="14"/>
                <w:i w:val="1"/>
                <w:iCs w:val="1"/>
                <w:color w:val="auto"/>
              </w:rPr>
              <w:t>%</w:t>
            </w:r>
          </w:p>
        </w:tc>
        <w:tc>
          <w:tcPr>
            <w:tcW w:w="700" w:type="dxa"/>
            <w:vAlign w:val="bottom"/>
          </w:tcPr>
          <w:p>
            <w:pPr>
              <w:jc w:val="right"/>
              <w:ind w:right="92"/>
              <w:spacing w:after="0"/>
              <w:rPr>
                <w:sz w:val="20"/>
                <w:szCs w:val="20"/>
                <w:color w:val="auto"/>
              </w:rPr>
            </w:pPr>
            <w:r>
              <w:rPr>
                <w:rFonts w:ascii="Arial" w:cs="Arial" w:eastAsia="Arial" w:hAnsi="Arial"/>
                <w:sz w:val="14"/>
                <w:szCs w:val="14"/>
                <w:i w:val="1"/>
                <w:iCs w:val="1"/>
                <w:color w:val="auto"/>
              </w:rPr>
              <w:t>(2)</w:t>
            </w:r>
          </w:p>
        </w:tc>
        <w:tc>
          <w:tcPr>
            <w:tcW w:w="32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i w:val="1"/>
                <w:iCs w:val="1"/>
                <w:color w:val="auto"/>
              </w:rPr>
              <w:t>16</w:t>
            </w:r>
          </w:p>
        </w:tc>
        <w:tc>
          <w:tcPr>
            <w:tcW w:w="1520" w:type="dxa"/>
            <w:vAlign w:val="bottom"/>
          </w:tcPr>
          <w:p>
            <w:pPr>
              <w:jc w:val="right"/>
              <w:ind w:right="952"/>
              <w:spacing w:after="0"/>
              <w:rPr>
                <w:sz w:val="20"/>
                <w:szCs w:val="20"/>
                <w:color w:val="auto"/>
              </w:rPr>
            </w:pPr>
            <w:r>
              <w:rPr>
                <w:rFonts w:ascii="Arial" w:cs="Arial" w:eastAsia="Arial" w:hAnsi="Arial"/>
                <w:sz w:val="14"/>
                <w:szCs w:val="14"/>
                <w:i w:val="1"/>
                <w:iCs w:val="1"/>
                <w:color w:val="auto"/>
              </w:rPr>
              <w:t>%</w:t>
            </w:r>
          </w:p>
        </w:tc>
        <w:tc>
          <w:tcPr>
            <w:tcW w:w="740" w:type="dxa"/>
            <w:vAlign w:val="bottom"/>
          </w:tcPr>
          <w:p>
            <w:pPr>
              <w:jc w:val="right"/>
              <w:ind w:right="92"/>
              <w:spacing w:after="0"/>
              <w:rPr>
                <w:sz w:val="20"/>
                <w:szCs w:val="20"/>
                <w:color w:val="auto"/>
              </w:rPr>
            </w:pPr>
            <w:r>
              <w:rPr>
                <w:rFonts w:ascii="Arial" w:cs="Arial" w:eastAsia="Arial" w:hAnsi="Arial"/>
                <w:sz w:val="14"/>
                <w:szCs w:val="14"/>
                <w:i w:val="1"/>
                <w:iCs w:val="1"/>
                <w:color w:val="auto"/>
              </w:rPr>
              <w:t>(1)</w:t>
            </w:r>
          </w:p>
        </w:tc>
        <w:tc>
          <w:tcPr>
            <w:tcW w:w="32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187"/>
        </w:trPr>
        <w:tc>
          <w:tcPr>
            <w:tcW w:w="3080" w:type="dxa"/>
            <w:vAlign w:val="bottom"/>
            <w:shd w:val="clear" w:color="auto" w:fill="CCEEFF"/>
          </w:tcPr>
          <w:p>
            <w:pPr>
              <w:ind w:left="460"/>
              <w:spacing w:after="0"/>
              <w:rPr>
                <w:sz w:val="20"/>
                <w:szCs w:val="20"/>
                <w:color w:val="auto"/>
              </w:rPr>
            </w:pPr>
            <w:r>
              <w:rPr>
                <w:rFonts w:ascii="Arial" w:cs="Arial" w:eastAsia="Arial" w:hAnsi="Arial"/>
                <w:sz w:val="14"/>
                <w:szCs w:val="14"/>
                <w:i w:val="1"/>
                <w:iCs w:val="1"/>
                <w:color w:val="auto"/>
                <w:w w:val="91"/>
              </w:rPr>
              <w:t>Revenue growth on a constant currency basis</w:t>
            </w:r>
          </w:p>
        </w:tc>
        <w:tc>
          <w:tcPr>
            <w:tcW w:w="7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4"/>
                <w:szCs w:val="14"/>
                <w:i w:val="1"/>
                <w:iCs w:val="1"/>
                <w:color w:val="auto"/>
              </w:rPr>
              <w:t>16</w:t>
            </w:r>
          </w:p>
        </w:tc>
        <w:tc>
          <w:tcPr>
            <w:tcW w:w="1380" w:type="dxa"/>
            <w:vAlign w:val="bottom"/>
            <w:shd w:val="clear" w:color="auto" w:fill="CCEEFF"/>
          </w:tcPr>
          <w:p>
            <w:pPr>
              <w:jc w:val="right"/>
              <w:ind w:right="991"/>
              <w:spacing w:after="0"/>
              <w:rPr>
                <w:sz w:val="20"/>
                <w:szCs w:val="20"/>
                <w:color w:val="auto"/>
              </w:rPr>
            </w:pPr>
            <w:r>
              <w:rPr>
                <w:rFonts w:ascii="Arial" w:cs="Arial" w:eastAsia="Arial" w:hAnsi="Arial"/>
                <w:sz w:val="14"/>
                <w:szCs w:val="14"/>
                <w:i w:val="1"/>
                <w:iCs w:val="1"/>
                <w:color w:val="auto"/>
              </w:rPr>
              <w:t>%</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4"/>
                <w:szCs w:val="14"/>
                <w:i w:val="1"/>
                <w:iCs w:val="1"/>
                <w:color w:val="auto"/>
              </w:rPr>
              <w:t>(1)</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13</w:t>
            </w:r>
          </w:p>
        </w:tc>
        <w:tc>
          <w:tcPr>
            <w:tcW w:w="1520" w:type="dxa"/>
            <w:vAlign w:val="bottom"/>
            <w:shd w:val="clear" w:color="auto" w:fill="CCEEFF"/>
          </w:tcPr>
          <w:p>
            <w:pPr>
              <w:jc w:val="right"/>
              <w:ind w:right="952"/>
              <w:spacing w:after="0"/>
              <w:rPr>
                <w:sz w:val="20"/>
                <w:szCs w:val="20"/>
                <w:color w:val="auto"/>
              </w:rPr>
            </w:pPr>
            <w:r>
              <w:rPr>
                <w:rFonts w:ascii="Arial" w:cs="Arial" w:eastAsia="Arial" w:hAnsi="Arial"/>
                <w:sz w:val="14"/>
                <w:szCs w:val="14"/>
                <w:i w:val="1"/>
                <w:iCs w:val="1"/>
                <w:color w:val="auto"/>
              </w:rPr>
              <w: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4"/>
                <w:szCs w:val="14"/>
                <w:i w:val="1"/>
                <w:iCs w:val="1"/>
                <w:color w:val="auto"/>
              </w:rPr>
              <w:t>(1)</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46"/>
        </w:trPr>
        <w:tc>
          <w:tcPr>
            <w:tcW w:w="3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08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5"/>
              </w:rPr>
              <w:t>E-commerce reported revenue (in thousands)</w:t>
            </w:r>
          </w:p>
        </w:tc>
        <w:tc>
          <w:tcPr>
            <w:tcW w:w="72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120,715</w:t>
            </w:r>
          </w:p>
        </w:tc>
        <w:tc>
          <w:tcPr>
            <w:tcW w:w="1380" w:type="dxa"/>
            <w:vAlign w:val="bottom"/>
            <w:shd w:val="clear" w:color="auto" w:fill="CCEEFF"/>
          </w:tcPr>
          <w:p>
            <w:pPr>
              <w:jc w:val="right"/>
              <w:ind w:right="4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98,164</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239,115</w:t>
            </w:r>
          </w:p>
        </w:tc>
        <w:tc>
          <w:tcPr>
            <w:tcW w:w="152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197,900</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80" w:type="dxa"/>
            <w:vAlign w:val="bottom"/>
          </w:tcPr>
          <w:p>
            <w:pPr>
              <w:ind w:left="460"/>
              <w:spacing w:after="0"/>
              <w:rPr>
                <w:sz w:val="20"/>
                <w:szCs w:val="20"/>
                <w:color w:val="auto"/>
              </w:rPr>
            </w:pPr>
            <w:r>
              <w:rPr>
                <w:rFonts w:ascii="Arial" w:cs="Arial" w:eastAsia="Arial" w:hAnsi="Arial"/>
                <w:sz w:val="14"/>
                <w:szCs w:val="14"/>
                <w:i w:val="1"/>
                <w:iCs w:val="1"/>
                <w:color w:val="auto"/>
              </w:rPr>
              <w:t>E-commerce revenue growth</w:t>
            </w:r>
          </w:p>
        </w:tc>
        <w:tc>
          <w:tcPr>
            <w:tcW w:w="720" w:type="dxa"/>
            <w:vAlign w:val="bottom"/>
          </w:tcPr>
          <w:p>
            <w:pPr>
              <w:spacing w:after="0"/>
              <w:rPr>
                <w:sz w:val="15"/>
                <w:szCs w:val="15"/>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i w:val="1"/>
                <w:iCs w:val="1"/>
                <w:color w:val="auto"/>
              </w:rPr>
              <w:t>23</w:t>
            </w:r>
          </w:p>
        </w:tc>
        <w:tc>
          <w:tcPr>
            <w:tcW w:w="1380" w:type="dxa"/>
            <w:vAlign w:val="bottom"/>
          </w:tcPr>
          <w:p>
            <w:pPr>
              <w:jc w:val="right"/>
              <w:ind w:right="991"/>
              <w:spacing w:after="0"/>
              <w:rPr>
                <w:sz w:val="20"/>
                <w:szCs w:val="20"/>
                <w:color w:val="auto"/>
              </w:rPr>
            </w:pPr>
            <w:r>
              <w:rPr>
                <w:rFonts w:ascii="Arial" w:cs="Arial" w:eastAsia="Arial" w:hAnsi="Arial"/>
                <w:sz w:val="14"/>
                <w:szCs w:val="14"/>
                <w:i w:val="1"/>
                <w:iCs w:val="1"/>
                <w:color w:val="auto"/>
              </w:rPr>
              <w:t>%</w:t>
            </w:r>
          </w:p>
        </w:tc>
        <w:tc>
          <w:tcPr>
            <w:tcW w:w="700" w:type="dxa"/>
            <w:vAlign w:val="bottom"/>
          </w:tcPr>
          <w:p>
            <w:pPr>
              <w:jc w:val="right"/>
              <w:ind w:right="132"/>
              <w:spacing w:after="0"/>
              <w:rPr>
                <w:sz w:val="20"/>
                <w:szCs w:val="20"/>
                <w:color w:val="auto"/>
              </w:rPr>
            </w:pPr>
            <w:r>
              <w:rPr>
                <w:rFonts w:ascii="Arial" w:cs="Arial" w:eastAsia="Arial" w:hAnsi="Arial"/>
                <w:sz w:val="14"/>
                <w:szCs w:val="14"/>
                <w:i w:val="1"/>
                <w:iCs w:val="1"/>
                <w:color w:val="auto"/>
              </w:rPr>
              <w:t>1</w:t>
            </w:r>
          </w:p>
        </w:tc>
        <w:tc>
          <w:tcPr>
            <w:tcW w:w="32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i w:val="1"/>
                <w:iCs w:val="1"/>
                <w:color w:val="auto"/>
              </w:rPr>
              <w:t>21</w:t>
            </w:r>
          </w:p>
        </w:tc>
        <w:tc>
          <w:tcPr>
            <w:tcW w:w="1520" w:type="dxa"/>
            <w:vAlign w:val="bottom"/>
          </w:tcPr>
          <w:p>
            <w:pPr>
              <w:jc w:val="right"/>
              <w:ind w:right="952"/>
              <w:spacing w:after="0"/>
              <w:rPr>
                <w:sz w:val="20"/>
                <w:szCs w:val="20"/>
                <w:color w:val="auto"/>
              </w:rPr>
            </w:pPr>
            <w:r>
              <w:rPr>
                <w:rFonts w:ascii="Arial" w:cs="Arial" w:eastAsia="Arial" w:hAnsi="Arial"/>
                <w:sz w:val="14"/>
                <w:szCs w:val="14"/>
                <w:i w:val="1"/>
                <w:iCs w:val="1"/>
                <w:color w:val="auto"/>
              </w:rPr>
              <w:t>%</w:t>
            </w:r>
          </w:p>
        </w:tc>
        <w:tc>
          <w:tcPr>
            <w:tcW w:w="740" w:type="dxa"/>
            <w:vAlign w:val="bottom"/>
          </w:tcPr>
          <w:p>
            <w:pPr>
              <w:jc w:val="right"/>
              <w:ind w:right="132"/>
              <w:spacing w:after="0"/>
              <w:rPr>
                <w:sz w:val="20"/>
                <w:szCs w:val="20"/>
                <w:color w:val="auto"/>
              </w:rPr>
            </w:pPr>
            <w:r>
              <w:rPr>
                <w:rFonts w:ascii="Arial" w:cs="Arial" w:eastAsia="Arial" w:hAnsi="Arial"/>
                <w:sz w:val="14"/>
                <w:szCs w:val="14"/>
                <w:i w:val="1"/>
                <w:iCs w:val="1"/>
                <w:color w:val="auto"/>
              </w:rPr>
              <w:t>1</w:t>
            </w:r>
          </w:p>
        </w:tc>
        <w:tc>
          <w:tcPr>
            <w:tcW w:w="32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144"/>
        </w:trPr>
        <w:tc>
          <w:tcPr>
            <w:tcW w:w="3080" w:type="dxa"/>
            <w:vAlign w:val="bottom"/>
            <w:shd w:val="clear" w:color="auto" w:fill="CCEEFF"/>
          </w:tcPr>
          <w:p>
            <w:pPr>
              <w:ind w:left="460"/>
              <w:spacing w:after="0" w:line="144" w:lineRule="exact"/>
              <w:rPr>
                <w:sz w:val="20"/>
                <w:szCs w:val="20"/>
                <w:color w:val="auto"/>
              </w:rPr>
            </w:pPr>
            <w:r>
              <w:rPr>
                <w:rFonts w:ascii="Arial" w:cs="Arial" w:eastAsia="Arial" w:hAnsi="Arial"/>
                <w:sz w:val="14"/>
                <w:szCs w:val="14"/>
                <w:i w:val="1"/>
                <w:iCs w:val="1"/>
                <w:color w:val="auto"/>
                <w:w w:val="97"/>
              </w:rPr>
              <w:t>E-commerce revenue growth on a constant</w:t>
            </w:r>
          </w:p>
        </w:tc>
        <w:tc>
          <w:tcPr>
            <w:tcW w:w="7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12"/>
              <w:spacing w:after="0"/>
              <w:rPr>
                <w:sz w:val="20"/>
                <w:szCs w:val="20"/>
                <w:color w:val="auto"/>
              </w:rPr>
            </w:pPr>
            <w:r>
              <w:rPr>
                <w:rFonts w:ascii="Arial" w:cs="Arial" w:eastAsia="Arial" w:hAnsi="Arial"/>
                <w:sz w:val="14"/>
                <w:szCs w:val="14"/>
                <w:i w:val="1"/>
                <w:iCs w:val="1"/>
                <w:color w:val="auto"/>
              </w:rPr>
              <w:t>20</w:t>
            </w:r>
          </w:p>
        </w:tc>
        <w:tc>
          <w:tcPr>
            <w:tcW w:w="1380" w:type="dxa"/>
            <w:vAlign w:val="bottom"/>
            <w:vMerge w:val="restart"/>
            <w:shd w:val="clear" w:color="auto" w:fill="CCEEFF"/>
          </w:tcPr>
          <w:p>
            <w:pPr>
              <w:jc w:val="right"/>
              <w:ind w:right="991"/>
              <w:spacing w:after="0"/>
              <w:rPr>
                <w:sz w:val="20"/>
                <w:szCs w:val="20"/>
                <w:color w:val="auto"/>
              </w:rPr>
            </w:pPr>
            <w:r>
              <w:rPr>
                <w:rFonts w:ascii="Arial" w:cs="Arial" w:eastAsia="Arial" w:hAnsi="Arial"/>
                <w:sz w:val="14"/>
                <w:szCs w:val="14"/>
                <w:i w:val="1"/>
                <w:iCs w:val="1"/>
                <w:color w:val="auto"/>
              </w:rPr>
              <w:t>%</w:t>
            </w:r>
          </w:p>
        </w:tc>
        <w:tc>
          <w:tcPr>
            <w:tcW w:w="700" w:type="dxa"/>
            <w:vAlign w:val="bottom"/>
            <w:vMerge w:val="restart"/>
            <w:shd w:val="clear" w:color="auto" w:fill="CCEEFF"/>
          </w:tcPr>
          <w:p>
            <w:pPr>
              <w:jc w:val="right"/>
              <w:ind w:right="132"/>
              <w:spacing w:after="0"/>
              <w:rPr>
                <w:sz w:val="20"/>
                <w:szCs w:val="20"/>
                <w:color w:val="auto"/>
              </w:rPr>
            </w:pPr>
            <w:r>
              <w:rPr>
                <w:rFonts w:ascii="Arial" w:cs="Arial" w:eastAsia="Arial" w:hAnsi="Arial"/>
                <w:sz w:val="14"/>
                <w:szCs w:val="14"/>
                <w:i w:val="1"/>
                <w:iCs w:val="1"/>
                <w:color w:val="auto"/>
              </w:rPr>
              <w:t>2</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rPr>
              <w:t>18</w:t>
            </w:r>
          </w:p>
        </w:tc>
        <w:tc>
          <w:tcPr>
            <w:tcW w:w="1520" w:type="dxa"/>
            <w:vAlign w:val="bottom"/>
            <w:vMerge w:val="restart"/>
            <w:shd w:val="clear" w:color="auto" w:fill="CCEEFF"/>
          </w:tcPr>
          <w:p>
            <w:pPr>
              <w:jc w:val="right"/>
              <w:ind w:right="952"/>
              <w:spacing w:after="0"/>
              <w:rPr>
                <w:sz w:val="20"/>
                <w:szCs w:val="20"/>
                <w:color w:val="auto"/>
              </w:rPr>
            </w:pPr>
            <w:r>
              <w:rPr>
                <w:rFonts w:ascii="Arial" w:cs="Arial" w:eastAsia="Arial" w:hAnsi="Arial"/>
                <w:sz w:val="14"/>
                <w:szCs w:val="14"/>
                <w:i w:val="1"/>
                <w:iCs w:val="1"/>
                <w:color w:val="auto"/>
              </w:rPr>
              <w:t>%</w:t>
            </w: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4"/>
                <w:szCs w:val="14"/>
                <w:i w:val="1"/>
                <w:iCs w:val="1"/>
                <w:color w:val="auto"/>
              </w:rPr>
              <w:t>2</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currency basis</w:t>
            </w:r>
          </w:p>
        </w:tc>
        <w:tc>
          <w:tcPr>
            <w:tcW w:w="7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0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Enterprise reported revenue (in thousands)</w:t>
            </w:r>
          </w:p>
        </w:tc>
        <w:tc>
          <w:tcPr>
            <w:tcW w:w="72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69,197</w:t>
            </w:r>
          </w:p>
        </w:tc>
        <w:tc>
          <w:tcPr>
            <w:tcW w:w="1380" w:type="dxa"/>
            <w:vAlign w:val="bottom"/>
            <w:shd w:val="clear" w:color="auto" w:fill="CCEEFF"/>
          </w:tcPr>
          <w:p>
            <w:pPr>
              <w:jc w:val="right"/>
              <w:ind w:right="4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61,066</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134,078</w:t>
            </w:r>
          </w:p>
        </w:tc>
        <w:tc>
          <w:tcPr>
            <w:tcW w:w="152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122,615</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80" w:type="dxa"/>
            <w:vAlign w:val="bottom"/>
          </w:tcPr>
          <w:p>
            <w:pPr>
              <w:ind w:left="460"/>
              <w:spacing w:after="0"/>
              <w:rPr>
                <w:sz w:val="20"/>
                <w:szCs w:val="20"/>
                <w:color w:val="auto"/>
              </w:rPr>
            </w:pPr>
            <w:r>
              <w:rPr>
                <w:rFonts w:ascii="Arial" w:cs="Arial" w:eastAsia="Arial" w:hAnsi="Arial"/>
                <w:sz w:val="14"/>
                <w:szCs w:val="14"/>
                <w:i w:val="1"/>
                <w:iCs w:val="1"/>
                <w:color w:val="auto"/>
              </w:rPr>
              <w:t>Enterprise revenue growth</w:t>
            </w:r>
          </w:p>
        </w:tc>
        <w:tc>
          <w:tcPr>
            <w:tcW w:w="720" w:type="dxa"/>
            <w:vAlign w:val="bottom"/>
          </w:tcPr>
          <w:p>
            <w:pPr>
              <w:spacing w:after="0"/>
              <w:rPr>
                <w:sz w:val="15"/>
                <w:szCs w:val="15"/>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i w:val="1"/>
                <w:iCs w:val="1"/>
                <w:color w:val="auto"/>
              </w:rPr>
              <w:t>13</w:t>
            </w:r>
          </w:p>
        </w:tc>
        <w:tc>
          <w:tcPr>
            <w:tcW w:w="1380" w:type="dxa"/>
            <w:vAlign w:val="bottom"/>
          </w:tcPr>
          <w:p>
            <w:pPr>
              <w:jc w:val="right"/>
              <w:ind w:right="991"/>
              <w:spacing w:after="0"/>
              <w:rPr>
                <w:sz w:val="20"/>
                <w:szCs w:val="20"/>
                <w:color w:val="auto"/>
              </w:rPr>
            </w:pPr>
            <w:r>
              <w:rPr>
                <w:rFonts w:ascii="Arial" w:cs="Arial" w:eastAsia="Arial" w:hAnsi="Arial"/>
                <w:sz w:val="14"/>
                <w:szCs w:val="14"/>
                <w:i w:val="1"/>
                <w:iCs w:val="1"/>
                <w:color w:val="auto"/>
              </w:rPr>
              <w:t>%</w:t>
            </w:r>
          </w:p>
        </w:tc>
        <w:tc>
          <w:tcPr>
            <w:tcW w:w="700" w:type="dxa"/>
            <w:vAlign w:val="bottom"/>
          </w:tcPr>
          <w:p>
            <w:pPr>
              <w:jc w:val="right"/>
              <w:ind w:right="92"/>
              <w:spacing w:after="0"/>
              <w:rPr>
                <w:sz w:val="20"/>
                <w:szCs w:val="20"/>
                <w:color w:val="auto"/>
              </w:rPr>
            </w:pPr>
            <w:r>
              <w:rPr>
                <w:rFonts w:ascii="Arial" w:cs="Arial" w:eastAsia="Arial" w:hAnsi="Arial"/>
                <w:sz w:val="14"/>
                <w:szCs w:val="14"/>
                <w:i w:val="1"/>
                <w:iCs w:val="1"/>
                <w:color w:val="auto"/>
              </w:rPr>
              <w:t>(6)</w:t>
            </w:r>
          </w:p>
        </w:tc>
        <w:tc>
          <w:tcPr>
            <w:tcW w:w="32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i w:val="1"/>
                <w:iCs w:val="1"/>
                <w:color w:val="auto"/>
              </w:rPr>
              <w:t>9</w:t>
            </w:r>
          </w:p>
        </w:tc>
        <w:tc>
          <w:tcPr>
            <w:tcW w:w="1520" w:type="dxa"/>
            <w:vAlign w:val="bottom"/>
          </w:tcPr>
          <w:p>
            <w:pPr>
              <w:jc w:val="right"/>
              <w:ind w:right="952"/>
              <w:spacing w:after="0"/>
              <w:rPr>
                <w:sz w:val="20"/>
                <w:szCs w:val="20"/>
                <w:color w:val="auto"/>
              </w:rPr>
            </w:pPr>
            <w:r>
              <w:rPr>
                <w:rFonts w:ascii="Arial" w:cs="Arial" w:eastAsia="Arial" w:hAnsi="Arial"/>
                <w:sz w:val="14"/>
                <w:szCs w:val="14"/>
                <w:i w:val="1"/>
                <w:iCs w:val="1"/>
                <w:color w:val="auto"/>
              </w:rPr>
              <w:t>%</w:t>
            </w:r>
          </w:p>
        </w:tc>
        <w:tc>
          <w:tcPr>
            <w:tcW w:w="740" w:type="dxa"/>
            <w:vAlign w:val="bottom"/>
          </w:tcPr>
          <w:p>
            <w:pPr>
              <w:jc w:val="right"/>
              <w:ind w:right="92"/>
              <w:spacing w:after="0"/>
              <w:rPr>
                <w:sz w:val="20"/>
                <w:szCs w:val="20"/>
                <w:color w:val="auto"/>
              </w:rPr>
            </w:pPr>
            <w:r>
              <w:rPr>
                <w:rFonts w:ascii="Arial" w:cs="Arial" w:eastAsia="Arial" w:hAnsi="Arial"/>
                <w:sz w:val="14"/>
                <w:szCs w:val="14"/>
                <w:i w:val="1"/>
                <w:iCs w:val="1"/>
                <w:color w:val="auto"/>
              </w:rPr>
              <w:t>(6)</w:t>
            </w:r>
          </w:p>
        </w:tc>
        <w:tc>
          <w:tcPr>
            <w:tcW w:w="32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144"/>
        </w:trPr>
        <w:tc>
          <w:tcPr>
            <w:tcW w:w="3080" w:type="dxa"/>
            <w:vAlign w:val="bottom"/>
            <w:shd w:val="clear" w:color="auto" w:fill="CCEEFF"/>
          </w:tcPr>
          <w:p>
            <w:pPr>
              <w:ind w:left="460"/>
              <w:spacing w:after="0" w:line="144" w:lineRule="exact"/>
              <w:rPr>
                <w:sz w:val="20"/>
                <w:szCs w:val="20"/>
                <w:color w:val="auto"/>
              </w:rPr>
            </w:pPr>
            <w:r>
              <w:rPr>
                <w:rFonts w:ascii="Arial" w:cs="Arial" w:eastAsia="Arial" w:hAnsi="Arial"/>
                <w:sz w:val="14"/>
                <w:szCs w:val="14"/>
                <w:i w:val="1"/>
                <w:iCs w:val="1"/>
                <w:color w:val="auto"/>
              </w:rPr>
              <w:t>Enterprise revenue growth on a constant</w:t>
            </w:r>
          </w:p>
        </w:tc>
        <w:tc>
          <w:tcPr>
            <w:tcW w:w="7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12"/>
              <w:spacing w:after="0"/>
              <w:rPr>
                <w:sz w:val="20"/>
                <w:szCs w:val="20"/>
                <w:color w:val="auto"/>
              </w:rPr>
            </w:pPr>
            <w:r>
              <w:rPr>
                <w:rFonts w:ascii="Arial" w:cs="Arial" w:eastAsia="Arial" w:hAnsi="Arial"/>
                <w:sz w:val="14"/>
                <w:szCs w:val="14"/>
                <w:i w:val="1"/>
                <w:iCs w:val="1"/>
                <w:color w:val="auto"/>
              </w:rPr>
              <w:t>9</w:t>
            </w:r>
          </w:p>
        </w:tc>
        <w:tc>
          <w:tcPr>
            <w:tcW w:w="1380" w:type="dxa"/>
            <w:vAlign w:val="bottom"/>
            <w:vMerge w:val="restart"/>
            <w:shd w:val="clear" w:color="auto" w:fill="CCEEFF"/>
          </w:tcPr>
          <w:p>
            <w:pPr>
              <w:jc w:val="right"/>
              <w:ind w:right="991"/>
              <w:spacing w:after="0"/>
              <w:rPr>
                <w:sz w:val="20"/>
                <w:szCs w:val="20"/>
                <w:color w:val="auto"/>
              </w:rPr>
            </w:pPr>
            <w:r>
              <w:rPr>
                <w:rFonts w:ascii="Arial" w:cs="Arial" w:eastAsia="Arial" w:hAnsi="Arial"/>
                <w:sz w:val="14"/>
                <w:szCs w:val="14"/>
                <w:i w:val="1"/>
                <w:iCs w:val="1"/>
                <w:color w:val="auto"/>
              </w:rPr>
              <w:t>%</w:t>
            </w:r>
          </w:p>
        </w:tc>
        <w:tc>
          <w:tcPr>
            <w:tcW w:w="700" w:type="dxa"/>
            <w:vAlign w:val="bottom"/>
            <w:vMerge w:val="restart"/>
            <w:shd w:val="clear" w:color="auto" w:fill="CCEEFF"/>
          </w:tcPr>
          <w:p>
            <w:pPr>
              <w:jc w:val="right"/>
              <w:ind w:right="92"/>
              <w:spacing w:after="0"/>
              <w:rPr>
                <w:sz w:val="20"/>
                <w:szCs w:val="20"/>
                <w:color w:val="auto"/>
              </w:rPr>
            </w:pPr>
            <w:r>
              <w:rPr>
                <w:rFonts w:ascii="Arial" w:cs="Arial" w:eastAsia="Arial" w:hAnsi="Arial"/>
                <w:sz w:val="14"/>
                <w:szCs w:val="14"/>
                <w:i w:val="1"/>
                <w:iCs w:val="1"/>
                <w:color w:val="auto"/>
              </w:rPr>
              <w:t>(5)</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rPr>
              <w:t>6</w:t>
            </w:r>
          </w:p>
        </w:tc>
        <w:tc>
          <w:tcPr>
            <w:tcW w:w="1520" w:type="dxa"/>
            <w:vAlign w:val="bottom"/>
            <w:vMerge w:val="restart"/>
            <w:shd w:val="clear" w:color="auto" w:fill="CCEEFF"/>
          </w:tcPr>
          <w:p>
            <w:pPr>
              <w:jc w:val="right"/>
              <w:ind w:right="952"/>
              <w:spacing w:after="0"/>
              <w:rPr>
                <w:sz w:val="20"/>
                <w:szCs w:val="20"/>
                <w:color w:val="auto"/>
              </w:rPr>
            </w:pPr>
            <w:r>
              <w:rPr>
                <w:rFonts w:ascii="Arial" w:cs="Arial" w:eastAsia="Arial" w:hAnsi="Arial"/>
                <w:sz w:val="14"/>
                <w:szCs w:val="14"/>
                <w:i w:val="1"/>
                <w:iCs w:val="1"/>
                <w:color w:val="auto"/>
              </w:rPr>
              <w:t>%</w:t>
            </w:r>
          </w:p>
        </w:tc>
        <w:tc>
          <w:tcPr>
            <w:tcW w:w="740" w:type="dxa"/>
            <w:vAlign w:val="bottom"/>
            <w:vMerge w:val="restart"/>
            <w:shd w:val="clear" w:color="auto" w:fill="CCEEFF"/>
          </w:tcPr>
          <w:p>
            <w:pPr>
              <w:jc w:val="right"/>
              <w:ind w:right="92"/>
              <w:spacing w:after="0"/>
              <w:rPr>
                <w:sz w:val="20"/>
                <w:szCs w:val="20"/>
                <w:color w:val="auto"/>
              </w:rPr>
            </w:pPr>
            <w:r>
              <w:rPr>
                <w:rFonts w:ascii="Arial" w:cs="Arial" w:eastAsia="Arial" w:hAnsi="Arial"/>
                <w:sz w:val="14"/>
                <w:szCs w:val="14"/>
                <w:i w:val="1"/>
                <w:iCs w:val="1"/>
                <w:color w:val="auto"/>
              </w:rPr>
              <w:t>(5)</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currency basis</w:t>
            </w:r>
          </w:p>
        </w:tc>
        <w:tc>
          <w:tcPr>
            <w:tcW w:w="7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Free Cash Flow</w:t>
      </w:r>
    </w:p>
    <w:p>
      <w:pPr>
        <w:spacing w:after="0" w:line="126" w:lineRule="exact"/>
        <w:rPr>
          <w:sz w:val="20"/>
          <w:szCs w:val="20"/>
          <w:color w:val="auto"/>
        </w:rPr>
      </w:pPr>
    </w:p>
    <w:p>
      <w:pPr>
        <w:ind w:right="420" w:firstLine="345"/>
        <w:spacing w:after="0" w:line="286" w:lineRule="auto"/>
        <w:rPr>
          <w:sz w:val="20"/>
          <w:szCs w:val="20"/>
          <w:color w:val="auto"/>
        </w:rPr>
      </w:pPr>
      <w:r>
        <w:rPr>
          <w:rFonts w:ascii="Arial" w:cs="Arial" w:eastAsia="Arial" w:hAnsi="Arial"/>
          <w:sz w:val="15"/>
          <w:szCs w:val="15"/>
          <w:color w:val="auto"/>
        </w:rPr>
        <w:t>We define free cash flow as our cash provided by operating activities, adjusted for capital expenditures and content acquisition, and, with respect to the three months ended March 31, 2020, a payment associated with long-term incentives related to our 2017 acquisition of Flashstock.</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is a reconciliation of net cash provided by operating activities to free cash flow for each of the periods 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340" w:type="dxa"/>
            <w:vAlign w:val="bottom"/>
          </w:tcPr>
          <w:p>
            <w:pPr>
              <w:spacing w:after="0"/>
              <w:rPr>
                <w:sz w:val="14"/>
                <w:szCs w:val="14"/>
                <w:color w:val="auto"/>
              </w:rPr>
            </w:pPr>
          </w:p>
        </w:tc>
        <w:tc>
          <w:tcPr>
            <w:tcW w:w="290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2"/>
                <w:szCs w:val="12"/>
                <w:b w:val="1"/>
                <w:bCs w:val="1"/>
                <w:color w:val="auto"/>
              </w:rPr>
              <w:t>Three Months Ended June 30,</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Six Months Ended June 30,</w:t>
            </w:r>
          </w:p>
        </w:tc>
        <w:tc>
          <w:tcPr>
            <w:tcW w:w="800" w:type="dxa"/>
            <w:vAlign w:val="bottom"/>
            <w:tcBorders>
              <w:bottom w:val="single" w:sz="8" w:color="auto"/>
            </w:tcBorders>
          </w:tcPr>
          <w:p>
            <w:pPr>
              <w:spacing w:after="0"/>
              <w:rPr>
                <w:sz w:val="14"/>
                <w:szCs w:val="14"/>
                <w:color w:val="auto"/>
              </w:rPr>
            </w:pPr>
          </w:p>
        </w:tc>
      </w:tr>
      <w:tr>
        <w:trPr>
          <w:trHeight w:val="157"/>
        </w:trPr>
        <w:tc>
          <w:tcPr>
            <w:tcW w:w="4340" w:type="dxa"/>
            <w:vAlign w:val="bottom"/>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72"/>
              <w:spacing w:after="0"/>
              <w:rPr>
                <w:sz w:val="20"/>
                <w:szCs w:val="20"/>
                <w:color w:val="auto"/>
              </w:rPr>
            </w:pPr>
            <w:r>
              <w:rPr>
                <w:rFonts w:ascii="Arial" w:cs="Arial" w:eastAsia="Arial" w:hAnsi="Arial"/>
                <w:sz w:val="12"/>
                <w:szCs w:val="12"/>
                <w:b w:val="1"/>
                <w:bCs w:val="1"/>
                <w:color w:val="auto"/>
                <w:w w:val="89"/>
              </w:rPr>
              <w:t>2020</w:t>
            </w:r>
          </w:p>
        </w:tc>
      </w:tr>
      <w:tr>
        <w:trPr>
          <w:trHeight w:val="152"/>
        </w:trPr>
        <w:tc>
          <w:tcPr>
            <w:tcW w:w="4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80" w:type="dxa"/>
            <w:vAlign w:val="bottom"/>
            <w:gridSpan w:val="3"/>
          </w:tcPr>
          <w:p>
            <w:pPr>
              <w:jc w:val="right"/>
              <w:ind w:right="111"/>
              <w:spacing w:after="0"/>
              <w:rPr>
                <w:sz w:val="20"/>
                <w:szCs w:val="20"/>
                <w:color w:val="auto"/>
              </w:rPr>
            </w:pPr>
            <w:r>
              <w:rPr>
                <w:rFonts w:ascii="Arial" w:cs="Arial" w:eastAsia="Arial" w:hAnsi="Arial"/>
                <w:sz w:val="12"/>
                <w:szCs w:val="12"/>
                <w:b w:val="1"/>
                <w:bCs w:val="1"/>
                <w:color w:val="auto"/>
              </w:rPr>
              <w:t>(in thousands)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48"/>
        </w:trPr>
        <w:tc>
          <w:tcPr>
            <w:tcW w:w="4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84"/>
        </w:trPr>
        <w:tc>
          <w:tcPr>
            <w:tcW w:w="4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provided by operating activities</w:t>
            </w:r>
          </w:p>
        </w:tc>
        <w:tc>
          <w:tcPr>
            <w:tcW w:w="1160" w:type="dxa"/>
            <w:vAlign w:val="bottom"/>
            <w:shd w:val="clear" w:color="auto" w:fill="CCEEFF"/>
          </w:tcPr>
          <w:p>
            <w:pPr>
              <w:jc w:val="right"/>
              <w:ind w:right="675"/>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71,388</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54"/>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29,484</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107,216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5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36,343</w:t>
            </w:r>
          </w:p>
        </w:tc>
      </w:tr>
      <w:tr>
        <w:trPr>
          <w:trHeight w:val="181"/>
        </w:trPr>
        <w:tc>
          <w:tcPr>
            <w:tcW w:w="4340" w:type="dxa"/>
            <w:vAlign w:val="bottom"/>
          </w:tcPr>
          <w:p>
            <w:pPr>
              <w:ind w:left="440"/>
              <w:spacing w:after="0"/>
              <w:rPr>
                <w:sz w:val="20"/>
                <w:szCs w:val="20"/>
                <w:color w:val="auto"/>
              </w:rPr>
            </w:pPr>
            <w:r>
              <w:rPr>
                <w:rFonts w:ascii="Arial" w:cs="Arial" w:eastAsia="Arial" w:hAnsi="Arial"/>
                <w:sz w:val="14"/>
                <w:szCs w:val="14"/>
                <w:color w:val="auto"/>
              </w:rPr>
              <w:t>Capital expenditures</w:t>
            </w:r>
          </w:p>
        </w:tc>
        <w:tc>
          <w:tcPr>
            <w:tcW w:w="1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9"/>
              </w:rPr>
              <w:t>(6,789)</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9"/>
              </w:rPr>
              <w:t>(6,247)</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(15,337)</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(13,966)</w:t>
            </w:r>
          </w:p>
        </w:tc>
      </w:tr>
      <w:tr>
        <w:trPr>
          <w:trHeight w:val="187"/>
        </w:trPr>
        <w:tc>
          <w:tcPr>
            <w:tcW w:w="43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Content acquisitions</w:t>
            </w:r>
          </w:p>
        </w:tc>
        <w:tc>
          <w:tcPr>
            <w:tcW w:w="1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(2,907)</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(3,396)</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(1,577)</w:t>
            </w:r>
          </w:p>
        </w:tc>
      </w:tr>
      <w:tr>
        <w:trPr>
          <w:trHeight w:val="181"/>
        </w:trPr>
        <w:tc>
          <w:tcPr>
            <w:tcW w:w="4340" w:type="dxa"/>
            <w:vAlign w:val="bottom"/>
          </w:tcPr>
          <w:p>
            <w:pPr>
              <w:ind w:left="440"/>
              <w:spacing w:after="0"/>
              <w:rPr>
                <w:sz w:val="20"/>
                <w:szCs w:val="20"/>
                <w:color w:val="auto"/>
              </w:rPr>
            </w:pPr>
            <w:r>
              <w:rPr>
                <w:rFonts w:ascii="Arial" w:cs="Arial" w:eastAsia="Arial" w:hAnsi="Arial"/>
                <w:sz w:val="14"/>
                <w:szCs w:val="14"/>
                <w:color w:val="auto"/>
                <w:w w:val="98"/>
              </w:rPr>
              <w:t>Payments related to long-term incentives related to acquisitions</w:t>
            </w:r>
          </w:p>
        </w:tc>
        <w:tc>
          <w:tcPr>
            <w:tcW w:w="116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7,759</w:t>
            </w:r>
          </w:p>
        </w:tc>
      </w:tr>
      <w:tr>
        <w:trPr>
          <w:trHeight w:val="203"/>
        </w:trPr>
        <w:tc>
          <w:tcPr>
            <w:tcW w:w="43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Free Cash Flow</w:t>
            </w:r>
          </w:p>
        </w:tc>
        <w:tc>
          <w:tcPr>
            <w:tcW w:w="1160" w:type="dxa"/>
            <w:vAlign w:val="bottom"/>
            <w:tcBorders>
              <w:top w:val="single" w:sz="8" w:color="auto"/>
              <w:bottom w:val="single" w:sz="8" w:color="auto"/>
            </w:tcBorders>
            <w:shd w:val="clear" w:color="auto" w:fill="CCEEFF"/>
          </w:tcPr>
          <w:p>
            <w:pPr>
              <w:jc w:val="right"/>
              <w:ind w:right="675"/>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61,692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22,383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35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28,559</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07" w:lineRule="exact"/>
        <w:rPr>
          <w:sz w:val="20"/>
          <w:szCs w:val="20"/>
          <w:color w:val="auto"/>
        </w:rPr>
      </w:pPr>
    </w:p>
    <w:p>
      <w:pPr>
        <w:ind w:right="120" w:firstLine="345"/>
        <w:spacing w:after="0" w:line="271" w:lineRule="auto"/>
        <w:rPr>
          <w:sz w:val="20"/>
          <w:szCs w:val="20"/>
          <w:color w:val="auto"/>
        </w:rPr>
      </w:pPr>
      <w:r>
        <w:rPr>
          <w:rFonts w:ascii="Arial" w:cs="Arial" w:eastAsia="Arial" w:hAnsi="Arial"/>
          <w:sz w:val="15"/>
          <w:szCs w:val="15"/>
          <w:color w:val="auto"/>
        </w:rPr>
        <w:t>As of June 30, 2021, we did not have any off-balance sheet arrangements, as defined in Item 303(a)(4)(ii) of Regulation S-K, that have or are reasonably likely to have a current or future effect on our financial condition, changes in our financial condition, revenues or expenses, results of operations, liquidity, capital expenditures or capital resources that is material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5" w:name="page36"/>
    <w:bookmarkEnd w:id="35"/>
    <w:p>
      <w:pPr>
        <w:ind w:left="348"/>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ind w:left="8"/>
        <w:spacing w:after="0"/>
        <w:tabs>
          <w:tab w:leader="none" w:pos="788"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107" w:lineRule="exact"/>
        <w:rPr>
          <w:sz w:val="20"/>
          <w:szCs w:val="20"/>
          <w:color w:val="auto"/>
        </w:rPr>
      </w:pPr>
    </w:p>
    <w:p>
      <w:pPr>
        <w:ind w:left="8" w:right="160" w:firstLine="345"/>
        <w:spacing w:after="0" w:line="415" w:lineRule="auto"/>
        <w:rPr>
          <w:sz w:val="20"/>
          <w:szCs w:val="20"/>
          <w:color w:val="auto"/>
        </w:rPr>
      </w:pPr>
      <w:r>
        <w:rPr>
          <w:rFonts w:ascii="Arial" w:cs="Arial" w:eastAsia="Arial" w:hAnsi="Arial"/>
          <w:sz w:val="15"/>
          <w:szCs w:val="15"/>
          <w:color w:val="auto"/>
        </w:rPr>
        <w:t xml:space="preserve">We are exposed to market risks in the ordinary course of our business, including risks related to foreign currency exchange rate fluctuation, interest rate fluctuation and inflation. </w:t>
      </w:r>
      <w:r>
        <w:rPr>
          <w:rFonts w:ascii="Arial" w:cs="Arial" w:eastAsia="Arial" w:hAnsi="Arial"/>
          <w:sz w:val="15"/>
          <w:szCs w:val="15"/>
          <w:b w:val="1"/>
          <w:bCs w:val="1"/>
          <w:i w:val="1"/>
          <w:iCs w:val="1"/>
          <w:color w:val="auto"/>
        </w:rPr>
        <w:t>Foreign Currency Exchange Risk</w:t>
      </w:r>
    </w:p>
    <w:p>
      <w:pPr>
        <w:spacing w:after="0" w:line="1" w:lineRule="exact"/>
        <w:rPr>
          <w:sz w:val="20"/>
          <w:szCs w:val="20"/>
          <w:color w:val="auto"/>
        </w:rPr>
      </w:pPr>
    </w:p>
    <w:p>
      <w:pPr>
        <w:ind w:left="8" w:right="140" w:firstLine="345"/>
        <w:spacing w:after="0" w:line="262" w:lineRule="auto"/>
        <w:rPr>
          <w:sz w:val="20"/>
          <w:szCs w:val="20"/>
          <w:color w:val="auto"/>
        </w:rPr>
      </w:pPr>
      <w:r>
        <w:rPr>
          <w:rFonts w:ascii="Arial" w:cs="Arial" w:eastAsia="Arial" w:hAnsi="Arial"/>
          <w:sz w:val="15"/>
          <w:szCs w:val="15"/>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36% and 35% for the six months ended June 30, 2021 and 2020, respectively.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the six months ended June 30, 2021, we estimate that a 10% change in the exchange rate of the U.S. dollar against all foreign currency denominated revenues would result in an approximately 3% impact on our revenue.</w:t>
      </w:r>
    </w:p>
    <w:p>
      <w:pPr>
        <w:spacing w:after="0" w:line="100" w:lineRule="exact"/>
        <w:rPr>
          <w:sz w:val="20"/>
          <w:szCs w:val="20"/>
          <w:color w:val="auto"/>
        </w:rPr>
      </w:pPr>
    </w:p>
    <w:p>
      <w:pPr>
        <w:jc w:val="both"/>
        <w:ind w:left="8" w:right="140" w:firstLine="345"/>
        <w:spacing w:after="0" w:line="266" w:lineRule="auto"/>
        <w:rPr>
          <w:sz w:val="20"/>
          <w:szCs w:val="20"/>
          <w:color w:val="auto"/>
        </w:rPr>
      </w:pPr>
      <w:r>
        <w:rPr>
          <w:rFonts w:ascii="Arial" w:cs="Arial" w:eastAsia="Arial" w:hAnsi="Arial"/>
          <w:sz w:val="15"/>
          <w:szCs w:val="15"/>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Translation adjustments resulting from converting the foreign subsidiaries’ financial statements into U.S. dollars are recorded as a component of accumulated other comprehensive loss in stockholders’ equity. We do not currently enter into derivatives or other financial instruments in order to hedge our foreign currency exchange risk, but we may do so in the future.</w:t>
      </w:r>
    </w:p>
    <w:p>
      <w:pPr>
        <w:spacing w:after="0" w:line="86" w:lineRule="exact"/>
        <w:rPr>
          <w:sz w:val="20"/>
          <w:szCs w:val="20"/>
          <w:color w:val="auto"/>
        </w:rPr>
      </w:pPr>
    </w:p>
    <w:p>
      <w:pPr>
        <w:ind w:left="348"/>
        <w:spacing w:after="0"/>
        <w:rPr>
          <w:sz w:val="20"/>
          <w:szCs w:val="20"/>
          <w:color w:val="auto"/>
        </w:rPr>
      </w:pPr>
      <w:r>
        <w:rPr>
          <w:rFonts w:ascii="Arial" w:cs="Arial" w:eastAsia="Arial" w:hAnsi="Arial"/>
          <w:sz w:val="15"/>
          <w:szCs w:val="15"/>
          <w:color w:val="auto"/>
        </w:rPr>
        <w:t>Our historical revenue by currency is as follows (in thousands):</w:t>
      </w:r>
    </w:p>
    <w:p>
      <w:pPr>
        <w:spacing w:after="0" w:line="41"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8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1"/>
                <w:szCs w:val="11"/>
                <w:b w:val="1"/>
                <w:bCs w:val="1"/>
                <w:color w:val="auto"/>
              </w:rPr>
              <w:t>Three Months Ended June 30,</w:t>
            </w: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1"/>
                <w:szCs w:val="11"/>
                <w:b w:val="1"/>
                <w:bCs w:val="1"/>
                <w:color w:val="auto"/>
              </w:rPr>
              <w:t>Six Months Ended June 30,</w:t>
            </w: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1"/>
                <w:szCs w:val="11"/>
                <w:b w:val="1"/>
                <w:bCs w:val="1"/>
                <w:color w:val="auto"/>
              </w:rPr>
              <w:t>2021</w:t>
            </w:r>
          </w:p>
        </w:tc>
        <w:tc>
          <w:tcPr>
            <w:tcW w:w="7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1"/>
                <w:szCs w:val="11"/>
                <w:b w:val="1"/>
                <w:bCs w:val="1"/>
                <w:color w:val="auto"/>
              </w:rPr>
              <w:t>2020</w:t>
            </w:r>
          </w:p>
        </w:tc>
        <w:tc>
          <w:tcPr>
            <w:tcW w:w="7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1"/>
                <w:szCs w:val="11"/>
                <w:b w:val="1"/>
                <w:bCs w:val="1"/>
                <w:color w:val="auto"/>
              </w:rPr>
              <w:t>2021</w:t>
            </w:r>
          </w:p>
        </w:tc>
        <w:tc>
          <w:tcPr>
            <w:tcW w:w="7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1"/>
                <w:szCs w:val="11"/>
                <w:b w:val="1"/>
                <w:bCs w:val="1"/>
                <w:color w:val="auto"/>
              </w:rPr>
              <w:t>2020</w:t>
            </w: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vMerge w:val="restart"/>
          </w:tcPr>
          <w:p>
            <w:pPr>
              <w:jc w:val="right"/>
              <w:ind w:right="113"/>
              <w:spacing w:after="0"/>
              <w:rPr>
                <w:sz w:val="20"/>
                <w:szCs w:val="20"/>
                <w:color w:val="auto"/>
              </w:rPr>
            </w:pPr>
            <w:r>
              <w:rPr>
                <w:rFonts w:ascii="Arial" w:cs="Arial" w:eastAsia="Arial" w:hAnsi="Arial"/>
                <w:sz w:val="11"/>
                <w:szCs w:val="11"/>
                <w:b w:val="1"/>
                <w:bCs w:val="1"/>
                <w:color w:val="auto"/>
                <w:w w:val="97"/>
              </w:rPr>
              <w:t>U.S. Dollars</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jc w:val="right"/>
              <w:ind w:right="119"/>
              <w:spacing w:after="0" w:line="100" w:lineRule="exact"/>
              <w:rPr>
                <w:sz w:val="20"/>
                <w:szCs w:val="20"/>
                <w:color w:val="auto"/>
              </w:rPr>
            </w:pPr>
            <w:r>
              <w:rPr>
                <w:rFonts w:ascii="Arial" w:cs="Arial" w:eastAsia="Arial" w:hAnsi="Arial"/>
                <w:sz w:val="11"/>
                <w:szCs w:val="11"/>
                <w:b w:val="1"/>
                <w:bCs w:val="1"/>
                <w:color w:val="auto"/>
                <w:w w:val="91"/>
              </w:rPr>
              <w:t>Originating</w:t>
            </w: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vMerge w:val="restart"/>
          </w:tcPr>
          <w:p>
            <w:pPr>
              <w:jc w:val="right"/>
              <w:ind w:right="133"/>
              <w:spacing w:after="0"/>
              <w:rPr>
                <w:sz w:val="20"/>
                <w:szCs w:val="20"/>
                <w:color w:val="auto"/>
              </w:rPr>
            </w:pPr>
            <w:r>
              <w:rPr>
                <w:rFonts w:ascii="Arial" w:cs="Arial" w:eastAsia="Arial" w:hAnsi="Arial"/>
                <w:sz w:val="11"/>
                <w:szCs w:val="11"/>
                <w:b w:val="1"/>
                <w:bCs w:val="1"/>
                <w:color w:val="auto"/>
                <w:w w:val="93"/>
              </w:rPr>
              <w:t>U.S. Dollars</w:t>
            </w: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jc w:val="right"/>
              <w:ind w:right="96"/>
              <w:spacing w:after="0" w:line="100" w:lineRule="exact"/>
              <w:rPr>
                <w:sz w:val="20"/>
                <w:szCs w:val="20"/>
                <w:color w:val="auto"/>
              </w:rPr>
            </w:pPr>
            <w:r>
              <w:rPr>
                <w:rFonts w:ascii="Arial" w:cs="Arial" w:eastAsia="Arial" w:hAnsi="Arial"/>
                <w:sz w:val="11"/>
                <w:szCs w:val="11"/>
                <w:b w:val="1"/>
                <w:bCs w:val="1"/>
                <w:color w:val="auto"/>
                <w:w w:val="95"/>
              </w:rPr>
              <w:t>Originating</w:t>
            </w: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vMerge w:val="restart"/>
          </w:tcPr>
          <w:p>
            <w:pPr>
              <w:jc w:val="right"/>
              <w:ind w:right="133"/>
              <w:spacing w:after="0"/>
              <w:rPr>
                <w:sz w:val="20"/>
                <w:szCs w:val="20"/>
                <w:color w:val="auto"/>
              </w:rPr>
            </w:pPr>
            <w:r>
              <w:rPr>
                <w:rFonts w:ascii="Arial" w:cs="Arial" w:eastAsia="Arial" w:hAnsi="Arial"/>
                <w:sz w:val="11"/>
                <w:szCs w:val="11"/>
                <w:b w:val="1"/>
                <w:bCs w:val="1"/>
                <w:color w:val="auto"/>
                <w:w w:val="93"/>
              </w:rPr>
              <w:t>U.S. Dollars</w:t>
            </w: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jc w:val="right"/>
              <w:ind w:right="99"/>
              <w:spacing w:after="0" w:line="100" w:lineRule="exact"/>
              <w:rPr>
                <w:sz w:val="20"/>
                <w:szCs w:val="20"/>
                <w:color w:val="auto"/>
              </w:rPr>
            </w:pPr>
            <w:r>
              <w:rPr>
                <w:rFonts w:ascii="Arial" w:cs="Arial" w:eastAsia="Arial" w:hAnsi="Arial"/>
                <w:sz w:val="11"/>
                <w:szCs w:val="11"/>
                <w:b w:val="1"/>
                <w:bCs w:val="1"/>
                <w:color w:val="auto"/>
                <w:w w:val="95"/>
              </w:rPr>
              <w:t>Originating</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vMerge w:val="restart"/>
          </w:tcPr>
          <w:p>
            <w:pPr>
              <w:jc w:val="right"/>
              <w:ind w:right="133"/>
              <w:spacing w:after="0"/>
              <w:rPr>
                <w:sz w:val="20"/>
                <w:szCs w:val="20"/>
                <w:color w:val="auto"/>
              </w:rPr>
            </w:pPr>
            <w:r>
              <w:rPr>
                <w:rFonts w:ascii="Arial" w:cs="Arial" w:eastAsia="Arial" w:hAnsi="Arial"/>
                <w:sz w:val="11"/>
                <w:szCs w:val="11"/>
                <w:b w:val="1"/>
                <w:bCs w:val="1"/>
                <w:color w:val="auto"/>
                <w:w w:val="93"/>
              </w:rPr>
              <w:t>U.S. Dollars</w:t>
            </w: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jc w:val="right"/>
              <w:ind w:right="96"/>
              <w:spacing w:after="0" w:line="100" w:lineRule="exact"/>
              <w:rPr>
                <w:sz w:val="20"/>
                <w:szCs w:val="20"/>
                <w:color w:val="auto"/>
              </w:rPr>
            </w:pPr>
            <w:r>
              <w:rPr>
                <w:rFonts w:ascii="Arial" w:cs="Arial" w:eastAsia="Arial" w:hAnsi="Arial"/>
                <w:sz w:val="11"/>
                <w:szCs w:val="11"/>
                <w:b w:val="1"/>
                <w:bCs w:val="1"/>
                <w:color w:val="auto"/>
                <w:w w:val="95"/>
              </w:rPr>
              <w:t>Originating</w:t>
            </w:r>
          </w:p>
        </w:tc>
        <w:tc>
          <w:tcPr>
            <w:tcW w:w="0" w:type="dxa"/>
            <w:vAlign w:val="bottom"/>
          </w:tcPr>
          <w:p>
            <w:pPr>
              <w:spacing w:after="0"/>
              <w:rPr>
                <w:sz w:val="1"/>
                <w:szCs w:val="1"/>
                <w:color w:val="auto"/>
              </w:rPr>
            </w:pPr>
          </w:p>
        </w:tc>
      </w:tr>
      <w:tr>
        <w:trPr>
          <w:trHeight w:val="141"/>
        </w:trPr>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ind w:left="380"/>
              <w:spacing w:after="0"/>
              <w:rPr>
                <w:sz w:val="20"/>
                <w:szCs w:val="20"/>
                <w:color w:val="auto"/>
              </w:rPr>
            </w:pPr>
            <w:r>
              <w:rPr>
                <w:rFonts w:ascii="Arial" w:cs="Arial" w:eastAsia="Arial" w:hAnsi="Arial"/>
                <w:sz w:val="11"/>
                <w:szCs w:val="11"/>
                <w:b w:val="1"/>
                <w:bCs w:val="1"/>
                <w:color w:val="auto"/>
              </w:rPr>
              <w:t>Currency</w:t>
            </w:r>
          </w:p>
        </w:tc>
        <w:tc>
          <w:tcPr>
            <w:tcW w:w="5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tcPr>
          <w:p>
            <w:pPr>
              <w:ind w:left="400"/>
              <w:spacing w:after="0"/>
              <w:rPr>
                <w:sz w:val="20"/>
                <w:szCs w:val="20"/>
                <w:color w:val="auto"/>
              </w:rPr>
            </w:pPr>
            <w:r>
              <w:rPr>
                <w:rFonts w:ascii="Arial" w:cs="Arial" w:eastAsia="Arial" w:hAnsi="Arial"/>
                <w:sz w:val="11"/>
                <w:szCs w:val="11"/>
                <w:b w:val="1"/>
                <w:bCs w:val="1"/>
                <w:color w:val="auto"/>
              </w:rPr>
              <w:t>Currency</w:t>
            </w:r>
          </w:p>
        </w:tc>
        <w:tc>
          <w:tcPr>
            <w:tcW w:w="5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3"/>
          </w:tcPr>
          <w:p>
            <w:pPr>
              <w:ind w:left="400"/>
              <w:spacing w:after="0"/>
              <w:rPr>
                <w:sz w:val="20"/>
                <w:szCs w:val="20"/>
                <w:color w:val="auto"/>
              </w:rPr>
            </w:pPr>
            <w:r>
              <w:rPr>
                <w:rFonts w:ascii="Arial" w:cs="Arial" w:eastAsia="Arial" w:hAnsi="Arial"/>
                <w:sz w:val="11"/>
                <w:szCs w:val="11"/>
                <w:b w:val="1"/>
                <w:bCs w:val="1"/>
                <w:color w:val="auto"/>
              </w:rPr>
              <w:t>Currency</w:t>
            </w:r>
          </w:p>
        </w:tc>
        <w:tc>
          <w:tcPr>
            <w:tcW w:w="4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316"/>
              <w:spacing w:after="0"/>
              <w:rPr>
                <w:sz w:val="20"/>
                <w:szCs w:val="20"/>
                <w:color w:val="auto"/>
              </w:rPr>
            </w:pPr>
            <w:r>
              <w:rPr>
                <w:rFonts w:ascii="Arial" w:cs="Arial" w:eastAsia="Arial" w:hAnsi="Arial"/>
                <w:sz w:val="11"/>
                <w:szCs w:val="11"/>
                <w:b w:val="1"/>
                <w:bCs w:val="1"/>
                <w:color w:val="auto"/>
              </w:rPr>
              <w:t>Currency</w:t>
            </w:r>
          </w:p>
        </w:tc>
        <w:tc>
          <w:tcPr>
            <w:tcW w:w="0" w:type="dxa"/>
            <w:vAlign w:val="bottom"/>
          </w:tcPr>
          <w:p>
            <w:pPr>
              <w:spacing w:after="0"/>
              <w:rPr>
                <w:sz w:val="1"/>
                <w:szCs w:val="1"/>
                <w:color w:val="auto"/>
              </w:rPr>
            </w:pPr>
          </w:p>
        </w:tc>
      </w:tr>
      <w:tr>
        <w:trPr>
          <w:trHeight w:val="181"/>
        </w:trPr>
        <w:tc>
          <w:tcPr>
            <w:tcW w:w="840" w:type="dxa"/>
            <w:vAlign w:val="bottom"/>
          </w:tcPr>
          <w:p>
            <w:pPr>
              <w:ind w:left="360"/>
              <w:spacing w:after="0"/>
              <w:rPr>
                <w:sz w:val="20"/>
                <w:szCs w:val="20"/>
                <w:color w:val="auto"/>
              </w:rPr>
            </w:pPr>
            <w:r>
              <w:rPr>
                <w:rFonts w:ascii="Arial" w:cs="Arial" w:eastAsia="Arial" w:hAnsi="Arial"/>
                <w:sz w:val="14"/>
                <w:szCs w:val="14"/>
                <w:color w:val="auto"/>
              </w:rPr>
              <w:t>Euro</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38,753</w:t>
            </w:r>
          </w:p>
        </w:tc>
        <w:tc>
          <w:tcPr>
            <w:tcW w:w="8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32,588</w:t>
            </w:r>
          </w:p>
        </w:tc>
        <w:tc>
          <w:tcPr>
            <w:tcW w:w="6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32,756</w:t>
            </w:r>
          </w:p>
        </w:tc>
        <w:tc>
          <w:tcPr>
            <w:tcW w:w="6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29,717</w:t>
            </w:r>
          </w:p>
        </w:tc>
        <w:tc>
          <w:tcPr>
            <w:tcW w:w="6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76,643</w:t>
            </w:r>
          </w:p>
        </w:tc>
        <w:tc>
          <w:tcPr>
            <w:tcW w:w="6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64,543</w:t>
            </w:r>
          </w:p>
        </w:tc>
        <w:tc>
          <w:tcPr>
            <w:tcW w:w="8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66,448</w:t>
            </w:r>
          </w:p>
        </w:tc>
        <w:tc>
          <w:tcPr>
            <w:tcW w:w="60" w:type="dxa"/>
            <w:vAlign w:val="bottom"/>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60,095</w:t>
            </w:r>
          </w:p>
        </w:tc>
        <w:tc>
          <w:tcPr>
            <w:tcW w:w="0" w:type="dxa"/>
            <w:vAlign w:val="bottom"/>
          </w:tcPr>
          <w:p>
            <w:pPr>
              <w:spacing w:after="0"/>
              <w:rPr>
                <w:sz w:val="1"/>
                <w:szCs w:val="1"/>
                <w:color w:val="auto"/>
              </w:rPr>
            </w:pPr>
          </w:p>
        </w:tc>
      </w:tr>
      <w:tr>
        <w:trPr>
          <w:trHeight w:val="144"/>
        </w:trPr>
        <w:tc>
          <w:tcPr>
            <w:tcW w:w="840" w:type="dxa"/>
            <w:vAlign w:val="bottom"/>
            <w:shd w:val="clear" w:color="auto" w:fill="CCEEFF"/>
          </w:tcPr>
          <w:p>
            <w:pPr>
              <w:ind w:left="360"/>
              <w:spacing w:after="0" w:line="144" w:lineRule="exact"/>
              <w:rPr>
                <w:sz w:val="20"/>
                <w:szCs w:val="20"/>
                <w:color w:val="auto"/>
              </w:rPr>
            </w:pPr>
            <w:r>
              <w:rPr>
                <w:rFonts w:ascii="Arial" w:cs="Arial" w:eastAsia="Arial" w:hAnsi="Arial"/>
                <w:sz w:val="14"/>
                <w:szCs w:val="14"/>
                <w:color w:val="auto"/>
              </w:rPr>
              <w:t>British</w:t>
            </w:r>
          </w:p>
        </w:tc>
        <w:tc>
          <w:tcPr>
            <w:tcW w:w="4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14,915</w:t>
            </w: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10,806</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11,274</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9,039</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28,909</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21,122</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23,477</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18,509</w:t>
            </w:r>
          </w:p>
        </w:tc>
        <w:tc>
          <w:tcPr>
            <w:tcW w:w="0" w:type="dxa"/>
            <w:vAlign w:val="bottom"/>
          </w:tcPr>
          <w:p>
            <w:pPr>
              <w:spacing w:after="0"/>
              <w:rPr>
                <w:sz w:val="1"/>
                <w:szCs w:val="1"/>
                <w:color w:val="auto"/>
              </w:rPr>
            </w:pPr>
          </w:p>
        </w:tc>
      </w:tr>
      <w:tr>
        <w:trPr>
          <w:trHeight w:val="181"/>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pounds</w:t>
            </w:r>
          </w:p>
        </w:tc>
        <w:tc>
          <w:tcPr>
            <w:tcW w:w="4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40" w:type="dxa"/>
            <w:vAlign w:val="bottom"/>
          </w:tcPr>
          <w:p>
            <w:pPr>
              <w:ind w:left="360"/>
              <w:spacing w:after="0" w:line="141" w:lineRule="exact"/>
              <w:rPr>
                <w:sz w:val="20"/>
                <w:szCs w:val="20"/>
                <w:color w:val="auto"/>
              </w:rPr>
            </w:pPr>
            <w:r>
              <w:rPr>
                <w:rFonts w:ascii="Arial" w:cs="Arial" w:eastAsia="Arial" w:hAnsi="Arial"/>
                <w:sz w:val="14"/>
                <w:szCs w:val="14"/>
                <w:color w:val="auto"/>
              </w:rPr>
              <w:t>All</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40" w:type="dxa"/>
            <w:vAlign w:val="bottom"/>
          </w:tcPr>
          <w:p>
            <w:pPr>
              <w:spacing w:after="0" w:line="138" w:lineRule="exact"/>
              <w:rPr>
                <w:sz w:val="20"/>
                <w:szCs w:val="20"/>
                <w:color w:val="auto"/>
              </w:rPr>
            </w:pPr>
            <w:r>
              <w:rPr>
                <w:rFonts w:ascii="Arial" w:cs="Arial" w:eastAsia="Arial" w:hAnsi="Arial"/>
                <w:sz w:val="14"/>
                <w:szCs w:val="14"/>
                <w:color w:val="auto"/>
              </w:rPr>
              <w:t>other non-</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40" w:type="dxa"/>
            <w:vAlign w:val="bottom"/>
          </w:tcPr>
          <w:p>
            <w:pPr>
              <w:spacing w:after="0" w:line="138" w:lineRule="exact"/>
              <w:rPr>
                <w:sz w:val="20"/>
                <w:szCs w:val="20"/>
                <w:color w:val="auto"/>
              </w:rPr>
            </w:pPr>
            <w:r>
              <w:rPr>
                <w:rFonts w:ascii="Arial" w:cs="Arial" w:eastAsia="Arial" w:hAnsi="Arial"/>
                <w:sz w:val="14"/>
                <w:szCs w:val="14"/>
                <w:color w:val="auto"/>
              </w:rPr>
              <w:t>U.S.</w:t>
            </w:r>
          </w:p>
        </w:tc>
        <w:tc>
          <w:tcPr>
            <w:tcW w:w="4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14,083</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11,408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28,029</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23,203</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840" w:type="dxa"/>
            <w:vAlign w:val="bottom"/>
            <w:tcBorders>
              <w:bottom w:val="single" w:sz="8" w:color="CCEEFF"/>
            </w:tcBorders>
          </w:tcPr>
          <w:p>
            <w:pPr>
              <w:spacing w:after="0" w:line="181" w:lineRule="exact"/>
              <w:rPr>
                <w:sz w:val="20"/>
                <w:szCs w:val="20"/>
                <w:color w:val="auto"/>
              </w:rPr>
            </w:pPr>
            <w:r>
              <w:rPr>
                <w:rFonts w:ascii="Arial" w:cs="Arial" w:eastAsia="Arial" w:hAnsi="Arial"/>
                <w:sz w:val="14"/>
                <w:szCs w:val="14"/>
                <w:color w:val="auto"/>
              </w:rPr>
              <w:t>currencies</w:t>
            </w:r>
            <w:r>
              <w:rPr>
                <w:rFonts w:ascii="Arial" w:cs="Arial" w:eastAsia="Arial" w:hAnsi="Arial"/>
                <w:sz w:val="17"/>
                <w:szCs w:val="17"/>
                <w:color w:val="auto"/>
                <w:vertAlign w:val="superscript"/>
              </w:rPr>
              <w:t>(1)</w:t>
            </w: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shd w:val="clear" w:color="auto" w:fill="CCEEFF"/>
          </w:tcPr>
          <w:p>
            <w:pPr>
              <w:ind w:left="460"/>
              <w:spacing w:after="0" w:line="121" w:lineRule="exact"/>
              <w:rPr>
                <w:sz w:val="20"/>
                <w:szCs w:val="20"/>
                <w:color w:val="auto"/>
              </w:rPr>
            </w:pPr>
            <w:r>
              <w:rPr>
                <w:rFonts w:ascii="Arial" w:cs="Arial" w:eastAsia="Arial" w:hAnsi="Arial"/>
                <w:sz w:val="14"/>
                <w:szCs w:val="14"/>
                <w:color w:val="auto"/>
              </w:rPr>
              <w:t>Total</w:t>
            </w:r>
          </w:p>
        </w:tc>
        <w:tc>
          <w:tcPr>
            <w:tcW w:w="4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8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foreign</w:t>
            </w:r>
          </w:p>
        </w:tc>
        <w:tc>
          <w:tcPr>
            <w:tcW w:w="4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67,751</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55,438</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133,581</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113,128</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currency</w:t>
            </w:r>
          </w:p>
        </w:tc>
        <w:tc>
          <w:tcPr>
            <w:tcW w:w="4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840" w:type="dxa"/>
            <w:vAlign w:val="bottom"/>
            <w:shd w:val="clear" w:color="auto" w:fill="CCEEFF"/>
          </w:tcPr>
          <w:p>
            <w:pPr>
              <w:ind w:left="360"/>
              <w:spacing w:after="0" w:line="141" w:lineRule="exact"/>
              <w:rPr>
                <w:sz w:val="20"/>
                <w:szCs w:val="20"/>
                <w:color w:val="auto"/>
              </w:rPr>
            </w:pPr>
            <w:r>
              <w:rPr>
                <w:rFonts w:ascii="Arial" w:cs="Arial" w:eastAsia="Arial" w:hAnsi="Arial"/>
                <w:sz w:val="14"/>
                <w:szCs w:val="14"/>
                <w:color w:val="auto"/>
              </w:rPr>
              <w:t>U.S.</w:t>
            </w:r>
          </w:p>
        </w:tc>
        <w:tc>
          <w:tcPr>
            <w:tcW w:w="4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122,161</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103,792</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239,612</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207,387</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dollar</w:t>
            </w:r>
          </w:p>
        </w:tc>
        <w:tc>
          <w:tcPr>
            <w:tcW w:w="4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40" w:type="dxa"/>
            <w:vAlign w:val="bottom"/>
          </w:tcPr>
          <w:p>
            <w:pPr>
              <w:ind w:left="460"/>
              <w:spacing w:after="0" w:line="121" w:lineRule="exact"/>
              <w:rPr>
                <w:sz w:val="20"/>
                <w:szCs w:val="20"/>
                <w:color w:val="auto"/>
              </w:rPr>
            </w:pPr>
            <w:r>
              <w:rPr>
                <w:rFonts w:ascii="Arial" w:cs="Arial" w:eastAsia="Arial" w:hAnsi="Arial"/>
                <w:sz w:val="14"/>
                <w:szCs w:val="14"/>
                <w:color w:val="auto"/>
              </w:rPr>
              <w:t>Total</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189,912</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159,230</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373,193</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320,515</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40" w:type="dxa"/>
            <w:vAlign w:val="bottom"/>
          </w:tcPr>
          <w:p>
            <w:pPr>
              <w:ind w:left="120"/>
              <w:spacing w:after="0" w:line="158" w:lineRule="exact"/>
              <w:rPr>
                <w:sz w:val="20"/>
                <w:szCs w:val="20"/>
                <w:color w:val="auto"/>
              </w:rPr>
            </w:pPr>
            <w:r>
              <w:rPr>
                <w:rFonts w:ascii="Arial" w:cs="Arial" w:eastAsia="Arial" w:hAnsi="Arial"/>
                <w:sz w:val="14"/>
                <w:szCs w:val="14"/>
                <w:color w:val="auto"/>
              </w:rPr>
              <w:t>revenue</w:t>
            </w:r>
          </w:p>
        </w:tc>
        <w:tc>
          <w:tcPr>
            <w:tcW w:w="48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ind w:left="268" w:hanging="268"/>
        <w:spacing w:after="0"/>
        <w:tabs>
          <w:tab w:leader="none" w:pos="268"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Includes no single currency which exceeded 5% of total revenue for any of the periods presented.</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Interest Rate Fluctuation Risk</w:t>
      </w:r>
    </w:p>
    <w:p>
      <w:pPr>
        <w:spacing w:after="0" w:line="103" w:lineRule="exact"/>
        <w:rPr>
          <w:sz w:val="20"/>
          <w:szCs w:val="20"/>
          <w:color w:val="auto"/>
        </w:rPr>
      </w:pPr>
    </w:p>
    <w:p>
      <w:pPr>
        <w:ind w:left="8" w:right="240" w:firstLine="345"/>
        <w:spacing w:after="0" w:line="286" w:lineRule="auto"/>
        <w:rPr>
          <w:sz w:val="20"/>
          <w:szCs w:val="20"/>
          <w:color w:val="auto"/>
        </w:rPr>
      </w:pPr>
      <w:r>
        <w:rPr>
          <w:rFonts w:ascii="Arial" w:cs="Arial" w:eastAsia="Arial" w:hAnsi="Arial"/>
          <w:sz w:val="15"/>
          <w:szCs w:val="15"/>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49" w:lineRule="exact"/>
        <w:rPr>
          <w:sz w:val="20"/>
          <w:szCs w:val="20"/>
          <w:color w:val="auto"/>
        </w:rPr>
      </w:pPr>
    </w:p>
    <w:p>
      <w:pPr>
        <w:ind w:left="348"/>
        <w:spacing w:after="0"/>
        <w:rPr>
          <w:sz w:val="20"/>
          <w:szCs w:val="20"/>
          <w:color w:val="auto"/>
        </w:rPr>
      </w:pPr>
      <w:r>
        <w:rPr>
          <w:rFonts w:ascii="Arial" w:cs="Arial" w:eastAsia="Arial" w:hAnsi="Arial"/>
          <w:sz w:val="15"/>
          <w:szCs w:val="15"/>
          <w:color w:val="auto"/>
        </w:rPr>
        <w:t>We did not have any long-term borrowings as of June 30, 2021.</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Inflation Risk</w:t>
      </w:r>
    </w:p>
    <w:p>
      <w:pPr>
        <w:spacing w:after="0" w:line="103" w:lineRule="exact"/>
        <w:rPr>
          <w:sz w:val="20"/>
          <w:szCs w:val="20"/>
          <w:color w:val="auto"/>
        </w:rPr>
      </w:pPr>
    </w:p>
    <w:p>
      <w:pPr>
        <w:ind w:left="8" w:right="320" w:firstLine="345"/>
        <w:spacing w:after="0" w:line="271" w:lineRule="auto"/>
        <w:rPr>
          <w:sz w:val="20"/>
          <w:szCs w:val="20"/>
          <w:color w:val="auto"/>
        </w:rPr>
      </w:pPr>
      <w:r>
        <w:rPr>
          <w:rFonts w:ascii="Arial" w:cs="Arial" w:eastAsia="Arial" w:hAnsi="Arial"/>
          <w:sz w:val="15"/>
          <w:szCs w:val="15"/>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118110</wp:posOffset>
            </wp:positionV>
            <wp:extent cx="717804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348"/>
          </w:cols>
          <w:pgMar w:left="312" w:top="129" w:right="239" w:bottom="1440" w:gutter="0" w:footer="0" w:header="0"/>
        </w:sectPr>
      </w:pPr>
    </w:p>
    <w:bookmarkStart w:id="36" w:name="page37"/>
    <w:bookmarkEnd w:id="36"/>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3"/>
          <w:szCs w:val="13"/>
          <w:b w:val="1"/>
          <w:bCs w:val="1"/>
          <w:color w:val="auto"/>
        </w:rPr>
        <w:t>Controls and Procedures.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Evaluation of Disclosure Controls and Procedures</w:t>
      </w:r>
    </w:p>
    <w:p>
      <w:pPr>
        <w:spacing w:after="0" w:line="103" w:lineRule="exact"/>
        <w:rPr>
          <w:sz w:val="20"/>
          <w:szCs w:val="20"/>
          <w:color w:val="auto"/>
        </w:rPr>
      </w:pPr>
    </w:p>
    <w:p>
      <w:pPr>
        <w:ind w:firstLine="345"/>
        <w:spacing w:after="0" w:line="282" w:lineRule="auto"/>
        <w:rPr>
          <w:sz w:val="20"/>
          <w:szCs w:val="20"/>
          <w:color w:val="auto"/>
        </w:rPr>
      </w:pPr>
      <w:r>
        <w:rPr>
          <w:rFonts w:ascii="Arial" w:cs="Arial" w:eastAsia="Arial" w:hAnsi="Arial"/>
          <w:sz w:val="14"/>
          <w:szCs w:val="14"/>
          <w:color w:val="auto"/>
        </w:rPr>
        <w:t>Our management, with the participation of our Chief Executive Officer and our Chief Financial Officer, evaluated the effectiveness of our disclosure controls and procedures as of June 30, 2021.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55" w:lineRule="exact"/>
        <w:rPr>
          <w:sz w:val="20"/>
          <w:szCs w:val="20"/>
          <w:color w:val="auto"/>
        </w:rPr>
      </w:pPr>
    </w:p>
    <w:p>
      <w:pPr>
        <w:ind w:right="180" w:firstLine="345"/>
        <w:spacing w:after="0" w:line="286" w:lineRule="auto"/>
        <w:rPr>
          <w:sz w:val="20"/>
          <w:szCs w:val="20"/>
          <w:color w:val="auto"/>
        </w:rPr>
      </w:pPr>
      <w:r>
        <w:rPr>
          <w:rFonts w:ascii="Arial" w:cs="Arial" w:eastAsia="Arial" w:hAnsi="Arial"/>
          <w:sz w:val="15"/>
          <w:szCs w:val="15"/>
          <w:color w:val="auto"/>
        </w:rPr>
        <w:t>Based on the evaluation of our disclosure controls and procedures as of June 30, 2021, our Chief Executive Officer and Chief Financial Officer concluded that, as of such date, our disclosure controls and procedures were effective at the reasonable assurance level.</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Changes in Internal Control over Financial Reporting</w:t>
      </w:r>
    </w:p>
    <w:p>
      <w:pPr>
        <w:spacing w:after="0" w:line="103" w:lineRule="exact"/>
        <w:rPr>
          <w:sz w:val="20"/>
          <w:szCs w:val="20"/>
          <w:color w:val="auto"/>
        </w:rPr>
      </w:pPr>
    </w:p>
    <w:p>
      <w:pPr>
        <w:ind w:right="260" w:firstLine="345"/>
        <w:spacing w:after="0" w:line="266" w:lineRule="auto"/>
        <w:rPr>
          <w:sz w:val="20"/>
          <w:szCs w:val="20"/>
          <w:color w:val="auto"/>
        </w:rPr>
      </w:pPr>
      <w:r>
        <w:rPr>
          <w:rFonts w:ascii="Arial" w:cs="Arial" w:eastAsia="Arial" w:hAnsi="Arial"/>
          <w:sz w:val="15"/>
          <w:szCs w:val="15"/>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 We acquired TurboSquid, Inc. during the first quarter of 2021 and are in the process of integrating the acquired business into our overall internal control over financial reporting process.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7" w:name="page38"/>
    <w:bookmarkEnd w:id="37"/>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PART II.</w:t>
        <w:tab/>
        <w:t>OTHER INFORMATION</w:t>
      </w:r>
    </w:p>
    <w:p>
      <w:pPr>
        <w:spacing w:after="0" w:line="103"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3"/>
          <w:szCs w:val="13"/>
          <w:b w:val="1"/>
          <w:bCs w:val="1"/>
          <w:color w:val="auto"/>
        </w:rPr>
        <w:t>Legal Proceedings.</w:t>
      </w:r>
    </w:p>
    <w:p>
      <w:pPr>
        <w:spacing w:after="0" w:line="142" w:lineRule="exact"/>
        <w:rPr>
          <w:sz w:val="20"/>
          <w:szCs w:val="20"/>
          <w:color w:val="auto"/>
        </w:rPr>
      </w:pPr>
    </w:p>
    <w:p>
      <w:pPr>
        <w:ind w:firstLine="345"/>
        <w:spacing w:after="0" w:line="262" w:lineRule="auto"/>
        <w:rPr>
          <w:sz w:val="20"/>
          <w:szCs w:val="20"/>
          <w:color w:val="auto"/>
        </w:rPr>
      </w:pPr>
      <w:r>
        <w:rPr>
          <w:rFonts w:ascii="Arial" w:cs="Arial" w:eastAsia="Arial" w:hAnsi="Arial"/>
          <w:sz w:val="15"/>
          <w:szCs w:val="15"/>
          <w:color w:val="auto"/>
        </w:rPr>
        <w:t>Although we are not currently a party to any material active litigation,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18" w:lineRule="exact"/>
        <w:rPr>
          <w:sz w:val="20"/>
          <w:szCs w:val="20"/>
          <w:color w:val="auto"/>
        </w:rPr>
      </w:pPr>
    </w:p>
    <w:p>
      <w:pPr>
        <w:spacing w:after="0"/>
        <w:tabs>
          <w:tab w:leader="none" w:pos="70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3"/>
          <w:szCs w:val="13"/>
          <w:b w:val="1"/>
          <w:bCs w:val="1"/>
          <w:color w:val="auto"/>
        </w:rPr>
        <w:t>Risk Factors.</w:t>
      </w:r>
    </w:p>
    <w:p>
      <w:pPr>
        <w:spacing w:after="0" w:line="107" w:lineRule="exact"/>
        <w:rPr>
          <w:sz w:val="20"/>
          <w:szCs w:val="20"/>
          <w:color w:val="auto"/>
        </w:rPr>
      </w:pPr>
    </w:p>
    <w:p>
      <w:pPr>
        <w:ind w:right="60" w:firstLine="345"/>
        <w:spacing w:after="0" w:line="266" w:lineRule="auto"/>
        <w:rPr>
          <w:sz w:val="20"/>
          <w:szCs w:val="20"/>
          <w:color w:val="auto"/>
        </w:rPr>
      </w:pPr>
      <w:r>
        <w:rPr>
          <w:rFonts w:ascii="Arial" w:cs="Arial" w:eastAsia="Arial" w:hAnsi="Arial"/>
          <w:sz w:val="15"/>
          <w:szCs w:val="15"/>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2020 Form 10-K, which could materially affect our business, financial condition or future results. During the three months ended June 30, 2021, there were no material changes to these risk factors as described in our 2020 Form 10-K.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See the Exhibit Index, which immediately precedes the signature page of this Quarterly Report on Form 10-Q, which is incorporated herein by reference.</w:t>
      </w:r>
    </w:p>
    <w:p>
      <w:pPr>
        <w:spacing w:after="0" w:line="200" w:lineRule="exact"/>
        <w:rPr>
          <w:sz w:val="20"/>
          <w:szCs w:val="20"/>
          <w:color w:val="auto"/>
        </w:rPr>
      </w:pPr>
    </w:p>
    <w:p>
      <w:pPr>
        <w:spacing w:after="0" w:line="283"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17804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8" w:name="page39"/>
    <w:bookmarkEnd w:id="38"/>
    <w:p>
      <w:pPr>
        <w:ind w:left="27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960" w:type="dxa"/>
            <w:vAlign w:val="bottom"/>
          </w:tcPr>
          <w:p>
            <w:pPr>
              <w:spacing w:after="0"/>
              <w:rPr>
                <w:sz w:val="17"/>
                <w:szCs w:val="17"/>
                <w:color w:val="auto"/>
              </w:rPr>
            </w:pPr>
          </w:p>
        </w:tc>
        <w:tc>
          <w:tcPr>
            <w:tcW w:w="9700" w:type="dxa"/>
            <w:vAlign w:val="bottom"/>
            <w:gridSpan w:val="3"/>
          </w:tcPr>
          <w:p>
            <w:pPr>
              <w:ind w:left="4000"/>
              <w:spacing w:after="0"/>
              <w:rPr>
                <w:sz w:val="20"/>
                <w:szCs w:val="20"/>
                <w:color w:val="auto"/>
              </w:rPr>
            </w:pPr>
            <w:r>
              <w:rPr>
                <w:rFonts w:ascii="Arial" w:cs="Arial" w:eastAsia="Arial" w:hAnsi="Arial"/>
                <w:sz w:val="15"/>
                <w:szCs w:val="15"/>
                <w:b w:val="1"/>
                <w:bCs w:val="1"/>
                <w:color w:val="auto"/>
              </w:rPr>
              <w:t>EXHIBIT INDEX</w:t>
            </w:r>
          </w:p>
        </w:tc>
      </w:tr>
      <w:tr>
        <w:trPr>
          <w:trHeight w:val="174"/>
        </w:trPr>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Exhibit</w:t>
            </w:r>
          </w:p>
        </w:tc>
        <w:tc>
          <w:tcPr>
            <w:tcW w:w="9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61"/>
        </w:trPr>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Number</w:t>
            </w:r>
          </w:p>
        </w:tc>
        <w:tc>
          <w:tcPr>
            <w:tcW w:w="9700" w:type="dxa"/>
            <w:vAlign w:val="bottom"/>
            <w:gridSpan w:val="3"/>
          </w:tcPr>
          <w:p>
            <w:pPr>
              <w:ind w:left="4560"/>
              <w:spacing w:after="0"/>
              <w:rPr>
                <w:sz w:val="20"/>
                <w:szCs w:val="20"/>
                <w:color w:val="auto"/>
              </w:rPr>
            </w:pPr>
            <w:r>
              <w:rPr>
                <w:rFonts w:ascii="Arial" w:cs="Arial" w:eastAsia="Arial" w:hAnsi="Arial"/>
                <w:sz w:val="12"/>
                <w:szCs w:val="12"/>
                <w:b w:val="1"/>
                <w:bCs w:val="1"/>
                <w:color w:val="auto"/>
              </w:rPr>
              <w:t>Exhibit Description</w:t>
            </w:r>
          </w:p>
        </w:tc>
      </w:tr>
      <w:tr>
        <w:trPr>
          <w:trHeight w:val="159"/>
        </w:trPr>
        <w:tc>
          <w:tcPr>
            <w:tcW w:w="960" w:type="dxa"/>
            <w:vAlign w:val="bottom"/>
          </w:tcPr>
          <w:p>
            <w:pPr>
              <w:spacing w:after="0" w:line="159" w:lineRule="exact"/>
              <w:rPr>
                <w:sz w:val="20"/>
                <w:szCs w:val="20"/>
                <w:color w:val="auto"/>
              </w:rPr>
            </w:pPr>
            <w:r>
              <w:rPr>
                <w:rFonts w:ascii="Arial" w:cs="Arial" w:eastAsia="Arial" w:hAnsi="Arial"/>
                <w:sz w:val="14"/>
                <w:szCs w:val="14"/>
                <w:color w:val="auto"/>
              </w:rPr>
              <w:t>31.1#</w:t>
            </w:r>
          </w:p>
        </w:tc>
        <w:tc>
          <w:tcPr>
            <w:tcW w:w="9360" w:type="dxa"/>
            <w:vAlign w:val="bottom"/>
            <w:tcBorders>
              <w:bottom w:val="single" w:sz="8" w:color="0000FF"/>
            </w:tcBorders>
            <w:gridSpan w:val="2"/>
          </w:tcPr>
          <w:p>
            <w:pPr>
              <w:spacing w:after="0" w:line="159" w:lineRule="exact"/>
              <w:rPr>
                <w:rFonts w:ascii="Arial" w:cs="Arial" w:eastAsia="Arial" w:hAnsi="Arial"/>
                <w:sz w:val="14"/>
                <w:szCs w:val="14"/>
                <w:color w:val="0000FF"/>
                <w:w w:val="89"/>
              </w:rPr>
            </w:pPr>
            <w:hyperlink w:anchor="page41">
              <w:r>
                <w:rPr>
                  <w:rFonts w:ascii="Arial" w:cs="Arial" w:eastAsia="Arial" w:hAnsi="Arial"/>
                  <w:sz w:val="14"/>
                  <w:szCs w:val="14"/>
                  <w:color w:val="0000FF"/>
                  <w:w w:val="89"/>
                </w:rPr>
                <w:t>Certification of Chief Executive Officer pursuant to Exchange Act Rules 13a-14(a) and 15d-14(a), as adopted pursuant to Section 302 of the Sarbanes-Oxley Act of 2002</w:t>
              </w:r>
            </w:hyperlink>
          </w:p>
        </w:tc>
        <w:tc>
          <w:tcPr>
            <w:tcW w:w="340" w:type="dxa"/>
            <w:vAlign w:val="bottom"/>
          </w:tcPr>
          <w:p>
            <w:pPr>
              <w:spacing w:after="0"/>
              <w:rPr>
                <w:sz w:val="13"/>
                <w:szCs w:val="13"/>
                <w:color w:val="auto"/>
              </w:rPr>
            </w:pPr>
          </w:p>
        </w:tc>
      </w:tr>
      <w:tr>
        <w:trPr>
          <w:trHeight w:val="164"/>
        </w:trPr>
        <w:tc>
          <w:tcPr>
            <w:tcW w:w="960" w:type="dxa"/>
            <w:vAlign w:val="bottom"/>
          </w:tcPr>
          <w:p>
            <w:pPr>
              <w:spacing w:after="0"/>
              <w:rPr>
                <w:sz w:val="20"/>
                <w:szCs w:val="20"/>
                <w:color w:val="auto"/>
              </w:rPr>
            </w:pPr>
            <w:r>
              <w:rPr>
                <w:rFonts w:ascii="Arial" w:cs="Arial" w:eastAsia="Arial" w:hAnsi="Arial"/>
                <w:sz w:val="14"/>
                <w:szCs w:val="14"/>
                <w:color w:val="auto"/>
              </w:rPr>
              <w:t>31.2#</w:t>
            </w:r>
          </w:p>
        </w:tc>
        <w:tc>
          <w:tcPr>
            <w:tcW w:w="9320" w:type="dxa"/>
            <w:vAlign w:val="bottom"/>
            <w:tcBorders>
              <w:bottom w:val="single" w:sz="8" w:color="0000FF"/>
            </w:tcBorders>
          </w:tcPr>
          <w:p>
            <w:pPr>
              <w:spacing w:after="0"/>
              <w:rPr>
                <w:rFonts w:ascii="Arial" w:cs="Arial" w:eastAsia="Arial" w:hAnsi="Arial"/>
                <w:sz w:val="14"/>
                <w:szCs w:val="14"/>
                <w:color w:val="0000FF"/>
                <w:w w:val="89"/>
              </w:rPr>
            </w:pPr>
            <w:hyperlink w:anchor="page42">
              <w:r>
                <w:rPr>
                  <w:rFonts w:ascii="Arial" w:cs="Arial" w:eastAsia="Arial" w:hAnsi="Arial"/>
                  <w:sz w:val="14"/>
                  <w:szCs w:val="14"/>
                  <w:color w:val="0000FF"/>
                  <w:w w:val="89"/>
                </w:rPr>
                <w:t>Certification of Chief Financial Officer pursuant to Exchange Act Rules 13a-14(a) and 15d-14(a), as adopted pursuant to Section 302 of the Sarbanes-Oxley Act of 2002</w:t>
              </w:r>
            </w:hyperlink>
          </w:p>
        </w:tc>
        <w:tc>
          <w:tcPr>
            <w:tcW w:w="380" w:type="dxa"/>
            <w:vAlign w:val="bottom"/>
            <w:gridSpan w:val="2"/>
          </w:tcPr>
          <w:p>
            <w:pPr>
              <w:spacing w:after="0"/>
              <w:rPr>
                <w:sz w:val="14"/>
                <w:szCs w:val="14"/>
                <w:color w:val="auto"/>
              </w:rPr>
            </w:pPr>
          </w:p>
        </w:tc>
      </w:tr>
      <w:tr>
        <w:trPr>
          <w:trHeight w:val="164"/>
        </w:trPr>
        <w:tc>
          <w:tcPr>
            <w:tcW w:w="960" w:type="dxa"/>
            <w:vAlign w:val="bottom"/>
          </w:tcPr>
          <w:p>
            <w:pPr>
              <w:spacing w:after="0"/>
              <w:rPr>
                <w:sz w:val="20"/>
                <w:szCs w:val="20"/>
                <w:color w:val="auto"/>
              </w:rPr>
            </w:pPr>
            <w:r>
              <w:rPr>
                <w:rFonts w:ascii="Arial" w:cs="Arial" w:eastAsia="Arial" w:hAnsi="Arial"/>
                <w:sz w:val="14"/>
                <w:szCs w:val="14"/>
                <w:color w:val="auto"/>
              </w:rPr>
              <w:t>32#</w:t>
            </w:r>
          </w:p>
        </w:tc>
        <w:tc>
          <w:tcPr>
            <w:tcW w:w="9700" w:type="dxa"/>
            <w:vAlign w:val="bottom"/>
            <w:tcBorders>
              <w:bottom w:val="single" w:sz="8" w:color="0000FF"/>
            </w:tcBorders>
            <w:gridSpan w:val="3"/>
          </w:tcPr>
          <w:p>
            <w:pPr>
              <w:spacing w:after="0"/>
              <w:rPr>
                <w:rFonts w:ascii="Arial" w:cs="Arial" w:eastAsia="Arial" w:hAnsi="Arial"/>
                <w:sz w:val="14"/>
                <w:szCs w:val="14"/>
                <w:color w:val="0000FF"/>
                <w:w w:val="90"/>
              </w:rPr>
            </w:pPr>
            <w:hyperlink w:anchor="page43">
              <w:r>
                <w:rPr>
                  <w:rFonts w:ascii="Arial" w:cs="Arial" w:eastAsia="Arial" w:hAnsi="Arial"/>
                  <w:sz w:val="14"/>
                  <w:szCs w:val="14"/>
                  <w:color w:val="0000FF"/>
                  <w:w w:val="90"/>
                </w:rPr>
                <w:t>Certification of Chief Executive Officer and Chief Financial Officer pursuant to 18 U.S.C. Section 1350, as adopted pursuant to Section 906 of the Sarbanes-Oxley Act of 2002</w:t>
              </w:r>
            </w:hyperlink>
          </w:p>
        </w:tc>
      </w:tr>
      <w:tr>
        <w:trPr>
          <w:trHeight w:val="192"/>
        </w:trPr>
        <w:tc>
          <w:tcPr>
            <w:tcW w:w="960" w:type="dxa"/>
            <w:vAlign w:val="bottom"/>
          </w:tcPr>
          <w:p>
            <w:pPr>
              <w:spacing w:after="0"/>
              <w:rPr>
                <w:sz w:val="20"/>
                <w:szCs w:val="20"/>
                <w:color w:val="auto"/>
              </w:rPr>
            </w:pPr>
            <w:r>
              <w:rPr>
                <w:rFonts w:ascii="Arial" w:cs="Arial" w:eastAsia="Arial" w:hAnsi="Arial"/>
                <w:sz w:val="14"/>
                <w:szCs w:val="14"/>
                <w:color w:val="auto"/>
              </w:rPr>
              <w:t>101.INS</w:t>
            </w:r>
          </w:p>
        </w:tc>
        <w:tc>
          <w:tcPr>
            <w:tcW w:w="9700" w:type="dxa"/>
            <w:vAlign w:val="bottom"/>
            <w:gridSpan w:val="3"/>
          </w:tcPr>
          <w:p>
            <w:pPr>
              <w:spacing w:after="0"/>
              <w:rPr>
                <w:sz w:val="20"/>
                <w:szCs w:val="20"/>
                <w:color w:val="auto"/>
              </w:rPr>
            </w:pPr>
            <w:r>
              <w:rPr>
                <w:rFonts w:ascii="Arial" w:cs="Arial" w:eastAsia="Arial" w:hAnsi="Arial"/>
                <w:sz w:val="14"/>
                <w:szCs w:val="14"/>
                <w:color w:val="auto"/>
                <w:w w:val="93"/>
              </w:rPr>
              <w:t>XBRL Instance Document - the instance document does not appear in the Interactive Data File because its XBRL tags are embedded within the Inline XBRL document.</w:t>
            </w:r>
          </w:p>
        </w:tc>
      </w:tr>
      <w:tr>
        <w:trPr>
          <w:trHeight w:val="184"/>
        </w:trPr>
        <w:tc>
          <w:tcPr>
            <w:tcW w:w="960" w:type="dxa"/>
            <w:vAlign w:val="bottom"/>
          </w:tcPr>
          <w:p>
            <w:pPr>
              <w:spacing w:after="0"/>
              <w:rPr>
                <w:sz w:val="20"/>
                <w:szCs w:val="20"/>
                <w:color w:val="auto"/>
              </w:rPr>
            </w:pPr>
            <w:r>
              <w:rPr>
                <w:rFonts w:ascii="Arial" w:cs="Arial" w:eastAsia="Arial" w:hAnsi="Arial"/>
                <w:sz w:val="14"/>
                <w:szCs w:val="14"/>
                <w:color w:val="auto"/>
              </w:rPr>
              <w:t>101.SCH</w:t>
            </w:r>
          </w:p>
        </w:tc>
        <w:tc>
          <w:tcPr>
            <w:tcW w:w="9700" w:type="dxa"/>
            <w:vAlign w:val="bottom"/>
            <w:gridSpan w:val="3"/>
          </w:tcPr>
          <w:p>
            <w:pPr>
              <w:spacing w:after="0"/>
              <w:rPr>
                <w:sz w:val="20"/>
                <w:szCs w:val="20"/>
                <w:color w:val="auto"/>
              </w:rPr>
            </w:pPr>
            <w:r>
              <w:rPr>
                <w:rFonts w:ascii="Arial" w:cs="Arial" w:eastAsia="Arial" w:hAnsi="Arial"/>
                <w:sz w:val="14"/>
                <w:szCs w:val="14"/>
                <w:color w:val="auto"/>
              </w:rPr>
              <w:t>XBRL Taxonomy Extension Schema Document</w:t>
            </w:r>
          </w:p>
        </w:tc>
      </w:tr>
      <w:tr>
        <w:trPr>
          <w:trHeight w:val="184"/>
        </w:trPr>
        <w:tc>
          <w:tcPr>
            <w:tcW w:w="960" w:type="dxa"/>
            <w:vAlign w:val="bottom"/>
          </w:tcPr>
          <w:p>
            <w:pPr>
              <w:spacing w:after="0"/>
              <w:rPr>
                <w:sz w:val="20"/>
                <w:szCs w:val="20"/>
                <w:color w:val="auto"/>
              </w:rPr>
            </w:pPr>
            <w:r>
              <w:rPr>
                <w:rFonts w:ascii="Arial" w:cs="Arial" w:eastAsia="Arial" w:hAnsi="Arial"/>
                <w:sz w:val="14"/>
                <w:szCs w:val="14"/>
                <w:color w:val="auto"/>
              </w:rPr>
              <w:t>101.CAL</w:t>
            </w:r>
          </w:p>
        </w:tc>
        <w:tc>
          <w:tcPr>
            <w:tcW w:w="9700" w:type="dxa"/>
            <w:vAlign w:val="bottom"/>
            <w:gridSpan w:val="3"/>
          </w:tcPr>
          <w:p>
            <w:pPr>
              <w:spacing w:after="0"/>
              <w:rPr>
                <w:sz w:val="20"/>
                <w:szCs w:val="20"/>
                <w:color w:val="auto"/>
              </w:rPr>
            </w:pPr>
            <w:r>
              <w:rPr>
                <w:rFonts w:ascii="Arial" w:cs="Arial" w:eastAsia="Arial" w:hAnsi="Arial"/>
                <w:sz w:val="14"/>
                <w:szCs w:val="14"/>
                <w:color w:val="auto"/>
              </w:rPr>
              <w:t>XBRL Taxonomy Extension Calculation Linkbase Document</w:t>
            </w:r>
          </w:p>
        </w:tc>
      </w:tr>
      <w:tr>
        <w:trPr>
          <w:trHeight w:val="184"/>
        </w:trPr>
        <w:tc>
          <w:tcPr>
            <w:tcW w:w="960" w:type="dxa"/>
            <w:vAlign w:val="bottom"/>
          </w:tcPr>
          <w:p>
            <w:pPr>
              <w:spacing w:after="0"/>
              <w:rPr>
                <w:sz w:val="20"/>
                <w:szCs w:val="20"/>
                <w:color w:val="auto"/>
              </w:rPr>
            </w:pPr>
            <w:r>
              <w:rPr>
                <w:rFonts w:ascii="Arial" w:cs="Arial" w:eastAsia="Arial" w:hAnsi="Arial"/>
                <w:sz w:val="14"/>
                <w:szCs w:val="14"/>
                <w:color w:val="auto"/>
              </w:rPr>
              <w:t>101.DEF</w:t>
            </w:r>
          </w:p>
        </w:tc>
        <w:tc>
          <w:tcPr>
            <w:tcW w:w="9700" w:type="dxa"/>
            <w:vAlign w:val="bottom"/>
            <w:gridSpan w:val="3"/>
          </w:tcPr>
          <w:p>
            <w:pPr>
              <w:spacing w:after="0"/>
              <w:rPr>
                <w:sz w:val="20"/>
                <w:szCs w:val="20"/>
                <w:color w:val="auto"/>
              </w:rPr>
            </w:pPr>
            <w:r>
              <w:rPr>
                <w:rFonts w:ascii="Arial" w:cs="Arial" w:eastAsia="Arial" w:hAnsi="Arial"/>
                <w:sz w:val="14"/>
                <w:szCs w:val="14"/>
                <w:color w:val="auto"/>
              </w:rPr>
              <w:t>XBRL Taxonomy Extension Definition Linkbase Document</w:t>
            </w:r>
          </w:p>
        </w:tc>
      </w:tr>
      <w:tr>
        <w:trPr>
          <w:trHeight w:val="184"/>
        </w:trPr>
        <w:tc>
          <w:tcPr>
            <w:tcW w:w="960" w:type="dxa"/>
            <w:vAlign w:val="bottom"/>
          </w:tcPr>
          <w:p>
            <w:pPr>
              <w:spacing w:after="0"/>
              <w:rPr>
                <w:sz w:val="20"/>
                <w:szCs w:val="20"/>
                <w:color w:val="auto"/>
              </w:rPr>
            </w:pPr>
            <w:r>
              <w:rPr>
                <w:rFonts w:ascii="Arial" w:cs="Arial" w:eastAsia="Arial" w:hAnsi="Arial"/>
                <w:sz w:val="14"/>
                <w:szCs w:val="14"/>
                <w:color w:val="auto"/>
              </w:rPr>
              <w:t>101.LAB</w:t>
            </w:r>
          </w:p>
        </w:tc>
        <w:tc>
          <w:tcPr>
            <w:tcW w:w="9700" w:type="dxa"/>
            <w:vAlign w:val="bottom"/>
            <w:gridSpan w:val="3"/>
          </w:tcPr>
          <w:p>
            <w:pPr>
              <w:spacing w:after="0"/>
              <w:rPr>
                <w:sz w:val="20"/>
                <w:szCs w:val="20"/>
                <w:color w:val="auto"/>
              </w:rPr>
            </w:pPr>
            <w:r>
              <w:rPr>
                <w:rFonts w:ascii="Arial" w:cs="Arial" w:eastAsia="Arial" w:hAnsi="Arial"/>
                <w:sz w:val="14"/>
                <w:szCs w:val="14"/>
                <w:color w:val="auto"/>
              </w:rPr>
              <w:t>XBRL Taxonomy Extension Label Linkbase Document</w:t>
            </w:r>
          </w:p>
        </w:tc>
      </w:tr>
      <w:tr>
        <w:trPr>
          <w:trHeight w:val="184"/>
        </w:trPr>
        <w:tc>
          <w:tcPr>
            <w:tcW w:w="960" w:type="dxa"/>
            <w:vAlign w:val="bottom"/>
          </w:tcPr>
          <w:p>
            <w:pPr>
              <w:spacing w:after="0"/>
              <w:rPr>
                <w:sz w:val="20"/>
                <w:szCs w:val="20"/>
                <w:color w:val="auto"/>
              </w:rPr>
            </w:pPr>
            <w:r>
              <w:rPr>
                <w:rFonts w:ascii="Arial" w:cs="Arial" w:eastAsia="Arial" w:hAnsi="Arial"/>
                <w:sz w:val="14"/>
                <w:szCs w:val="14"/>
                <w:color w:val="auto"/>
              </w:rPr>
              <w:t>101.PRE</w:t>
            </w:r>
          </w:p>
        </w:tc>
        <w:tc>
          <w:tcPr>
            <w:tcW w:w="9700" w:type="dxa"/>
            <w:vAlign w:val="bottom"/>
            <w:gridSpan w:val="3"/>
          </w:tcPr>
          <w:p>
            <w:pPr>
              <w:spacing w:after="0"/>
              <w:rPr>
                <w:sz w:val="20"/>
                <w:szCs w:val="20"/>
                <w:color w:val="auto"/>
              </w:rPr>
            </w:pPr>
            <w:r>
              <w:rPr>
                <w:rFonts w:ascii="Arial" w:cs="Arial" w:eastAsia="Arial" w:hAnsi="Arial"/>
                <w:sz w:val="14"/>
                <w:szCs w:val="14"/>
                <w:color w:val="auto"/>
              </w:rPr>
              <w:t>XBRL Taxonomy Extension Presentation Linkbase Document</w:t>
            </w:r>
          </w:p>
        </w:tc>
      </w:tr>
    </w:tbl>
    <w:p>
      <w:pPr>
        <w:spacing w:after="0" w:line="9" w:lineRule="exact"/>
        <w:rPr>
          <w:sz w:val="20"/>
          <w:szCs w:val="20"/>
          <w:color w:val="auto"/>
        </w:rPr>
      </w:pPr>
    </w:p>
    <w:p>
      <w:pPr>
        <w:ind w:left="970" w:hanging="970"/>
        <w:spacing w:after="0"/>
        <w:tabs>
          <w:tab w:leader="none" w:pos="97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89" w:lineRule="exact"/>
        <w:rPr>
          <w:rFonts w:ascii="Arial" w:cs="Arial" w:eastAsia="Arial" w:hAnsi="Arial"/>
          <w:sz w:val="14"/>
          <w:szCs w:val="14"/>
          <w:color w:val="auto"/>
        </w:rPr>
      </w:pPr>
    </w:p>
    <w:p>
      <w:pPr>
        <w:ind w:left="270"/>
        <w:spacing w:after="0"/>
        <w:rPr>
          <w:rFonts w:ascii="Arial" w:cs="Arial" w:eastAsia="Arial" w:hAnsi="Arial"/>
          <w:sz w:val="14"/>
          <w:szCs w:val="14"/>
          <w:color w:val="auto"/>
        </w:rPr>
      </w:pPr>
      <w:r>
        <w:rPr>
          <w:rFonts w:ascii="Arial" w:cs="Arial" w:eastAsia="Arial" w:hAnsi="Arial"/>
          <w:sz w:val="15"/>
          <w:szCs w:val="15"/>
          <w:color w:val="auto"/>
        </w:rPr>
        <w:t>______________________________________</w:t>
      </w:r>
    </w:p>
    <w:p>
      <w:pPr>
        <w:spacing w:after="0" w:line="98" w:lineRule="exact"/>
        <w:rPr>
          <w:rFonts w:ascii="Arial" w:cs="Arial" w:eastAsia="Arial" w:hAnsi="Arial"/>
          <w:sz w:val="14"/>
          <w:szCs w:val="14"/>
          <w:color w:val="auto"/>
        </w:rPr>
      </w:pPr>
    </w:p>
    <w:p>
      <w:pPr>
        <w:ind w:left="270"/>
        <w:spacing w:after="0"/>
        <w:rPr>
          <w:rFonts w:ascii="Arial" w:cs="Arial" w:eastAsia="Arial" w:hAnsi="Arial"/>
          <w:sz w:val="14"/>
          <w:szCs w:val="14"/>
          <w:color w:val="auto"/>
        </w:rPr>
      </w:pPr>
      <w:r>
        <w:rPr>
          <w:rFonts w:ascii="Arial" w:cs="Arial" w:eastAsia="Arial" w:hAnsi="Arial"/>
          <w:sz w:val="12"/>
          <w:szCs w:val="12"/>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650"/>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118110</wp:posOffset>
            </wp:positionV>
            <wp:extent cx="717804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670"/>
          </w:cols>
          <w:pgMar w:left="390" w:top="129" w:right="839" w:bottom="1440" w:gutter="0" w:footer="0" w:header="0"/>
        </w:sectPr>
      </w:pPr>
    </w:p>
    <w:bookmarkStart w:id="39" w:name="page40"/>
    <w:bookmarkEnd w:id="39"/>
    <w:p>
      <w:pPr>
        <w:ind w:left="340"/>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314" w:lineRule="exact"/>
        <w:rPr>
          <w:sz w:val="20"/>
          <w:szCs w:val="20"/>
          <w:color w:val="auto"/>
        </w:rPr>
      </w:pPr>
    </w:p>
    <w:p>
      <w:pPr>
        <w:ind w:right="440" w:firstLine="345"/>
        <w:spacing w:after="0" w:line="278"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79"/>
        </w:trPr>
        <w:tc>
          <w:tcPr>
            <w:tcW w:w="3300" w:type="dxa"/>
            <w:vAlign w:val="bottom"/>
          </w:tcPr>
          <w:p>
            <w:pPr>
              <w:spacing w:after="0"/>
              <w:rPr>
                <w:sz w:val="15"/>
                <w:szCs w:val="15"/>
                <w:color w:val="auto"/>
              </w:rPr>
            </w:pPr>
          </w:p>
        </w:tc>
        <w:tc>
          <w:tcPr>
            <w:tcW w:w="7580" w:type="dxa"/>
            <w:vAlign w:val="bottom"/>
            <w:gridSpan w:val="2"/>
          </w:tcPr>
          <w:p>
            <w:pPr>
              <w:ind w:left="2140"/>
              <w:spacing w:after="0"/>
              <w:rPr>
                <w:sz w:val="20"/>
                <w:szCs w:val="20"/>
                <w:color w:val="auto"/>
              </w:rPr>
            </w:pPr>
            <w:r>
              <w:rPr>
                <w:rFonts w:ascii="Arial" w:cs="Arial" w:eastAsia="Arial" w:hAnsi="Arial"/>
                <w:sz w:val="14"/>
                <w:szCs w:val="14"/>
                <w:b w:val="1"/>
                <w:bCs w:val="1"/>
                <w:color w:val="auto"/>
              </w:rPr>
              <w:t>SHUTTERSTOCK, INC.</w:t>
            </w:r>
          </w:p>
        </w:tc>
      </w:tr>
      <w:tr>
        <w:trPr>
          <w:trHeight w:val="371"/>
        </w:trPr>
        <w:tc>
          <w:tcPr>
            <w:tcW w:w="3300" w:type="dxa"/>
            <w:vAlign w:val="bottom"/>
          </w:tcPr>
          <w:p>
            <w:pPr>
              <w:spacing w:after="0"/>
              <w:rPr>
                <w:sz w:val="20"/>
                <w:szCs w:val="20"/>
                <w:color w:val="auto"/>
              </w:rPr>
            </w:pPr>
            <w:r>
              <w:rPr>
                <w:rFonts w:ascii="Arial" w:cs="Arial" w:eastAsia="Arial" w:hAnsi="Arial"/>
                <w:sz w:val="14"/>
                <w:szCs w:val="14"/>
                <w:color w:val="auto"/>
              </w:rPr>
              <w:t>Dated: July 27, 2021</w:t>
            </w:r>
          </w:p>
        </w:tc>
        <w:tc>
          <w:tcPr>
            <w:tcW w:w="2440" w:type="dxa"/>
            <w:vAlign w:val="bottom"/>
          </w:tcPr>
          <w:p>
            <w:pPr>
              <w:ind w:left="214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/s/ Jarrod Yahes</w:t>
            </w:r>
          </w:p>
        </w:tc>
      </w:tr>
      <w:tr>
        <w:trPr>
          <w:trHeight w:val="172"/>
        </w:trPr>
        <w:tc>
          <w:tcPr>
            <w:tcW w:w="3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140" w:type="dxa"/>
            <w:vAlign w:val="bottom"/>
          </w:tcPr>
          <w:p>
            <w:pPr>
              <w:ind w:left="360"/>
              <w:spacing w:after="0"/>
              <w:rPr>
                <w:sz w:val="20"/>
                <w:szCs w:val="20"/>
                <w:color w:val="auto"/>
              </w:rPr>
            </w:pPr>
            <w:r>
              <w:rPr>
                <w:rFonts w:ascii="Arial" w:cs="Arial" w:eastAsia="Arial" w:hAnsi="Arial"/>
                <w:sz w:val="14"/>
                <w:szCs w:val="14"/>
                <w:color w:val="auto"/>
              </w:rPr>
              <w:t>Jarrod Yahes</w:t>
            </w:r>
          </w:p>
        </w:tc>
      </w:tr>
      <w:tr>
        <w:trPr>
          <w:trHeight w:val="184"/>
        </w:trPr>
        <w:tc>
          <w:tcPr>
            <w:tcW w:w="33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140" w:type="dxa"/>
            <w:vAlign w:val="bottom"/>
          </w:tcPr>
          <w:p>
            <w:pPr>
              <w:ind w:left="360"/>
              <w:spacing w:after="0"/>
              <w:rPr>
                <w:sz w:val="20"/>
                <w:szCs w:val="20"/>
                <w:color w:val="auto"/>
              </w:rPr>
            </w:pPr>
            <w:r>
              <w:rPr>
                <w:rFonts w:ascii="Arial" w:cs="Arial" w:eastAsia="Arial" w:hAnsi="Arial"/>
                <w:sz w:val="14"/>
                <w:szCs w:val="14"/>
                <w:i w:val="1"/>
                <w:iCs w:val="1"/>
                <w:color w:val="auto"/>
              </w:rPr>
              <w:t>Chief Financial Officer</w:t>
            </w:r>
          </w:p>
        </w:tc>
      </w:tr>
      <w:tr>
        <w:trPr>
          <w:trHeight w:val="184"/>
        </w:trPr>
        <w:tc>
          <w:tcPr>
            <w:tcW w:w="33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140" w:type="dxa"/>
            <w:vAlign w:val="bottom"/>
          </w:tcPr>
          <w:p>
            <w:pPr>
              <w:ind w:left="360"/>
              <w:spacing w:after="0"/>
              <w:rPr>
                <w:sz w:val="20"/>
                <w:szCs w:val="20"/>
                <w:color w:val="auto"/>
              </w:rPr>
            </w:pPr>
            <w:r>
              <w:rPr>
                <w:rFonts w:ascii="Arial" w:cs="Arial" w:eastAsia="Arial" w:hAnsi="Arial"/>
                <w:sz w:val="14"/>
                <w:szCs w:val="14"/>
                <w:i w:val="1"/>
                <w:iCs w:val="1"/>
                <w:color w:val="auto"/>
              </w:rPr>
              <w:t>(Principal Financial Officer)</w:t>
            </w:r>
          </w:p>
        </w:tc>
      </w:tr>
      <w:tr>
        <w:trPr>
          <w:trHeight w:val="371"/>
        </w:trPr>
        <w:tc>
          <w:tcPr>
            <w:tcW w:w="3300" w:type="dxa"/>
            <w:vAlign w:val="bottom"/>
          </w:tcPr>
          <w:p>
            <w:pPr>
              <w:spacing w:after="0"/>
              <w:rPr>
                <w:sz w:val="20"/>
                <w:szCs w:val="20"/>
                <w:color w:val="auto"/>
              </w:rPr>
            </w:pPr>
            <w:r>
              <w:rPr>
                <w:rFonts w:ascii="Arial" w:cs="Arial" w:eastAsia="Arial" w:hAnsi="Arial"/>
                <w:sz w:val="14"/>
                <w:szCs w:val="14"/>
                <w:color w:val="auto"/>
              </w:rPr>
              <w:t>Dated: July 27, 2021</w:t>
            </w:r>
          </w:p>
        </w:tc>
        <w:tc>
          <w:tcPr>
            <w:tcW w:w="2440" w:type="dxa"/>
            <w:vAlign w:val="bottom"/>
          </w:tcPr>
          <w:p>
            <w:pPr>
              <w:ind w:left="214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/s/ Steven Ciardiello</w:t>
            </w:r>
          </w:p>
        </w:tc>
      </w:tr>
      <w:tr>
        <w:trPr>
          <w:trHeight w:val="172"/>
        </w:trPr>
        <w:tc>
          <w:tcPr>
            <w:tcW w:w="3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140" w:type="dxa"/>
            <w:vAlign w:val="bottom"/>
          </w:tcPr>
          <w:p>
            <w:pPr>
              <w:ind w:left="360"/>
              <w:spacing w:after="0"/>
              <w:rPr>
                <w:sz w:val="20"/>
                <w:szCs w:val="20"/>
                <w:color w:val="auto"/>
              </w:rPr>
            </w:pPr>
            <w:r>
              <w:rPr>
                <w:rFonts w:ascii="Arial" w:cs="Arial" w:eastAsia="Arial" w:hAnsi="Arial"/>
                <w:sz w:val="14"/>
                <w:szCs w:val="14"/>
                <w:color w:val="auto"/>
              </w:rPr>
              <w:t>Steven Ciardiello</w:t>
            </w:r>
          </w:p>
        </w:tc>
      </w:tr>
      <w:tr>
        <w:trPr>
          <w:trHeight w:val="184"/>
        </w:trPr>
        <w:tc>
          <w:tcPr>
            <w:tcW w:w="33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140" w:type="dxa"/>
            <w:vAlign w:val="bottom"/>
          </w:tcPr>
          <w:p>
            <w:pPr>
              <w:ind w:left="360"/>
              <w:spacing w:after="0"/>
              <w:rPr>
                <w:sz w:val="20"/>
                <w:szCs w:val="20"/>
                <w:color w:val="auto"/>
              </w:rPr>
            </w:pPr>
            <w:r>
              <w:rPr>
                <w:rFonts w:ascii="Arial" w:cs="Arial" w:eastAsia="Arial" w:hAnsi="Arial"/>
                <w:sz w:val="14"/>
                <w:szCs w:val="14"/>
                <w:i w:val="1"/>
                <w:iCs w:val="1"/>
                <w:color w:val="auto"/>
              </w:rPr>
              <w:t>Chief Accounting Officer</w:t>
            </w:r>
          </w:p>
        </w:tc>
      </w:tr>
      <w:tr>
        <w:trPr>
          <w:trHeight w:val="184"/>
        </w:trPr>
        <w:tc>
          <w:tcPr>
            <w:tcW w:w="33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140" w:type="dxa"/>
            <w:vAlign w:val="bottom"/>
          </w:tcPr>
          <w:p>
            <w:pPr>
              <w:ind w:left="360"/>
              <w:spacing w:after="0"/>
              <w:rPr>
                <w:sz w:val="20"/>
                <w:szCs w:val="20"/>
                <w:color w:val="auto"/>
              </w:rPr>
            </w:pPr>
            <w:r>
              <w:rPr>
                <w:rFonts w:ascii="Arial" w:cs="Arial" w:eastAsia="Arial" w:hAnsi="Arial"/>
                <w:sz w:val="14"/>
                <w:szCs w:val="14"/>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1240"/>
          </w:cols>
          <w:pgMar w:left="320" w:top="129"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4"/>
          <w:szCs w:val="14"/>
          <w:b w:val="1"/>
          <w:bCs w:val="1"/>
          <w:color w:val="auto"/>
        </w:rPr>
        <w:t>EXHIBIT 31.1</w:t>
      </w:r>
    </w:p>
    <w:p>
      <w:pPr>
        <w:spacing w:after="0" w:line="161" w:lineRule="exact"/>
        <w:rPr>
          <w:sz w:val="20"/>
          <w:szCs w:val="20"/>
          <w:color w:val="auto"/>
        </w:rPr>
      </w:pPr>
    </w:p>
    <w:p>
      <w:pPr>
        <w:jc w:val="center"/>
        <w:ind w:right="20"/>
        <w:spacing w:after="0" w:line="253" w:lineRule="auto"/>
        <w:rPr>
          <w:sz w:val="20"/>
          <w:szCs w:val="20"/>
          <w:color w:val="auto"/>
        </w:rPr>
      </w:pPr>
      <w:r>
        <w:rPr>
          <w:rFonts w:ascii="Arial" w:cs="Arial" w:eastAsia="Arial" w:hAnsi="Arial"/>
          <w:sz w:val="14"/>
          <w:szCs w:val="14"/>
          <w:b w:val="1"/>
          <w:bCs w:val="1"/>
          <w:color w:val="auto"/>
        </w:rPr>
        <w:t>CERTIFICATION PURSUANT TO RULE 13a-14(a) OR 15d-14(a) OF THE SECURITIES EXCHANGE ACT OF 1934,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I, Stan Pavlovsky, certify that:</w:t>
      </w:r>
    </w:p>
    <w:p>
      <w:pPr>
        <w:spacing w:after="0" w:line="161" w:lineRule="exact"/>
        <w:rPr>
          <w:sz w:val="20"/>
          <w:szCs w:val="20"/>
          <w:color w:val="auto"/>
        </w:rPr>
      </w:pPr>
    </w:p>
    <w:p>
      <w:pPr>
        <w:ind w:left="720" w:hanging="452"/>
        <w:spacing w:after="0"/>
        <w:tabs>
          <w:tab w:leader="none" w:pos="7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Shutterstock, Inc.;</w:t>
      </w:r>
    </w:p>
    <w:p>
      <w:pPr>
        <w:spacing w:after="0" w:line="160" w:lineRule="exact"/>
        <w:rPr>
          <w:rFonts w:ascii="Arial" w:cs="Arial" w:eastAsia="Arial" w:hAnsi="Arial"/>
          <w:sz w:val="14"/>
          <w:szCs w:val="14"/>
          <w:color w:val="auto"/>
        </w:rPr>
      </w:pPr>
    </w:p>
    <w:p>
      <w:pPr>
        <w:ind w:left="260" w:right="760" w:firstLine="8"/>
        <w:spacing w:after="0" w:line="260" w:lineRule="auto"/>
        <w:tabs>
          <w:tab w:leader="none" w:pos="708"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left="260" w:right="240" w:firstLine="8"/>
        <w:spacing w:after="0" w:line="260" w:lineRule="auto"/>
        <w:tabs>
          <w:tab w:leader="none" w:pos="708"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260" w:right="80" w:firstLine="8"/>
        <w:spacing w:after="0" w:line="260" w:lineRule="auto"/>
        <w:tabs>
          <w:tab w:leader="none" w:pos="70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4"/>
          <w:szCs w:val="14"/>
          <w:color w:val="auto"/>
        </w:rPr>
      </w:pPr>
    </w:p>
    <w:p>
      <w:pPr>
        <w:ind w:left="540" w:right="40" w:firstLine="4"/>
        <w:spacing w:after="0" w:line="299" w:lineRule="auto"/>
        <w:tabs>
          <w:tab w:leader="none" w:pos="981" w:val="left"/>
        </w:tabs>
        <w:numPr>
          <w:ilvl w:val="1"/>
          <w:numId w:val="1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3"/>
          <w:szCs w:val="13"/>
          <w:color w:val="auto"/>
        </w:rPr>
      </w:pPr>
    </w:p>
    <w:p>
      <w:pPr>
        <w:ind w:left="540" w:right="240" w:firstLine="4"/>
        <w:spacing w:after="0" w:line="299" w:lineRule="auto"/>
        <w:tabs>
          <w:tab w:leader="none" w:pos="988" w:val="left"/>
        </w:tabs>
        <w:numPr>
          <w:ilvl w:val="1"/>
          <w:numId w:val="1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3"/>
          <w:szCs w:val="13"/>
          <w:color w:val="auto"/>
        </w:rPr>
      </w:pPr>
    </w:p>
    <w:p>
      <w:pPr>
        <w:ind w:left="540" w:right="420" w:firstLine="4"/>
        <w:spacing w:after="0" w:line="260" w:lineRule="auto"/>
        <w:tabs>
          <w:tab w:leader="none" w:pos="981" w:val="left"/>
        </w:tabs>
        <w:numPr>
          <w:ilvl w:val="1"/>
          <w:numId w:val="1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4"/>
          <w:szCs w:val="14"/>
          <w:color w:val="auto"/>
        </w:rPr>
      </w:pPr>
    </w:p>
    <w:p>
      <w:pPr>
        <w:ind w:left="540" w:right="80" w:firstLine="4"/>
        <w:spacing w:after="0" w:line="299" w:lineRule="auto"/>
        <w:tabs>
          <w:tab w:leader="none" w:pos="988" w:val="left"/>
        </w:tabs>
        <w:numPr>
          <w:ilvl w:val="1"/>
          <w:numId w:val="1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3"/>
          <w:szCs w:val="13"/>
          <w:color w:val="auto"/>
        </w:rPr>
      </w:pPr>
    </w:p>
    <w:p>
      <w:pPr>
        <w:ind w:left="260" w:right="560" w:firstLine="8"/>
        <w:spacing w:after="0" w:line="260" w:lineRule="auto"/>
        <w:tabs>
          <w:tab w:leader="none" w:pos="70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left="540" w:right="140" w:firstLine="4"/>
        <w:spacing w:after="0" w:line="260" w:lineRule="auto"/>
        <w:tabs>
          <w:tab w:leader="none" w:pos="973" w:val="left"/>
        </w:tabs>
        <w:numPr>
          <w:ilvl w:val="1"/>
          <w:numId w:val="1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4"/>
          <w:szCs w:val="14"/>
          <w:color w:val="auto"/>
        </w:rPr>
      </w:pPr>
    </w:p>
    <w:p>
      <w:pPr>
        <w:ind w:left="980" w:hanging="436"/>
        <w:spacing w:after="0"/>
        <w:tabs>
          <w:tab w:leader="none" w:pos="980" w:val="left"/>
        </w:tabs>
        <w:numPr>
          <w:ilvl w:val="1"/>
          <w:numId w:val="1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ind w:left="20"/>
        <w:spacing w:after="0"/>
        <w:tabs>
          <w:tab w:leader="none" w:pos="5660" w:val="left"/>
          <w:tab w:leader="none" w:pos="6100" w:val="left"/>
        </w:tabs>
        <w:rPr>
          <w:sz w:val="20"/>
          <w:szCs w:val="20"/>
          <w:color w:val="auto"/>
        </w:rPr>
      </w:pPr>
      <w:r>
        <w:rPr>
          <w:rFonts w:ascii="Arial" w:cs="Arial" w:eastAsia="Arial" w:hAnsi="Arial"/>
          <w:sz w:val="14"/>
          <w:szCs w:val="14"/>
          <w:color w:val="auto"/>
        </w:rPr>
        <w:t>Date: July 27,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1"/>
          <w:szCs w:val="11"/>
          <w:color w:val="auto"/>
        </w:rPr>
        <w:t>/s/ Stan Pavlovsky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12700</wp:posOffset>
            </wp:positionV>
            <wp:extent cx="326961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69615" cy="698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Stan Pavlovsky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Chief Executive Officer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4"/>
          <w:szCs w:val="14"/>
          <w:i w:val="1"/>
          <w:iCs w:val="1"/>
          <w:color w:val="auto"/>
        </w:rPr>
        <w:t>(Principal Executive Officer)</w:t>
      </w:r>
    </w:p>
    <w:p>
      <w:pPr>
        <w:sectPr>
          <w:pgSz w:w="11900" w:h="16838" w:orient="portrait"/>
          <w:cols w:equalWidth="0" w:num="1">
            <w:col w:w="11260"/>
          </w:cols>
          <w:pgMar w:left="320" w:top="782" w:right="319" w:bottom="1440" w:gutter="0" w:footer="0" w:header="0"/>
        </w:sectPr>
      </w:pPr>
    </w:p>
    <w:bookmarkStart w:id="41" w:name="page42"/>
    <w:bookmarkEnd w:id="41"/>
    <w:p>
      <w:pPr>
        <w:jc w:val="right"/>
        <w:spacing w:after="0"/>
        <w:rPr>
          <w:sz w:val="20"/>
          <w:szCs w:val="20"/>
          <w:color w:val="auto"/>
        </w:rPr>
      </w:pPr>
      <w:r>
        <w:rPr>
          <w:rFonts w:ascii="Arial" w:cs="Arial" w:eastAsia="Arial" w:hAnsi="Arial"/>
          <w:sz w:val="14"/>
          <w:szCs w:val="14"/>
          <w:b w:val="1"/>
          <w:bCs w:val="1"/>
          <w:color w:val="auto"/>
        </w:rPr>
        <w:t>EXHIBIT 31.2</w:t>
      </w:r>
    </w:p>
    <w:p>
      <w:pPr>
        <w:spacing w:after="0" w:line="161" w:lineRule="exact"/>
        <w:rPr>
          <w:sz w:val="20"/>
          <w:szCs w:val="20"/>
          <w:color w:val="auto"/>
        </w:rPr>
      </w:pPr>
    </w:p>
    <w:p>
      <w:pPr>
        <w:jc w:val="center"/>
        <w:ind w:right="20"/>
        <w:spacing w:after="0" w:line="253" w:lineRule="auto"/>
        <w:rPr>
          <w:sz w:val="20"/>
          <w:szCs w:val="20"/>
          <w:color w:val="auto"/>
        </w:rPr>
      </w:pPr>
      <w:r>
        <w:rPr>
          <w:rFonts w:ascii="Arial" w:cs="Arial" w:eastAsia="Arial" w:hAnsi="Arial"/>
          <w:sz w:val="14"/>
          <w:szCs w:val="14"/>
          <w:b w:val="1"/>
          <w:bCs w:val="1"/>
          <w:color w:val="auto"/>
        </w:rPr>
        <w:t>CERTIFICATION PURSUANT TO RULE 13a-14(a) OR 15d-14(a) OF THE SECURITIES EXCHANGE ACT OF 1934,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I, Jarrod Yahes, certify that:</w:t>
      </w:r>
    </w:p>
    <w:p>
      <w:pPr>
        <w:spacing w:after="0" w:line="161" w:lineRule="exact"/>
        <w:rPr>
          <w:sz w:val="20"/>
          <w:szCs w:val="20"/>
          <w:color w:val="auto"/>
        </w:rPr>
      </w:pPr>
    </w:p>
    <w:p>
      <w:pPr>
        <w:ind w:left="720" w:hanging="452"/>
        <w:spacing w:after="0"/>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Shutterstock, Inc.;</w:t>
      </w:r>
    </w:p>
    <w:p>
      <w:pPr>
        <w:spacing w:after="0" w:line="160" w:lineRule="exact"/>
        <w:rPr>
          <w:rFonts w:ascii="Arial" w:cs="Arial" w:eastAsia="Arial" w:hAnsi="Arial"/>
          <w:sz w:val="14"/>
          <w:szCs w:val="14"/>
          <w:color w:val="auto"/>
        </w:rPr>
      </w:pPr>
    </w:p>
    <w:p>
      <w:pPr>
        <w:ind w:left="260" w:right="760" w:firstLine="8"/>
        <w:spacing w:after="0" w:line="260" w:lineRule="auto"/>
        <w:tabs>
          <w:tab w:leader="none" w:pos="708"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left="260" w:right="240" w:firstLine="8"/>
        <w:spacing w:after="0" w:line="260" w:lineRule="auto"/>
        <w:tabs>
          <w:tab w:leader="none" w:pos="708"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260" w:right="80" w:firstLine="8"/>
        <w:spacing w:after="0" w:line="260" w:lineRule="auto"/>
        <w:tabs>
          <w:tab w:leader="none" w:pos="70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4"/>
          <w:szCs w:val="14"/>
          <w:color w:val="auto"/>
        </w:rPr>
      </w:pPr>
    </w:p>
    <w:p>
      <w:pPr>
        <w:ind w:left="540" w:right="40" w:firstLine="4"/>
        <w:spacing w:after="0" w:line="299" w:lineRule="auto"/>
        <w:tabs>
          <w:tab w:leader="none" w:pos="981" w:val="left"/>
        </w:tabs>
        <w:numPr>
          <w:ilvl w:val="1"/>
          <w:numId w:val="1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3"/>
          <w:szCs w:val="13"/>
          <w:color w:val="auto"/>
        </w:rPr>
      </w:pPr>
    </w:p>
    <w:p>
      <w:pPr>
        <w:ind w:left="540" w:right="240" w:firstLine="4"/>
        <w:spacing w:after="0" w:line="299" w:lineRule="auto"/>
        <w:tabs>
          <w:tab w:leader="none" w:pos="988" w:val="left"/>
        </w:tabs>
        <w:numPr>
          <w:ilvl w:val="1"/>
          <w:numId w:val="1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3"/>
          <w:szCs w:val="13"/>
          <w:color w:val="auto"/>
        </w:rPr>
      </w:pPr>
    </w:p>
    <w:p>
      <w:pPr>
        <w:ind w:left="540" w:right="420" w:firstLine="4"/>
        <w:spacing w:after="0" w:line="260" w:lineRule="auto"/>
        <w:tabs>
          <w:tab w:leader="none" w:pos="981" w:val="left"/>
        </w:tabs>
        <w:numPr>
          <w:ilvl w:val="1"/>
          <w:numId w:val="1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4"/>
          <w:szCs w:val="14"/>
          <w:color w:val="auto"/>
        </w:rPr>
      </w:pPr>
    </w:p>
    <w:p>
      <w:pPr>
        <w:ind w:left="540" w:right="80" w:firstLine="4"/>
        <w:spacing w:after="0" w:line="299" w:lineRule="auto"/>
        <w:tabs>
          <w:tab w:leader="none" w:pos="988" w:val="left"/>
        </w:tabs>
        <w:numPr>
          <w:ilvl w:val="1"/>
          <w:numId w:val="1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3"/>
          <w:szCs w:val="13"/>
          <w:color w:val="auto"/>
        </w:rPr>
      </w:pPr>
    </w:p>
    <w:p>
      <w:pPr>
        <w:ind w:left="260" w:right="560" w:firstLine="8"/>
        <w:spacing w:after="0" w:line="260" w:lineRule="auto"/>
        <w:tabs>
          <w:tab w:leader="none" w:pos="70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left="540" w:right="140" w:firstLine="4"/>
        <w:spacing w:after="0" w:line="260" w:lineRule="auto"/>
        <w:tabs>
          <w:tab w:leader="none" w:pos="973" w:val="left"/>
        </w:tabs>
        <w:numPr>
          <w:ilvl w:val="1"/>
          <w:numId w:val="1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4"/>
          <w:szCs w:val="14"/>
          <w:color w:val="auto"/>
        </w:rPr>
      </w:pPr>
    </w:p>
    <w:p>
      <w:pPr>
        <w:ind w:left="980" w:hanging="436"/>
        <w:spacing w:after="0"/>
        <w:tabs>
          <w:tab w:leader="none" w:pos="980" w:val="left"/>
        </w:tabs>
        <w:numPr>
          <w:ilvl w:val="1"/>
          <w:numId w:val="1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ind w:left="20"/>
        <w:spacing w:after="0"/>
        <w:tabs>
          <w:tab w:leader="none" w:pos="5780" w:val="left"/>
          <w:tab w:leader="none" w:pos="6220" w:val="left"/>
        </w:tabs>
        <w:rPr>
          <w:sz w:val="20"/>
          <w:szCs w:val="20"/>
          <w:color w:val="auto"/>
        </w:rPr>
      </w:pPr>
      <w:r>
        <w:rPr>
          <w:rFonts w:ascii="Arial" w:cs="Arial" w:eastAsia="Arial" w:hAnsi="Arial"/>
          <w:sz w:val="14"/>
          <w:szCs w:val="14"/>
          <w:color w:val="auto"/>
        </w:rPr>
        <w:t>Date: July 27,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1"/>
          <w:szCs w:val="11"/>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12700</wp:posOffset>
            </wp:positionV>
            <wp:extent cx="318960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89605" cy="6985"/>
                    </a:xfrm>
                    <a:prstGeom prst="rect">
                      <a:avLst/>
                    </a:prstGeom>
                    <a:noFill/>
                  </pic:spPr>
                </pic:pic>
              </a:graphicData>
            </a:graphic>
          </wp:anchor>
        </w:drawing>
      </w:r>
    </w:p>
    <w:p>
      <w:pPr>
        <w:spacing w:after="0" w:line="14" w:lineRule="exact"/>
        <w:rPr>
          <w:sz w:val="20"/>
          <w:szCs w:val="20"/>
          <w:color w:val="auto"/>
        </w:rPr>
      </w:pPr>
    </w:p>
    <w:p>
      <w:pPr>
        <w:ind w:left="6240"/>
        <w:spacing w:after="0"/>
        <w:rPr>
          <w:sz w:val="20"/>
          <w:szCs w:val="20"/>
          <w:color w:val="auto"/>
        </w:rPr>
      </w:pPr>
      <w:r>
        <w:rPr>
          <w:rFonts w:ascii="Arial" w:cs="Arial" w:eastAsia="Arial" w:hAnsi="Arial"/>
          <w:sz w:val="14"/>
          <w:szCs w:val="14"/>
          <w:color w:val="auto"/>
        </w:rPr>
        <w:t>Jarrod Yahes</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4"/>
          <w:szCs w:val="14"/>
          <w:color w:val="auto"/>
        </w:rPr>
        <w:t>Chief Financial Officer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4"/>
          <w:szCs w:val="14"/>
          <w:i w:val="1"/>
          <w:iCs w:val="1"/>
          <w:color w:val="auto"/>
        </w:rPr>
        <w:t>(Principal Financial Officer)</w:t>
      </w:r>
    </w:p>
    <w:p>
      <w:pPr>
        <w:sectPr>
          <w:pgSz w:w="11900" w:h="16838" w:orient="portrait"/>
          <w:cols w:equalWidth="0" w:num="1">
            <w:col w:w="11260"/>
          </w:cols>
          <w:pgMar w:left="320" w:top="782" w:right="319" w:bottom="1440" w:gutter="0" w:footer="0" w:header="0"/>
        </w:sectPr>
      </w:pPr>
    </w:p>
    <w:bookmarkStart w:id="42" w:name="page43"/>
    <w:bookmarkEnd w:id="42"/>
    <w:p>
      <w:pPr>
        <w:jc w:val="right"/>
        <w:spacing w:after="0"/>
        <w:rPr>
          <w:sz w:val="20"/>
          <w:szCs w:val="20"/>
          <w:color w:val="auto"/>
        </w:rPr>
      </w:pPr>
      <w:r>
        <w:rPr>
          <w:rFonts w:ascii="Arial" w:cs="Arial" w:eastAsia="Arial" w:hAnsi="Arial"/>
          <w:sz w:val="14"/>
          <w:szCs w:val="14"/>
          <w:b w:val="1"/>
          <w:bCs w:val="1"/>
          <w:color w:val="auto"/>
        </w:rPr>
        <w:t>EXHIBIT 32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18 U.S.C. SECTION 1350,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49"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In connection with the Quarterly Report on Form 10-Q of Shutterstock, Inc., for the quarterly period ended June 30, 2021 as filed with the Securities and Exchange Commission on the date hereof (the “Report”), I, Stan Pavlovsky,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79" w:lineRule="exact"/>
        <w:rPr>
          <w:sz w:val="20"/>
          <w:szCs w:val="20"/>
          <w:color w:val="auto"/>
        </w:rPr>
      </w:pPr>
    </w:p>
    <w:p>
      <w:pPr>
        <w:ind w:left="20"/>
        <w:spacing w:after="0"/>
        <w:tabs>
          <w:tab w:leader="none" w:pos="5660" w:val="left"/>
          <w:tab w:leader="none" w:pos="6100" w:val="left"/>
        </w:tabs>
        <w:rPr>
          <w:sz w:val="20"/>
          <w:szCs w:val="20"/>
          <w:color w:val="auto"/>
        </w:rPr>
      </w:pPr>
      <w:r>
        <w:rPr>
          <w:rFonts w:ascii="Arial" w:cs="Arial" w:eastAsia="Arial" w:hAnsi="Arial"/>
          <w:sz w:val="14"/>
          <w:szCs w:val="14"/>
          <w:color w:val="auto"/>
        </w:rPr>
        <w:t>Date: July 27,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1"/>
          <w:szCs w:val="11"/>
          <w:color w:val="auto"/>
        </w:rPr>
        <w:t>/s/ Stan Pavlovsky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12700</wp:posOffset>
            </wp:positionV>
            <wp:extent cx="326961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69615" cy="698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Stan Pavlovsky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Chief Executive Officer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4"/>
          <w:szCs w:val="14"/>
          <w:i w:val="1"/>
          <w:iCs w:val="1"/>
          <w:color w:val="auto"/>
        </w:rPr>
        <w:t>(Principal Executive Officer)</w:t>
      </w:r>
    </w:p>
    <w:p>
      <w:pPr>
        <w:spacing w:after="0" w:line="253"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In connection with the Quarterly Report on Form 10-Q of Shutterstock, Inc., for the quarterly period ended June 30, 2021 as filed with the Securities and Exchange Commission on the date hereof (the “Report”), I, Jarrod Yahes,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79" w:lineRule="exact"/>
        <w:rPr>
          <w:sz w:val="20"/>
          <w:szCs w:val="20"/>
          <w:color w:val="auto"/>
        </w:rPr>
      </w:pPr>
    </w:p>
    <w:p>
      <w:pPr>
        <w:ind w:left="20"/>
        <w:spacing w:after="0"/>
        <w:tabs>
          <w:tab w:leader="none" w:pos="5660" w:val="left"/>
          <w:tab w:leader="none" w:pos="6100" w:val="left"/>
        </w:tabs>
        <w:rPr>
          <w:sz w:val="20"/>
          <w:szCs w:val="20"/>
          <w:color w:val="auto"/>
        </w:rPr>
      </w:pPr>
      <w:r>
        <w:rPr>
          <w:rFonts w:ascii="Arial" w:cs="Arial" w:eastAsia="Arial" w:hAnsi="Arial"/>
          <w:sz w:val="14"/>
          <w:szCs w:val="14"/>
          <w:color w:val="auto"/>
        </w:rPr>
        <w:t>Date: July 27,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1"/>
          <w:szCs w:val="11"/>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12700</wp:posOffset>
            </wp:positionV>
            <wp:extent cx="326961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69615" cy="698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Jarrod Yahes</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Chief Financial Officer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4"/>
          <w:szCs w:val="14"/>
          <w:i w:val="1"/>
          <w:iCs w:val="1"/>
          <w:color w:val="auto"/>
        </w:rPr>
        <w:t>(Principal Financial Officer)</w:t>
      </w:r>
    </w:p>
    <w:sectPr>
      <w:pgSz w:w="11900" w:h="16838" w:orient="portrait"/>
      <w:cols w:equalWidth="0" w:num="1">
        <w:col w:w="11260"/>
      </w:cols>
      <w:pgMar w:left="320" w:top="78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Roman"/>
      <w:start w:val="2"/>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04"/>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2021-07-27T06:10:44Z</dcterms:created>
  <dcterms:modified xsi:type="dcterms:W3CDTF">2021-07-27T06:10:44Z</dcterms:modified>
</cp:coreProperties>
</file>