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481965</wp:posOffset>
            </wp:positionV>
            <wp:extent cx="69469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90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440055</wp:posOffset>
            </wp:positionV>
            <wp:extent cx="694690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3"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6"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w:t>
      </w: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12"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w:t>
      </w: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9" w:lineRule="exact"/>
        <w:rPr>
          <w:sz w:val="24"/>
          <w:szCs w:val="24"/>
          <w:color w:val="auto"/>
        </w:rPr>
      </w:pPr>
    </w:p>
    <w:p>
      <w:pPr>
        <w:ind w:left="1920" w:hanging="263"/>
        <w:spacing w:after="0"/>
        <w:tabs>
          <w:tab w:leader="none" w:pos="192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46" w:lineRule="exact"/>
        <w:rPr>
          <w:rFonts w:ascii="MS PGothic" w:cs="MS PGothic" w:eastAsia="MS PGothic" w:hAnsi="MS PGothic"/>
          <w:sz w:val="15"/>
          <w:szCs w:val="15"/>
          <w:color w:val="auto"/>
        </w:rPr>
      </w:pPr>
    </w:p>
    <w:p>
      <w:pPr>
        <w:ind w:left="4060"/>
        <w:spacing w:after="0"/>
        <w:rPr>
          <w:rFonts w:ascii="MS PGothic" w:cs="MS PGothic" w:eastAsia="MS PGothic" w:hAnsi="MS PGothic"/>
          <w:sz w:val="15"/>
          <w:szCs w:val="15"/>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5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1" w:lineRule="exact"/>
        <w:rPr>
          <w:sz w:val="24"/>
          <w:szCs w:val="24"/>
          <w:color w:val="auto"/>
        </w:rPr>
      </w:pPr>
    </w:p>
    <w:p>
      <w:pPr>
        <w:ind w:left="2060" w:hanging="507"/>
        <w:spacing w:after="0"/>
        <w:tabs>
          <w:tab w:leader="none" w:pos="206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73" w:lineRule="exact"/>
        <w:rPr>
          <w:sz w:val="24"/>
          <w:szCs w:val="24"/>
          <w:color w:val="auto"/>
        </w:rPr>
      </w:pPr>
    </w:p>
    <w:p>
      <w:pPr>
        <w:ind w:left="4200"/>
        <w:spacing w:after="0"/>
        <w:tabs>
          <w:tab w:leader="none" w:pos="68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5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b w:val="1"/>
          <w:bCs w:val="1"/>
          <w:color w:val="auto"/>
        </w:rPr>
        <w:t>Commission File Number: 001-35669</w:t>
      </w:r>
    </w:p>
    <w:p>
      <w:pPr>
        <w:spacing w:after="0" w:line="54"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w:t>
      </w:r>
    </w:p>
    <w:p>
      <w:pPr>
        <w:spacing w:after="0" w:line="62"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8"/>
          <w:szCs w:val="28"/>
          <w:b w:val="1"/>
          <w:bCs w:val="1"/>
          <w:color w:val="auto"/>
        </w:rPr>
        <w:t>SHUTTERSTOCK, INC.</w:t>
      </w:r>
    </w:p>
    <w:p>
      <w:pPr>
        <w:spacing w:after="0" w:line="4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1"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w:t>
      </w:r>
    </w:p>
    <w:p>
      <w:pPr>
        <w:sectPr>
          <w:pgSz w:w="11900" w:h="16838" w:orient="portrait"/>
          <w:cols w:equalWidth="0" w:num="1">
            <w:col w:w="11340"/>
          </w:cols>
          <w:pgMar w:left="320" w:top="226" w:right="239" w:bottom="1440" w:gutter="0" w:footer="0" w:header="0"/>
        </w:sectPr>
      </w:pPr>
    </w:p>
    <w:p>
      <w:pPr>
        <w:spacing w:after="0" w:line="41"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80-0812659</w:t>
      </w:r>
    </w:p>
    <w:p>
      <w:pPr>
        <w:spacing w:after="0" w:line="58" w:lineRule="exact"/>
        <w:rPr>
          <w:sz w:val="24"/>
          <w:szCs w:val="24"/>
          <w:color w:val="auto"/>
        </w:rPr>
      </w:pPr>
    </w:p>
    <w:p>
      <w:pPr>
        <w:sectPr>
          <w:pgSz w:w="11900" w:h="16838" w:orient="portrait"/>
          <w:cols w:equalWidth="0" w:num="2">
            <w:col w:w="7620" w:space="720"/>
            <w:col w:w="3000"/>
          </w:cols>
          <w:pgMar w:left="320" w:top="226" w:right="239" w:bottom="1440" w:gutter="0" w:footer="0" w:header="0"/>
          <w:type w:val="continuous"/>
        </w:sectPr>
      </w:pPr>
    </w:p>
    <w:p>
      <w:pPr>
        <w:ind w:left="1240"/>
        <w:spacing w:after="0"/>
        <w:rPr>
          <w:sz w:val="20"/>
          <w:szCs w:val="20"/>
          <w:color w:val="auto"/>
        </w:rPr>
      </w:pPr>
      <w:r>
        <w:rPr>
          <w:rFonts w:ascii="Times New Roman" w:cs="Times New Roman" w:eastAsia="Times New Roman" w:hAnsi="Times New Roman"/>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61" w:lineRule="exact"/>
        <w:rPr>
          <w:sz w:val="24"/>
          <w:szCs w:val="24"/>
          <w:color w:val="auto"/>
        </w:rPr>
      </w:pPr>
    </w:p>
    <w:p>
      <w:pPr>
        <w:sectPr>
          <w:pgSz w:w="11900" w:h="16838" w:orient="portrait"/>
          <w:cols w:equalWidth="0" w:num="2">
            <w:col w:w="6980" w:space="720"/>
            <w:col w:w="3640"/>
          </w:cols>
          <w:pgMar w:left="320" w:top="226" w:right="239" w:bottom="1440" w:gutter="0" w:footer="0" w:header="0"/>
          <w:type w:val="continuous"/>
        </w:sectPr>
      </w:pPr>
    </w:p>
    <w:p>
      <w:pPr>
        <w:ind w:left="4860"/>
        <w:spacing w:after="0"/>
        <w:rPr>
          <w:sz w:val="20"/>
          <w:szCs w:val="20"/>
          <w:color w:val="auto"/>
        </w:rPr>
      </w:pPr>
      <w:r>
        <w:rPr>
          <w:rFonts w:ascii="Times New Roman" w:cs="Times New Roman" w:eastAsia="Times New Roman" w:hAnsi="Times New Roman"/>
          <w:sz w:val="16"/>
          <w:szCs w:val="16"/>
          <w:b w:val="1"/>
          <w:bCs w:val="1"/>
          <w:color w:val="auto"/>
        </w:rPr>
        <w:t>350 Fifth Avenue, 20th Floor</w:t>
      </w:r>
    </w:p>
    <w:p>
      <w:pPr>
        <w:spacing w:after="0" w:line="20"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New York, NY 10118</w:t>
      </w:r>
    </w:p>
    <w:p>
      <w:pPr>
        <w:spacing w:after="0" w:line="5" w:lineRule="exact"/>
        <w:rPr>
          <w:sz w:val="24"/>
          <w:szCs w:val="24"/>
          <w:color w:val="auto"/>
        </w:rPr>
      </w:pPr>
    </w:p>
    <w:p>
      <w:pPr>
        <w:ind w:left="3940"/>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p>
      <w:pPr>
        <w:spacing w:after="0" w:line="44" w:lineRule="exact"/>
        <w:rPr>
          <w:sz w:val="24"/>
          <w:szCs w:val="24"/>
          <w:color w:val="auto"/>
        </w:rPr>
      </w:pPr>
    </w:p>
    <w:p>
      <w:pPr>
        <w:ind w:left="5320"/>
        <w:spacing w:after="0"/>
        <w:rPr>
          <w:sz w:val="20"/>
          <w:szCs w:val="20"/>
          <w:color w:val="auto"/>
        </w:rPr>
      </w:pPr>
      <w:r>
        <w:rPr>
          <w:rFonts w:ascii="Times New Roman" w:cs="Times New Roman" w:eastAsia="Times New Roman" w:hAnsi="Times New Roman"/>
          <w:sz w:val="16"/>
          <w:szCs w:val="16"/>
          <w:color w:val="auto"/>
        </w:rPr>
        <w:t>(646) 710-3417</w:t>
      </w:r>
    </w:p>
    <w:p>
      <w:pPr>
        <w:spacing w:after="0" w:line="18"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48" w:lineRule="exact"/>
        <w:rPr>
          <w:sz w:val="24"/>
          <w:szCs w:val="24"/>
          <w:color w:val="auto"/>
        </w:rPr>
      </w:pPr>
    </w:p>
    <w:p>
      <w:pPr>
        <w:ind w:left="5360"/>
        <w:spacing w:after="0"/>
        <w:rPr>
          <w:sz w:val="20"/>
          <w:szCs w:val="20"/>
          <w:color w:val="auto"/>
        </w:rPr>
      </w:pPr>
      <w:r>
        <w:rPr>
          <w:rFonts w:ascii="Times New Roman" w:cs="Times New Roman" w:eastAsia="Times New Roman" w:hAnsi="Times New Roman"/>
          <w:sz w:val="16"/>
          <w:szCs w:val="16"/>
          <w:color w:val="auto"/>
        </w:rPr>
        <w:t>Not applicable</w:t>
      </w:r>
    </w:p>
    <w:p>
      <w:pPr>
        <w:spacing w:after="0" w:line="18"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5"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______________________________________________________________________________________________________________</w:t>
      </w:r>
    </w:p>
    <w:p>
      <w:pPr>
        <w:spacing w:after="0" w:line="215"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0" w:lineRule="exact"/>
        <w:rPr>
          <w:sz w:val="24"/>
          <w:szCs w:val="24"/>
          <w:color w:val="auto"/>
        </w:rPr>
      </w:pPr>
    </w:p>
    <w:tbl>
      <w:tblPr>
        <w:tblLayout w:type="fixed"/>
        <w:tblInd w:w="720" w:type="dxa"/>
        <w:tblCellMar>
          <w:top w:w="0" w:type="dxa"/>
          <w:left w:w="0" w:type="dxa"/>
          <w:bottom w:w="0" w:type="dxa"/>
          <w:right w:w="0" w:type="dxa"/>
        </w:tblCellMar>
      </w:tblPr>
      <w:tr>
        <w:trPr>
          <w:trHeight w:val="198"/>
        </w:trPr>
        <w:tc>
          <w:tcPr>
            <w:tcW w:w="3980" w:type="dxa"/>
            <w:vAlign w:val="bottom"/>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14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24"/>
        </w:trPr>
        <w:tc>
          <w:tcPr>
            <w:tcW w:w="39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80"/>
        </w:trPr>
        <w:tc>
          <w:tcPr>
            <w:tcW w:w="3980" w:type="dxa"/>
            <w:vAlign w:val="bottom"/>
          </w:tcPr>
          <w:p>
            <w:pPr>
              <w:jc w:val="center"/>
              <w:ind w:left="490"/>
              <w:spacing w:after="0"/>
              <w:rPr>
                <w:sz w:val="20"/>
                <w:szCs w:val="20"/>
                <w:color w:val="auto"/>
              </w:rPr>
            </w:pPr>
            <w:r>
              <w:rPr>
                <w:rFonts w:ascii="Times New Roman" w:cs="Times New Roman" w:eastAsia="Times New Roman" w:hAnsi="Times New Roman"/>
                <w:sz w:val="14"/>
                <w:szCs w:val="14"/>
                <w:b w:val="1"/>
                <w:bCs w:val="1"/>
                <w:color w:val="auto"/>
                <w:w w:val="99"/>
              </w:rPr>
              <w:t>Common Stock, $0.01 par value per share</w:t>
            </w:r>
          </w:p>
        </w:tc>
        <w:tc>
          <w:tcPr>
            <w:tcW w:w="214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SSTK</w:t>
            </w:r>
          </w:p>
        </w:tc>
        <w:tc>
          <w:tcPr>
            <w:tcW w:w="3700" w:type="dxa"/>
            <w:vAlign w:val="bottom"/>
          </w:tcPr>
          <w:p>
            <w:pPr>
              <w:jc w:val="center"/>
              <w:ind w:left="10"/>
              <w:spacing w:after="0"/>
              <w:rPr>
                <w:sz w:val="20"/>
                <w:szCs w:val="20"/>
                <w:color w:val="auto"/>
              </w:rPr>
            </w:pPr>
            <w:r>
              <w:rPr>
                <w:rFonts w:ascii="Times New Roman" w:cs="Times New Roman" w:eastAsia="Times New Roman" w:hAnsi="Times New Roman"/>
                <w:sz w:val="14"/>
                <w:szCs w:val="14"/>
                <w:b w:val="1"/>
                <w:bCs w:val="1"/>
                <w:color w:val="auto"/>
                <w:w w:val="98"/>
              </w:rPr>
              <w:t>New York Stock Exchange</w:t>
            </w:r>
          </w:p>
        </w:tc>
      </w:tr>
    </w:tbl>
    <w:p>
      <w:pPr>
        <w:spacing w:after="0" w:line="112" w:lineRule="exact"/>
        <w:rPr>
          <w:sz w:val="24"/>
          <w:szCs w:val="24"/>
          <w:color w:val="auto"/>
        </w:rPr>
      </w:pPr>
    </w:p>
    <w:p>
      <w:pPr>
        <w:ind w:right="420" w:firstLine="395"/>
        <w:spacing w:after="0" w:line="19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21" w:lineRule="exact"/>
        <w:rPr>
          <w:sz w:val="24"/>
          <w:szCs w:val="24"/>
          <w:color w:val="auto"/>
        </w:rPr>
      </w:pPr>
    </w:p>
    <w:p>
      <w:pPr>
        <w:ind w:right="180" w:firstLine="395"/>
        <w:spacing w:after="0" w:line="201"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w:t>
      </w:r>
    </w:p>
    <w:p>
      <w:pPr>
        <w:spacing w:after="0" w:line="7"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420" w:type="dxa"/>
        <w:tblCellMar>
          <w:top w:w="0" w:type="dxa"/>
          <w:left w:w="0" w:type="dxa"/>
          <w:bottom w:w="0" w:type="dxa"/>
          <w:right w:w="0" w:type="dxa"/>
        </w:tblCellMar>
      </w:tblPr>
      <w:tr>
        <w:trPr>
          <w:trHeight w:val="237"/>
        </w:trPr>
        <w:tc>
          <w:tcPr>
            <w:tcW w:w="2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Large accelerated filer</w:t>
            </w:r>
          </w:p>
        </w:tc>
        <w:tc>
          <w:tcPr>
            <w:tcW w:w="484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Accelerated filer</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560" w:type="dxa"/>
            <w:vAlign w:val="bottom"/>
          </w:tcPr>
          <w:p>
            <w:pPr>
              <w:jc w:val="right"/>
              <w:ind w:right="43"/>
              <w:spacing w:after="0"/>
              <w:rPr>
                <w:sz w:val="20"/>
                <w:szCs w:val="20"/>
                <w:color w:val="auto"/>
              </w:rPr>
            </w:pPr>
            <w:r>
              <w:rPr>
                <w:rFonts w:ascii="Times New Roman" w:cs="Times New Roman" w:eastAsia="Times New Roman" w:hAnsi="Times New Roman"/>
                <w:sz w:val="15"/>
                <w:szCs w:val="15"/>
                <w:color w:val="auto"/>
              </w:rPr>
              <w:t>Non-accelerated filer</w:t>
            </w:r>
          </w:p>
        </w:tc>
        <w:tc>
          <w:tcPr>
            <w:tcW w:w="484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Smaller reporting company</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2560" w:type="dxa"/>
            <w:vAlign w:val="bottom"/>
          </w:tcPr>
          <w:p>
            <w:pPr>
              <w:spacing w:after="0"/>
              <w:rPr>
                <w:sz w:val="23"/>
                <w:szCs w:val="23"/>
                <w:color w:val="auto"/>
              </w:rPr>
            </w:pPr>
          </w:p>
        </w:tc>
        <w:tc>
          <w:tcPr>
            <w:tcW w:w="4840" w:type="dxa"/>
            <w:vAlign w:val="bottom"/>
          </w:tcPr>
          <w:p>
            <w:pPr>
              <w:spacing w:after="0"/>
              <w:rPr>
                <w:sz w:val="23"/>
                <w:szCs w:val="23"/>
                <w:color w:val="auto"/>
              </w:rPr>
            </w:pPr>
          </w:p>
        </w:tc>
        <w:tc>
          <w:tcPr>
            <w:tcW w:w="196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Emerging growth company</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1064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w:t>
            </w:r>
          </w:p>
        </w:tc>
        <w:tc>
          <w:tcPr>
            <w:tcW w:w="280" w:type="dxa"/>
            <w:vAlign w:val="bottom"/>
            <w:vMerge w:val="restart"/>
          </w:tcPr>
          <w:p>
            <w:pPr>
              <w:ind w:left="1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10"/>
        </w:trPr>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financial accounting standards provided pursuant to Section 13(a) of the Exchange Act.</w:t>
            </w:r>
          </w:p>
        </w:tc>
        <w:tc>
          <w:tcPr>
            <w:tcW w:w="1960" w:type="dxa"/>
            <w:vAlign w:val="bottom"/>
          </w:tcPr>
          <w:p>
            <w:pPr>
              <w:spacing w:after="0"/>
              <w:rPr>
                <w:sz w:val="18"/>
                <w:szCs w:val="18"/>
                <w:color w:val="auto"/>
              </w:rPr>
            </w:pPr>
          </w:p>
        </w:tc>
        <w:tc>
          <w:tcPr>
            <w:tcW w:w="380" w:type="dxa"/>
            <w:vAlign w:val="bottom"/>
            <w:vMerge w:val="restart"/>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18"/>
                <w:szCs w:val="18"/>
                <w:color w:val="auto"/>
              </w:rPr>
            </w:pPr>
          </w:p>
        </w:tc>
        <w:tc>
          <w:tcPr>
            <w:tcW w:w="40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tc>
        <w:tc>
          <w:tcPr>
            <w:tcW w:w="196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Yes</w:t>
            </w:r>
          </w:p>
        </w:tc>
        <w:tc>
          <w:tcPr>
            <w:tcW w:w="400" w:type="dxa"/>
            <w:vAlign w:val="bottom"/>
            <w:vMerge w:val="continue"/>
          </w:tcPr>
          <w:p>
            <w:pPr>
              <w:spacing w:after="0"/>
              <w:rPr>
                <w:sz w:val="19"/>
                <w:szCs w:val="19"/>
                <w:color w:val="auto"/>
              </w:rPr>
            </w:pPr>
          </w:p>
        </w:tc>
        <w:tc>
          <w:tcPr>
            <w:tcW w:w="2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w:t>
            </w:r>
          </w:p>
        </w:tc>
        <w:tc>
          <w:tcPr>
            <w:tcW w:w="0" w:type="dxa"/>
            <w:vAlign w:val="bottom"/>
          </w:tcPr>
          <w:p>
            <w:pPr>
              <w:spacing w:after="0"/>
              <w:rPr>
                <w:sz w:val="1"/>
                <w:szCs w:val="1"/>
                <w:color w:val="auto"/>
              </w:rPr>
            </w:pPr>
          </w:p>
        </w:tc>
      </w:tr>
    </w:tbl>
    <w:p>
      <w:pPr>
        <w:ind w:left="420"/>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88"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As of April 26, 2024, 35,843,326 shares of the registrant’s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55880</wp:posOffset>
            </wp:positionV>
            <wp:extent cx="711898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8985" cy="165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30480</wp:posOffset>
            </wp:positionV>
            <wp:extent cx="71189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226"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19" w:lineRule="exact"/>
        <w:rPr>
          <w:sz w:val="20"/>
          <w:szCs w:val="20"/>
          <w:color w:val="auto"/>
        </w:rPr>
      </w:pPr>
    </w:p>
    <w:tbl>
      <w:tblPr>
        <w:tblLayout w:type="fixed"/>
        <w:tblInd w:w="820" w:type="dxa"/>
        <w:tblCellMar>
          <w:top w:w="0" w:type="dxa"/>
          <w:left w:w="0" w:type="dxa"/>
          <w:bottom w:w="0" w:type="dxa"/>
          <w:right w:w="0" w:type="dxa"/>
        </w:tblCellMar>
      </w:tblPr>
      <w:tr>
        <w:trPr>
          <w:trHeight w:val="185"/>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8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4"/>
        </w:trPr>
        <w:tc>
          <w:tcPr>
            <w:tcW w:w="2700" w:type="dxa"/>
            <w:vAlign w:val="bottom"/>
            <w:gridSpan w:val="12"/>
            <w:vMerge w:val="restart"/>
          </w:tcPr>
          <w:p>
            <w:pPr>
              <w:spacing w:after="0"/>
              <w:rPr>
                <w:sz w:val="20"/>
                <w:szCs w:val="20"/>
                <w:color w:val="auto"/>
              </w:rPr>
            </w:pPr>
            <w:r>
              <w:rPr>
                <w:rFonts w:ascii="Times New Roman" w:cs="Times New Roman" w:eastAsia="Times New Roman" w:hAnsi="Times New Roman"/>
                <w:sz w:val="16"/>
                <w:szCs w:val="16"/>
                <w:b w:val="1"/>
                <w:bCs w:val="1"/>
                <w:color w:val="0000FF"/>
                <w:w w:val="97"/>
              </w:rPr>
              <w:t>PART I. FINANCIAL INFORMATION</w:t>
            </w:r>
          </w:p>
        </w:tc>
        <w:tc>
          <w:tcPr>
            <w:tcW w:w="5340" w:type="dxa"/>
            <w:vAlign w:val="bottom"/>
            <w:gridSpan w:val="11"/>
            <w:vMerge w:val="restart"/>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700" w:type="dxa"/>
            <w:vAlign w:val="bottom"/>
            <w:tcBorders>
              <w:bottom w:val="single" w:sz="8" w:color="0000FF"/>
            </w:tcBorders>
            <w:gridSpan w:val="12"/>
            <w:vMerge w:val="continue"/>
          </w:tcPr>
          <w:p>
            <w:pPr>
              <w:spacing w:after="0"/>
              <w:rPr>
                <w:sz w:val="17"/>
                <w:szCs w:val="17"/>
                <w:color w:val="auto"/>
              </w:rPr>
            </w:pPr>
          </w:p>
        </w:tc>
        <w:tc>
          <w:tcPr>
            <w:tcW w:w="5340" w:type="dxa"/>
            <w:vAlign w:val="bottom"/>
            <w:gridSpan w:val="11"/>
            <w:vMerge w:val="continue"/>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w w:val="96"/>
              </w:rPr>
              <w:t>Item 1.</w:t>
            </w:r>
          </w:p>
        </w:tc>
        <w:tc>
          <w:tcPr>
            <w:tcW w:w="380" w:type="dxa"/>
            <w:vAlign w:val="bottom"/>
            <w:gridSpan w:val="3"/>
          </w:tcPr>
          <w:p>
            <w:pPr>
              <w:spacing w:after="0"/>
              <w:rPr>
                <w:sz w:val="21"/>
                <w:szCs w:val="21"/>
                <w:color w:val="auto"/>
              </w:rPr>
            </w:pPr>
          </w:p>
        </w:tc>
        <w:tc>
          <w:tcPr>
            <w:tcW w:w="21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6"/>
                <w:szCs w:val="16"/>
                <w:color w:val="0000FF"/>
                <w:w w:val="97"/>
              </w:rPr>
              <w:t>Financial Statements (Unaudited)</w:t>
            </w:r>
          </w:p>
        </w:tc>
        <w:tc>
          <w:tcPr>
            <w:tcW w:w="5080" w:type="dxa"/>
            <w:vAlign w:val="bottom"/>
            <w:gridSpan w:val="9"/>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6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6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w w:val="97"/>
              </w:rPr>
              <w:t>Consolidated Statements of Comprehensive Income</w:t>
            </w:r>
          </w:p>
        </w:tc>
        <w:tc>
          <w:tcPr>
            <w:tcW w:w="3800" w:type="dxa"/>
            <w:vAlign w:val="bottom"/>
            <w:gridSpan w:val="4"/>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6</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60" w:type="dxa"/>
            <w:vAlign w:val="bottom"/>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w w:val="97"/>
              </w:rPr>
              <w:t>Consolidated Statements of Cash Flows</w:t>
            </w:r>
          </w:p>
        </w:tc>
        <w:tc>
          <w:tcPr>
            <w:tcW w:w="580" w:type="dxa"/>
            <w:vAlign w:val="bottom"/>
            <w:tcBorders>
              <w:top w:val="single" w:sz="8" w:color="0000FF"/>
            </w:tcBorders>
            <w:gridSpan w:val="2"/>
          </w:tcPr>
          <w:p>
            <w:pPr>
              <w:spacing w:after="0"/>
              <w:rPr>
                <w:sz w:val="16"/>
                <w:szCs w:val="16"/>
                <w:color w:val="auto"/>
              </w:rPr>
            </w:pPr>
          </w:p>
        </w:tc>
        <w:tc>
          <w:tcPr>
            <w:tcW w:w="3980" w:type="dxa"/>
            <w:vAlign w:val="bottom"/>
            <w:gridSpan w:val="5"/>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w w:val="97"/>
              </w:rPr>
              <w:t>Notes to Consolidated Financial Statements</w:t>
            </w:r>
          </w:p>
        </w:tc>
        <w:tc>
          <w:tcPr>
            <w:tcW w:w="4320" w:type="dxa"/>
            <w:vAlign w:val="bottom"/>
            <w:gridSpan w:val="6"/>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9</w:t>
            </w:r>
          </w:p>
        </w:tc>
        <w:tc>
          <w:tcPr>
            <w:tcW w:w="0" w:type="dxa"/>
            <w:vAlign w:val="bottom"/>
          </w:tcPr>
          <w:p>
            <w:pPr>
              <w:spacing w:after="0"/>
              <w:rPr>
                <w:sz w:val="1"/>
                <w:szCs w:val="1"/>
                <w:color w:val="auto"/>
              </w:rPr>
            </w:pPr>
          </w:p>
        </w:tc>
      </w:tr>
      <w:tr>
        <w:trPr>
          <w:trHeight w:val="191"/>
        </w:trPr>
        <w:tc>
          <w:tcPr>
            <w:tcW w:w="4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2.</w:t>
            </w:r>
          </w:p>
        </w:tc>
        <w:tc>
          <w:tcPr>
            <w:tcW w:w="360" w:type="dxa"/>
            <w:vAlign w:val="bottom"/>
            <w:gridSpan w:val="2"/>
          </w:tcPr>
          <w:p>
            <w:pPr>
              <w:spacing w:after="0"/>
              <w:rPr>
                <w:sz w:val="16"/>
                <w:szCs w:val="16"/>
                <w:color w:val="auto"/>
              </w:rPr>
            </w:pP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24</w:t>
            </w:r>
          </w:p>
        </w:tc>
        <w:tc>
          <w:tcPr>
            <w:tcW w:w="0" w:type="dxa"/>
            <w:vAlign w:val="bottom"/>
          </w:tcPr>
          <w:p>
            <w:pPr>
              <w:spacing w:after="0"/>
              <w:rPr>
                <w:sz w:val="1"/>
                <w:szCs w:val="1"/>
                <w:color w:val="auto"/>
              </w:rPr>
            </w:pPr>
          </w:p>
        </w:tc>
      </w:tr>
      <w:tr>
        <w:trPr>
          <w:trHeight w:val="191"/>
        </w:trPr>
        <w:tc>
          <w:tcPr>
            <w:tcW w:w="48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Item 3.</w:t>
            </w:r>
          </w:p>
        </w:tc>
        <w:tc>
          <w:tcPr>
            <w:tcW w:w="360" w:type="dxa"/>
            <w:vAlign w:val="bottom"/>
            <w:gridSpan w:val="2"/>
          </w:tcPr>
          <w:p>
            <w:pPr>
              <w:spacing w:after="0"/>
              <w:rPr>
                <w:sz w:val="16"/>
                <w:szCs w:val="16"/>
                <w:color w:val="auto"/>
              </w:rPr>
            </w:pPr>
          </w:p>
        </w:tc>
        <w:tc>
          <w:tcPr>
            <w:tcW w:w="384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w w:val="98"/>
              </w:rPr>
              <w:t>Quantitative and Qualitative Disclosures About Market Risk</w:t>
            </w:r>
          </w:p>
        </w:tc>
        <w:tc>
          <w:tcPr>
            <w:tcW w:w="1820" w:type="dxa"/>
            <w:vAlign w:val="bottom"/>
            <w:tcBorders>
              <w:top w:val="single" w:sz="8" w:color="0000FF"/>
            </w:tcBorders>
          </w:tcPr>
          <w:p>
            <w:pPr>
              <w:spacing w:after="0"/>
              <w:rPr>
                <w:sz w:val="16"/>
                <w:szCs w:val="16"/>
                <w:color w:val="auto"/>
              </w:rPr>
            </w:pPr>
          </w:p>
        </w:tc>
        <w:tc>
          <w:tcPr>
            <w:tcW w:w="15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38</w:t>
            </w:r>
          </w:p>
        </w:tc>
        <w:tc>
          <w:tcPr>
            <w:tcW w:w="0" w:type="dxa"/>
            <w:vAlign w:val="bottom"/>
          </w:tcPr>
          <w:p>
            <w:pPr>
              <w:spacing w:after="0"/>
              <w:rPr>
                <w:sz w:val="1"/>
                <w:szCs w:val="1"/>
                <w:color w:val="auto"/>
              </w:rPr>
            </w:pPr>
          </w:p>
        </w:tc>
      </w:tr>
      <w:tr>
        <w:trPr>
          <w:trHeight w:val="191"/>
        </w:trPr>
        <w:tc>
          <w:tcPr>
            <w:tcW w:w="4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6"/>
              </w:rPr>
              <w:t>Item 4.</w:t>
            </w:r>
          </w:p>
        </w:tc>
        <w:tc>
          <w:tcPr>
            <w:tcW w:w="380" w:type="dxa"/>
            <w:vAlign w:val="bottom"/>
            <w:gridSpan w:val="3"/>
          </w:tcPr>
          <w:p>
            <w:pPr>
              <w:spacing w:after="0"/>
              <w:rPr>
                <w:sz w:val="16"/>
                <w:szCs w:val="16"/>
                <w:color w:val="auto"/>
              </w:rPr>
            </w:pP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40</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20" w:type="dxa"/>
            <w:vAlign w:val="bottom"/>
            <w:gridSpan w:val="9"/>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4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b w:val="1"/>
                <w:bCs w:val="1"/>
                <w:color w:val="0000FF"/>
                <w:w w:val="97"/>
              </w:rPr>
              <w:t>PART II. OTHER INFORMATION</w:t>
            </w:r>
          </w:p>
        </w:tc>
        <w:tc>
          <w:tcPr>
            <w:tcW w:w="5600" w:type="dxa"/>
            <w:vAlign w:val="bottom"/>
            <w:gridSpan w:val="12"/>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w:t>
            </w:r>
          </w:p>
        </w:tc>
        <w:tc>
          <w:tcPr>
            <w:tcW w:w="360" w:type="dxa"/>
            <w:vAlign w:val="bottom"/>
            <w:gridSpan w:val="2"/>
          </w:tcPr>
          <w:p>
            <w:pPr>
              <w:spacing w:after="0"/>
              <w:rPr>
                <w:sz w:val="21"/>
                <w:szCs w:val="21"/>
                <w:color w:val="auto"/>
              </w:rPr>
            </w:pP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41</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gridSpan w:val="11"/>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4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Item 1A.</w:t>
            </w: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41</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60" w:type="dxa"/>
            <w:vAlign w:val="bottom"/>
            <w:gridSpan w:val="11"/>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Item 2.</w:t>
            </w:r>
          </w:p>
        </w:tc>
        <w:tc>
          <w:tcPr>
            <w:tcW w:w="280" w:type="dxa"/>
            <w:vAlign w:val="bottom"/>
            <w:tcBorders>
              <w:bottom w:val="single" w:sz="8" w:color="0000FF"/>
            </w:tcBorders>
          </w:tcPr>
          <w:p>
            <w:pPr>
              <w:spacing w:after="0"/>
              <w:rPr>
                <w:sz w:val="16"/>
                <w:szCs w:val="16"/>
                <w:color w:val="auto"/>
              </w:rPr>
            </w:pPr>
          </w:p>
        </w:tc>
        <w:tc>
          <w:tcPr>
            <w:tcW w:w="38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w w:val="98"/>
              </w:rPr>
              <w:t>Unregistered Sales of Equity Securities and Use of Proceeds</w:t>
            </w:r>
          </w:p>
        </w:tc>
        <w:tc>
          <w:tcPr>
            <w:tcW w:w="3380" w:type="dxa"/>
            <w:vAlign w:val="bottom"/>
            <w:gridSpan w:val="3"/>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41</w:t>
            </w:r>
          </w:p>
        </w:tc>
        <w:tc>
          <w:tcPr>
            <w:tcW w:w="0" w:type="dxa"/>
            <w:vAlign w:val="bottom"/>
          </w:tcPr>
          <w:p>
            <w:pPr>
              <w:spacing w:after="0"/>
              <w:rPr>
                <w:sz w:val="1"/>
                <w:szCs w:val="1"/>
                <w:color w:val="auto"/>
              </w:rPr>
            </w:pPr>
          </w:p>
        </w:tc>
      </w:tr>
      <w:tr>
        <w:trPr>
          <w:trHeight w:val="191"/>
        </w:trPr>
        <w:tc>
          <w:tcPr>
            <w:tcW w:w="4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4.</w:t>
            </w:r>
          </w:p>
        </w:tc>
        <w:tc>
          <w:tcPr>
            <w:tcW w:w="360" w:type="dxa"/>
            <w:vAlign w:val="bottom"/>
            <w:gridSpan w:val="2"/>
          </w:tcPr>
          <w:p>
            <w:pPr>
              <w:spacing w:after="0"/>
              <w:rPr>
                <w:sz w:val="16"/>
                <w:szCs w:val="16"/>
                <w:color w:val="auto"/>
              </w:rPr>
            </w:pPr>
          </w:p>
        </w:tc>
        <w:tc>
          <w:tcPr>
            <w:tcW w:w="72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41</w:t>
            </w:r>
          </w:p>
        </w:tc>
        <w:tc>
          <w:tcPr>
            <w:tcW w:w="0" w:type="dxa"/>
            <w:vAlign w:val="bottom"/>
          </w:tcPr>
          <w:p>
            <w:pPr>
              <w:spacing w:after="0"/>
              <w:rPr>
                <w:sz w:val="1"/>
                <w:szCs w:val="1"/>
                <w:color w:val="auto"/>
              </w:rPr>
            </w:pPr>
          </w:p>
        </w:tc>
      </w:tr>
      <w:tr>
        <w:trPr>
          <w:trHeight w:val="191"/>
        </w:trPr>
        <w:tc>
          <w:tcPr>
            <w:tcW w:w="4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Item 5.</w:t>
            </w:r>
          </w:p>
        </w:tc>
        <w:tc>
          <w:tcPr>
            <w:tcW w:w="360" w:type="dxa"/>
            <w:vAlign w:val="bottom"/>
            <w:gridSpan w:val="2"/>
          </w:tcPr>
          <w:p>
            <w:pPr>
              <w:spacing w:after="0"/>
              <w:rPr>
                <w:sz w:val="16"/>
                <w:szCs w:val="16"/>
                <w:color w:val="auto"/>
              </w:rPr>
            </w:pPr>
          </w:p>
        </w:tc>
        <w:tc>
          <w:tcPr>
            <w:tcW w:w="15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5660" w:type="dxa"/>
            <w:vAlign w:val="bottom"/>
            <w:gridSpan w:val="13"/>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41</w:t>
            </w:r>
          </w:p>
        </w:tc>
        <w:tc>
          <w:tcPr>
            <w:tcW w:w="0" w:type="dxa"/>
            <w:vAlign w:val="bottom"/>
          </w:tcPr>
          <w:p>
            <w:pPr>
              <w:spacing w:after="0"/>
              <w:rPr>
                <w:sz w:val="1"/>
                <w:szCs w:val="1"/>
                <w:color w:val="auto"/>
              </w:rPr>
            </w:pPr>
          </w:p>
        </w:tc>
      </w:tr>
      <w:tr>
        <w:trPr>
          <w:trHeight w:val="191"/>
        </w:trPr>
        <w:tc>
          <w:tcPr>
            <w:tcW w:w="4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Item 6.</w:t>
            </w:r>
          </w:p>
        </w:tc>
        <w:tc>
          <w:tcPr>
            <w:tcW w:w="360" w:type="dxa"/>
            <w:vAlign w:val="bottom"/>
            <w:gridSpan w:val="2"/>
          </w:tcPr>
          <w:p>
            <w:pPr>
              <w:spacing w:after="0"/>
              <w:rPr>
                <w:sz w:val="16"/>
                <w:szCs w:val="16"/>
                <w:color w:val="auto"/>
              </w:rPr>
            </w:pPr>
          </w:p>
        </w:tc>
        <w:tc>
          <w:tcPr>
            <w:tcW w:w="11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Exhibits</w:t>
            </w:r>
          </w:p>
        </w:tc>
        <w:tc>
          <w:tcPr>
            <w:tcW w:w="6040" w:type="dxa"/>
            <w:vAlign w:val="bottom"/>
            <w:gridSpan w:val="14"/>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41</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680" w:type="dxa"/>
            <w:vAlign w:val="bottom"/>
            <w:gridSpan w:val="1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20" w:type="dxa"/>
            <w:vAlign w:val="bottom"/>
          </w:tcPr>
          <w:p>
            <w:pPr>
              <w:spacing w:after="0"/>
              <w:rPr>
                <w:sz w:val="24"/>
                <w:szCs w:val="24"/>
                <w:color w:val="auto"/>
              </w:rPr>
            </w:pPr>
          </w:p>
        </w:tc>
        <w:tc>
          <w:tcPr>
            <w:tcW w:w="7720" w:type="dxa"/>
            <w:vAlign w:val="bottom"/>
            <w:gridSpan w:val="22"/>
          </w:tcPr>
          <w:p>
            <w:pPr>
              <w:spacing w:after="0"/>
              <w:rPr>
                <w:sz w:val="20"/>
                <w:szCs w:val="20"/>
                <w:color w:val="auto"/>
              </w:rPr>
            </w:pPr>
            <w:r>
              <w:rPr>
                <w:rFonts w:ascii="Times New Roman" w:cs="Times New Roman" w:eastAsia="Times New Roman" w:hAnsi="Times New Roman"/>
                <w:sz w:val="16"/>
                <w:szCs w:val="16"/>
                <w:color w:val="0000FF"/>
              </w:rPr>
              <w:t>Signatures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134620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9739"/>
          </w:cols>
          <w:pgMar w:left="720" w:top="121" w:right="1440" w:bottom="1440" w:gutter="0" w:footer="0" w:header="0"/>
        </w:sectPr>
      </w:pPr>
    </w:p>
    <w:bookmarkStart w:id="2" w:name="page3"/>
    <w:bookmarkEnd w:id="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6"/>
          <w:szCs w:val="16"/>
          <w:i w:val="1"/>
          <w:iCs w:val="1"/>
          <w:color w:val="auto"/>
        </w:rPr>
        <w:t>This Quarterly Report on Form 10-Q contains forward-looking statements within the meaning of Section 27A of the Securities Act of 1933, as amended, or the Securities Act, and Section 21E of the Securities Exchange Act of 1934, as amended, or the Exchange Act, particularly in the discussion under the caption “Management’s Discussion and Analysis of Financial Condition and Results of Operations.” All statements other than statements of historical fact are forward-looking. Examples of forward-looking statements include, but are not limited to, statements regarding guidance, industry prospects, future business, future results of operations or financial condition, future dividends, future stock performance, our ability to consummate acquisitions and integrate the businesses we have acquired or may acquire into our existing operations, new or planned features, products or services, management strategies and our competitive position. You can identify many forward-looking statements by words such as “may,” “will,” “would,” “should,” “could,” “expects,” “aims,” “anticipates,” “believes,” “estimates,” “intends,” “plans,” “predicts,” “projects,” “seeks,”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by the forward-looking statements. Such risks and uncertainties include, among others, our ability to continue to attract and retain customers of, and contributors to, our creative platform; competition in our industry; the effectiveness and efficiency of our marketing efforts; our ability to innovate technologically or develop, market and offer new products and services, or enhance existing technology and products and services; our ability to increase market awareness of our brand and our existing and new products and services; pricing pressure, and increased service, indemnification and working capital requirements; expansion of our operations into new products, services and technologies; the impact of worldwide economic, political and social conditions; social and ethical issues relating to the use of new and evolving technologies, such as AI; our ability to grow our revenues at historical rates; our ability to effectively expand, train, manage changes to and retain our sales force; our ability to effectively manage our growth; our ability to successfully make, integrate and maintain acquisitions and investments; risks related to our personnel; risks related to our use of independent contractors; the non-payment or late payment of amounts due to us and other payment-related risks; the potential impairment of our goodwill or intangible assets; the need to raise additional capital; risks related to our debt; our reliance on information technologies and systems and other risks related to our intellectual property and security vulnerabilities; our international operations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and our continued expansion internationally; foreign exchange risk; risks related to regulatory and tax challenges;</w:t>
      </w:r>
    </w:p>
    <w:p>
      <w:pPr>
        <w:spacing w:after="0" w:line="255" w:lineRule="auto"/>
        <w:rPr>
          <w:sz w:val="20"/>
          <w:szCs w:val="20"/>
          <w:color w:val="auto"/>
        </w:rPr>
      </w:pPr>
      <w:r>
        <w:rPr>
          <w:rFonts w:ascii="Times New Roman" w:cs="Times New Roman" w:eastAsia="Times New Roman" w:hAnsi="Times New Roman"/>
          <w:sz w:val="16"/>
          <w:szCs w:val="16"/>
          <w:i w:val="1"/>
          <w:iCs w:val="1"/>
          <w:color w:val="auto"/>
        </w:rPr>
        <w:t>our ability to continue to attract and retain customers of, and contributors to, our creative platform; competition in our industry; the effectiveness and efficiency of our marketing efforts; our ability to innovate technologically or develop, market and offer new products and services, or enhance existing technology and products and services; our ability to increase market awareness of our brand and our existing and new products and services; pricing pressure, and increased service, indemnification and working capital requirements; expansion of our operations into new products, services and technologies; the impact of worldwide economic, political and social conditions; social and ethical issues relating to the use of new and evolving technologies, such as AI; our ability to grow our revenues at historical rates; our ability to effectively expand, train, manage changes to and retain our sales force; our ability to effectively manage our growth; our ability to successfully make, integrate and maintain acquisitions and investments; risks related to our personnel; risks related to our use of independent contractors; the non-payment or late payment of amounts due to us and other payment-related risks; the potential impairment of our goodwill or intangible assets; the need to raise additional capital; risks related to our debt; our reliance on information technologies and systems and other risks related to our intellectual property and security vulnerabilities; our international operations and our continued expansion internationally; foreign exchange risk; risks related to regulatory and tax challenges; as well as those risks discussed under the caption “Risk Factors” in our most recently filed Annual Report on</w:t>
      </w:r>
    </w:p>
    <w:p>
      <w:pPr>
        <w:spacing w:after="0" w:line="8" w:lineRule="exact"/>
        <w:rPr>
          <w:sz w:val="20"/>
          <w:szCs w:val="20"/>
          <w:color w:val="auto"/>
        </w:rPr>
      </w:pPr>
    </w:p>
    <w:p>
      <w:pPr>
        <w:ind w:right="60"/>
        <w:spacing w:after="0" w:line="230" w:lineRule="auto"/>
        <w:rPr>
          <w:sz w:val="20"/>
          <w:szCs w:val="20"/>
          <w:color w:val="auto"/>
        </w:rPr>
      </w:pPr>
      <w:r>
        <w:rPr>
          <w:rFonts w:ascii="Times New Roman" w:cs="Times New Roman" w:eastAsia="Times New Roman" w:hAnsi="Times New Roman"/>
          <w:sz w:val="18"/>
          <w:szCs w:val="18"/>
          <w:i w:val="1"/>
          <w:iCs w:val="1"/>
          <w:color w:val="auto"/>
        </w:rPr>
        <w:t>Form 10-K, which was filed with the Securities and Exchange Commission (the “SEC”) on February 26, 2024 (our “2023 Form 10-K”) and in our consolidated financial statements, related notes, and the other information appearing elsewhere in the 2023 Form 10-K, this Quarterly Report on Form 10-Q and our other filings with the SEC. Given these risks and uncertainties, you should not place undue reliance on any forward-looking statements. The forward-looking statements contained in this Quarterly Report on Form 10-Q are made only as of the date hereof, and we do not intend, and, except as required by law, we undertake no obligation to update any forward-looking statements contained herein after the date of this report to reflect actual results or future events or circumstances.</w:t>
      </w:r>
    </w:p>
    <w:p>
      <w:pPr>
        <w:spacing w:after="0" w:line="222" w:lineRule="exact"/>
        <w:rPr>
          <w:sz w:val="20"/>
          <w:szCs w:val="20"/>
          <w:color w:val="auto"/>
        </w:rPr>
      </w:pPr>
    </w:p>
    <w:p>
      <w:pPr>
        <w:ind w:right="40"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Unless the context otherwise indicates, references in this Quarterly Report on Form 10-Q to the terms “Shutterstock,” “the Company,” “we,” “our” and “us” refer to Shutterstock, Inc. and its subsidiaries. “Shutterstock,” “Shutterstock Editorial,” “Asset Assurance,” “Offset,” “Bigstock,” “Rex Features,” “PremiumBeat,” “TurboSquid,” “PicMonkey,” “Pattern89,” “Shotzr,” “Pond5,” “Splash News,” “Giphy,” “Shutterstock Studios,” “Shutterstock Editor,” “Shutterstock.AI,” “Creative Flow,” and “Backgrid” and their logos are registered trademarks and are the property of Shutterstock, Inc. or one of our subsidiaries. All other trademarks, service marks and trade names appearing in this Quarterly Report on Form 10-Q are the property of their respective owners.</w:t>
      </w:r>
    </w:p>
    <w:p>
      <w:pPr>
        <w:spacing w:after="0" w:line="200" w:lineRule="exact"/>
        <w:rPr>
          <w:sz w:val="20"/>
          <w:szCs w:val="20"/>
          <w:color w:val="auto"/>
        </w:rPr>
      </w:pPr>
    </w:p>
    <w:p>
      <w:pPr>
        <w:spacing w:after="0" w:line="34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4"/>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80" w:type="dxa"/>
            <w:vAlign w:val="bottom"/>
          </w:tcPr>
          <w:p>
            <w:pPr>
              <w:jc w:val="center"/>
              <w:ind w:left="1792"/>
              <w:spacing w:after="0"/>
              <w:rPr>
                <w:sz w:val="20"/>
                <w:szCs w:val="20"/>
                <w:color w:val="auto"/>
              </w:rPr>
            </w:pPr>
            <w:r>
              <w:rPr>
                <w:rFonts w:ascii="Times New Roman" w:cs="Times New Roman" w:eastAsia="Times New Roman" w:hAnsi="Times New Roman"/>
                <w:sz w:val="18"/>
                <w:szCs w:val="18"/>
                <w:b w:val="1"/>
                <w:bCs w:val="1"/>
                <w:color w:val="auto"/>
                <w:w w:val="96"/>
              </w:rPr>
              <w:t>Shutterstock, Inc.</w:t>
            </w: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jc w:val="center"/>
              <w:ind w:left="1812"/>
              <w:spacing w:after="0"/>
              <w:rPr>
                <w:sz w:val="20"/>
                <w:szCs w:val="20"/>
                <w:color w:val="auto"/>
              </w:rPr>
            </w:pPr>
            <w:r>
              <w:rPr>
                <w:rFonts w:ascii="Times New Roman" w:cs="Times New Roman" w:eastAsia="Times New Roman" w:hAnsi="Times New Roman"/>
                <w:sz w:val="18"/>
                <w:szCs w:val="18"/>
                <w:b w:val="1"/>
                <w:bCs w:val="1"/>
                <w:color w:val="auto"/>
                <w:w w:val="97"/>
              </w:rPr>
              <w:t>Consolidated Balance Sheets</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jc w:val="center"/>
              <w:ind w:left="1812"/>
              <w:spacing w:after="0"/>
              <w:rPr>
                <w:sz w:val="20"/>
                <w:szCs w:val="20"/>
                <w:color w:val="auto"/>
              </w:rPr>
            </w:pPr>
            <w:r>
              <w:rPr>
                <w:rFonts w:ascii="Times New Roman" w:cs="Times New Roman" w:eastAsia="Times New Roman" w:hAnsi="Times New Roman"/>
                <w:sz w:val="18"/>
                <w:szCs w:val="18"/>
                <w:b w:val="1"/>
                <w:bCs w:val="1"/>
                <w:color w:val="auto"/>
                <w:w w:val="97"/>
              </w:rPr>
              <w:t>(In thousands, except par value amount)</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80" w:type="dxa"/>
            <w:vAlign w:val="bottom"/>
          </w:tcPr>
          <w:p>
            <w:pPr>
              <w:jc w:val="center"/>
              <w:ind w:left="1792"/>
              <w:spacing w:after="0"/>
              <w:rPr>
                <w:sz w:val="20"/>
                <w:szCs w:val="20"/>
                <w:color w:val="auto"/>
              </w:rPr>
            </w:pPr>
            <w:r>
              <w:rPr>
                <w:rFonts w:ascii="Times New Roman" w:cs="Times New Roman" w:eastAsia="Times New Roman" w:hAnsi="Times New Roman"/>
                <w:sz w:val="18"/>
                <w:szCs w:val="18"/>
                <w:b w:val="1"/>
                <w:bCs w:val="1"/>
                <w:color w:val="auto"/>
                <w:w w:val="97"/>
              </w:rPr>
              <w:t>(unaudited)</w:t>
            </w: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8"/>
                <w:szCs w:val="18"/>
                <w:color w:val="auto"/>
              </w:rPr>
            </w:pPr>
          </w:p>
        </w:tc>
        <w:tc>
          <w:tcPr>
            <w:tcW w:w="134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8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20" w:type="dxa"/>
            <w:vAlign w:val="bottom"/>
          </w:tcPr>
          <w:p>
            <w:pPr>
              <w:spacing w:after="0"/>
              <w:rPr>
                <w:sz w:val="3"/>
                <w:szCs w:val="3"/>
                <w:color w:val="auto"/>
              </w:rPr>
            </w:pPr>
          </w:p>
        </w:tc>
        <w:tc>
          <w:tcPr>
            <w:tcW w:w="60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86"/>
        </w:trPr>
        <w:tc>
          <w:tcPr>
            <w:tcW w:w="82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assets:</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71,811</w:t>
            </w:r>
          </w:p>
        </w:tc>
        <w:tc>
          <w:tcPr>
            <w:tcW w:w="120" w:type="dxa"/>
            <w:vAlign w:val="bottom"/>
          </w:tcPr>
          <w:p>
            <w:pPr>
              <w:spacing w:after="0"/>
              <w:rPr>
                <w:sz w:val="18"/>
                <w:szCs w:val="18"/>
                <w:color w:val="auto"/>
              </w:rPr>
            </w:pP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100,490</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Accounts receivable, net of allowance of $4,873 and $6,335</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93,993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91,139</w:t>
            </w:r>
          </w:p>
        </w:tc>
        <w:tc>
          <w:tcPr>
            <w:tcW w:w="0" w:type="dxa"/>
            <w:vAlign w:val="bottom"/>
          </w:tcPr>
          <w:p>
            <w:pPr>
              <w:spacing w:after="0"/>
              <w:rPr>
                <w:sz w:val="1"/>
                <w:szCs w:val="1"/>
                <w:color w:val="auto"/>
              </w:rPr>
            </w:pPr>
          </w:p>
        </w:tc>
      </w:tr>
      <w:tr>
        <w:trPr>
          <w:trHeight w:val="209"/>
        </w:trPr>
        <w:tc>
          <w:tcPr>
            <w:tcW w:w="40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93,095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100,944</w:t>
            </w:r>
          </w:p>
        </w:tc>
        <w:tc>
          <w:tcPr>
            <w:tcW w:w="0" w:type="dxa"/>
            <w:vAlign w:val="bottom"/>
          </w:tcPr>
          <w:p>
            <w:pPr>
              <w:spacing w:after="0"/>
              <w:rPr>
                <w:sz w:val="1"/>
                <w:szCs w:val="1"/>
                <w:color w:val="auto"/>
              </w:rPr>
            </w:pPr>
          </w:p>
        </w:tc>
      </w:tr>
      <w:tr>
        <w:trPr>
          <w:trHeight w:val="206"/>
        </w:trPr>
        <w:tc>
          <w:tcPr>
            <w:tcW w:w="400" w:type="dxa"/>
            <w:vAlign w:val="bottom"/>
            <w:shd w:val="clear" w:color="auto" w:fill="CCEEFF"/>
          </w:tcPr>
          <w:p>
            <w:pPr>
              <w:spacing w:after="0"/>
              <w:rPr>
                <w:sz w:val="17"/>
                <w:szCs w:val="17"/>
                <w:color w:val="auto"/>
              </w:rPr>
            </w:pPr>
          </w:p>
        </w:tc>
        <w:tc>
          <w:tcPr>
            <w:tcW w:w="7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assets</w:t>
            </w: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258,899</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292,573</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63,430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64,300</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Right-of-use assets</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16,482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15,395</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Intangible assets, net</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174,868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184,396</w:t>
            </w:r>
          </w:p>
        </w:tc>
        <w:tc>
          <w:tcPr>
            <w:tcW w:w="0" w:type="dxa"/>
            <w:vAlign w:val="bottom"/>
          </w:tcPr>
          <w:p>
            <w:pPr>
              <w:spacing w:after="0"/>
              <w:rPr>
                <w:sz w:val="1"/>
                <w:szCs w:val="1"/>
                <w:color w:val="auto"/>
              </w:rPr>
            </w:pPr>
          </w:p>
        </w:tc>
      </w:tr>
      <w:tr>
        <w:trPr>
          <w:trHeight w:val="212"/>
        </w:trPr>
        <w:tc>
          <w:tcPr>
            <w:tcW w:w="8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w w:val="95"/>
              </w:rPr>
              <w:t>Goodwill</w:t>
            </w:r>
          </w:p>
        </w:tc>
        <w:tc>
          <w:tcPr>
            <w:tcW w:w="82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402,787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383,325</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Deferred tax assets, net</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28,156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24,874</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4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83,881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71,152</w:t>
            </w:r>
          </w:p>
        </w:tc>
        <w:tc>
          <w:tcPr>
            <w:tcW w:w="0" w:type="dxa"/>
            <w:vAlign w:val="bottom"/>
          </w:tcPr>
          <w:p>
            <w:pPr>
              <w:spacing w:after="0"/>
              <w:rPr>
                <w:sz w:val="1"/>
                <w:szCs w:val="1"/>
                <w:color w:val="auto"/>
              </w:rPr>
            </w:pPr>
          </w:p>
        </w:tc>
      </w:tr>
      <w:tr>
        <w:trPr>
          <w:trHeight w:val="202"/>
        </w:trPr>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8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1,028,503</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1,036,015</w:t>
            </w: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720" w:type="dxa"/>
            <w:vAlign w:val="bottom"/>
            <w:gridSpan w:val="4"/>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LIABILITIES AND STOCKHOLDERS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EQUITY</w:t>
            </w: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Current liabilities:</w:t>
            </w: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Accounts payable</w:t>
            </w: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9,108</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Accrued expenses</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131,443</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61,392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54,859</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Deferred revenue</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198,041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203,463</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Debt</w:t>
            </w:r>
          </w:p>
        </w:tc>
        <w:tc>
          <w:tcPr>
            <w:tcW w:w="82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0" w:type="dxa"/>
            <w:vAlign w:val="bottom"/>
          </w:tcPr>
          <w:p>
            <w:pPr>
              <w:spacing w:after="0"/>
              <w:rPr>
                <w:sz w:val="1"/>
                <w:szCs w:val="1"/>
                <w:color w:val="auto"/>
              </w:rPr>
            </w:pPr>
          </w:p>
        </w:tc>
      </w:tr>
      <w:tr>
        <w:trPr>
          <w:trHeight w:val="209"/>
        </w:trPr>
        <w:tc>
          <w:tcPr>
            <w:tcW w:w="40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34,959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23,513</w:t>
            </w:r>
          </w:p>
        </w:tc>
        <w:tc>
          <w:tcPr>
            <w:tcW w:w="0" w:type="dxa"/>
            <w:vAlign w:val="bottom"/>
          </w:tcPr>
          <w:p>
            <w:pPr>
              <w:spacing w:after="0"/>
              <w:rPr>
                <w:sz w:val="1"/>
                <w:szCs w:val="1"/>
                <w:color w:val="auto"/>
              </w:rPr>
            </w:pPr>
          </w:p>
        </w:tc>
      </w:tr>
      <w:tr>
        <w:trPr>
          <w:trHeight w:val="206"/>
        </w:trPr>
        <w:tc>
          <w:tcPr>
            <w:tcW w:w="400" w:type="dxa"/>
            <w:vAlign w:val="bottom"/>
            <w:shd w:val="clear" w:color="auto" w:fill="CCEEFF"/>
          </w:tcPr>
          <w:p>
            <w:pPr>
              <w:spacing w:after="0"/>
              <w:rPr>
                <w:sz w:val="17"/>
                <w:szCs w:val="17"/>
                <w:color w:val="auto"/>
              </w:rPr>
            </w:pPr>
          </w:p>
        </w:tc>
        <w:tc>
          <w:tcPr>
            <w:tcW w:w="73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432,977</w:t>
            </w: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452,386</w:t>
            </w:r>
          </w:p>
        </w:tc>
        <w:tc>
          <w:tcPr>
            <w:tcW w:w="0" w:type="dxa"/>
            <w:vAlign w:val="bottom"/>
          </w:tcPr>
          <w:p>
            <w:pPr>
              <w:spacing w:after="0"/>
              <w:rPr>
                <w:sz w:val="1"/>
                <w:szCs w:val="1"/>
                <w:color w:val="auto"/>
              </w:rPr>
            </w:pPr>
          </w:p>
        </w:tc>
      </w:tr>
      <w:tr>
        <w:trPr>
          <w:trHeight w:val="209"/>
        </w:trPr>
        <w:tc>
          <w:tcPr>
            <w:tcW w:w="7720" w:type="dxa"/>
            <w:vAlign w:val="bottom"/>
            <w:gridSpan w:val="4"/>
          </w:tcPr>
          <w:p>
            <w:pPr>
              <w:ind w:left="220"/>
              <w:spacing w:after="0"/>
              <w:rPr>
                <w:sz w:val="20"/>
                <w:szCs w:val="20"/>
                <w:color w:val="auto"/>
              </w:rPr>
            </w:pPr>
            <w:r>
              <w:rPr>
                <w:rFonts w:ascii="Times New Roman" w:cs="Times New Roman" w:eastAsia="Times New Roman" w:hAnsi="Times New Roman"/>
                <w:sz w:val="16"/>
                <w:szCs w:val="16"/>
                <w:color w:val="auto"/>
              </w:rPr>
              <w:t>Deferred tax liability, net</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4,182</w:t>
            </w:r>
          </w:p>
        </w:tc>
        <w:tc>
          <w:tcPr>
            <w:tcW w:w="0" w:type="dxa"/>
            <w:vAlign w:val="bottom"/>
          </w:tcPr>
          <w:p>
            <w:pPr>
              <w:spacing w:after="0"/>
              <w:rPr>
                <w:sz w:val="1"/>
                <w:szCs w:val="1"/>
                <w:color w:val="auto"/>
              </w:rPr>
            </w:pPr>
          </w:p>
        </w:tc>
      </w:tr>
      <w:tr>
        <w:trPr>
          <w:trHeight w:val="212"/>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Lease liabilities</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28,745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29,404</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CEEFF"/>
            </w:tcBorders>
            <w:gridSpan w:val="4"/>
          </w:tcPr>
          <w:p>
            <w:pPr>
              <w:ind w:left="2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21,711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22,949</w:t>
            </w:r>
          </w:p>
        </w:tc>
        <w:tc>
          <w:tcPr>
            <w:tcW w:w="0" w:type="dxa"/>
            <w:vAlign w:val="bottom"/>
          </w:tcPr>
          <w:p>
            <w:pPr>
              <w:spacing w:after="0"/>
              <w:rPr>
                <w:sz w:val="1"/>
                <w:szCs w:val="1"/>
                <w:color w:val="auto"/>
              </w:rPr>
            </w:pPr>
          </w:p>
        </w:tc>
      </w:tr>
      <w:tr>
        <w:trPr>
          <w:trHeight w:val="206"/>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4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487,228</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508,921</w:t>
            </w:r>
          </w:p>
        </w:tc>
        <w:tc>
          <w:tcPr>
            <w:tcW w:w="0" w:type="dxa"/>
            <w:vAlign w:val="bottom"/>
          </w:tcPr>
          <w:p>
            <w:pPr>
              <w:spacing w:after="0"/>
              <w:rPr>
                <w:sz w:val="1"/>
                <w:szCs w:val="1"/>
                <w:color w:val="auto"/>
              </w:rPr>
            </w:pPr>
          </w:p>
        </w:tc>
      </w:tr>
      <w:tr>
        <w:trPr>
          <w:trHeight w:val="199"/>
        </w:trPr>
        <w:tc>
          <w:tcPr>
            <w:tcW w:w="77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14)</w:t>
            </w: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7720" w:type="dxa"/>
            <w:vAlign w:val="bottom"/>
            <w:gridSpan w:val="4"/>
          </w:tcPr>
          <w:p>
            <w:pPr>
              <w:spacing w:after="0"/>
              <w:rPr>
                <w:sz w:val="10"/>
                <w:szCs w:val="10"/>
                <w:color w:val="auto"/>
              </w:rPr>
            </w:pPr>
          </w:p>
        </w:tc>
        <w:tc>
          <w:tcPr>
            <w:tcW w:w="4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Stockholders’ equity:</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00" w:type="dxa"/>
            <w:vAlign w:val="bottom"/>
          </w:tcPr>
          <w:p>
            <w:pPr>
              <w:spacing w:after="0"/>
              <w:rPr>
                <w:sz w:val="13"/>
                <w:szCs w:val="13"/>
                <w:color w:val="auto"/>
              </w:rPr>
            </w:pPr>
          </w:p>
        </w:tc>
        <w:tc>
          <w:tcPr>
            <w:tcW w:w="7320" w:type="dxa"/>
            <w:vAlign w:val="bottom"/>
            <w:gridSpan w:val="3"/>
          </w:tcPr>
          <w:p>
            <w:pPr>
              <w:ind w:left="60"/>
              <w:spacing w:after="0" w:line="158" w:lineRule="exact"/>
              <w:rPr>
                <w:sz w:val="20"/>
                <w:szCs w:val="20"/>
                <w:color w:val="auto"/>
              </w:rPr>
            </w:pPr>
            <w:r>
              <w:rPr>
                <w:rFonts w:ascii="Times New Roman" w:cs="Times New Roman" w:eastAsia="Times New Roman" w:hAnsi="Times New Roman"/>
                <w:sz w:val="16"/>
                <w:szCs w:val="16"/>
                <w:color w:val="auto"/>
              </w:rPr>
              <w:t>Common stock, $0.01 par value; 200,000 shares authorized; 40,013 and 39,982 shares issued and 35,603 and</w:t>
            </w:r>
          </w:p>
        </w:tc>
        <w:tc>
          <w:tcPr>
            <w:tcW w:w="420" w:type="dxa"/>
            <w:vAlign w:val="bottom"/>
          </w:tcPr>
          <w:p>
            <w:pPr>
              <w:spacing w:after="0"/>
              <w:rPr>
                <w:sz w:val="13"/>
                <w:szCs w:val="13"/>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35,572 shares outstanding as of March 31, 2024 and December 31, 2023, respectively</w:t>
            </w:r>
          </w:p>
        </w:tc>
        <w:tc>
          <w:tcPr>
            <w:tcW w:w="42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Treasury stock, at cost; 4,410 shares as of March 31, 2024 and December 31, 2023</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(228,213)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(228,213)</w:t>
            </w:r>
          </w:p>
        </w:tc>
        <w:tc>
          <w:tcPr>
            <w:tcW w:w="0" w:type="dxa"/>
            <w:vAlign w:val="bottom"/>
          </w:tcPr>
          <w:p>
            <w:pPr>
              <w:spacing w:after="0"/>
              <w:rPr>
                <w:sz w:val="1"/>
                <w:szCs w:val="1"/>
                <w:color w:val="auto"/>
              </w:rPr>
            </w:pPr>
          </w:p>
        </w:tc>
      </w:tr>
      <w:tr>
        <w:trPr>
          <w:trHeight w:val="209"/>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4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434,416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424,229</w:t>
            </w:r>
          </w:p>
        </w:tc>
        <w:tc>
          <w:tcPr>
            <w:tcW w:w="0" w:type="dxa"/>
            <w:vAlign w:val="bottom"/>
          </w:tcPr>
          <w:p>
            <w:pPr>
              <w:spacing w:after="0"/>
              <w:rPr>
                <w:sz w:val="1"/>
                <w:szCs w:val="1"/>
                <w:color w:val="auto"/>
              </w:rPr>
            </w:pPr>
          </w:p>
        </w:tc>
      </w:tr>
      <w:tr>
        <w:trPr>
          <w:trHeight w:val="212"/>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(11,974)</w:t>
            </w:r>
          </w:p>
        </w:tc>
        <w:tc>
          <w:tcPr>
            <w:tcW w:w="0" w:type="dxa"/>
            <w:vAlign w:val="bottom"/>
          </w:tcPr>
          <w:p>
            <w:pPr>
              <w:spacing w:after="0"/>
              <w:rPr>
                <w:sz w:val="1"/>
                <w:szCs w:val="1"/>
                <w:color w:val="auto"/>
              </w:rPr>
            </w:pPr>
          </w:p>
        </w:tc>
      </w:tr>
      <w:tr>
        <w:trPr>
          <w:trHeight w:val="209"/>
        </w:trPr>
        <w:tc>
          <w:tcPr>
            <w:tcW w:w="40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gridSpan w:val="3"/>
          </w:tcPr>
          <w:p>
            <w:pPr>
              <w:ind w:left="60"/>
              <w:spacing w:after="0"/>
              <w:rPr>
                <w:sz w:val="20"/>
                <w:szCs w:val="20"/>
                <w:color w:val="auto"/>
              </w:rPr>
            </w:pPr>
            <w:r>
              <w:rPr>
                <w:rFonts w:ascii="Times New Roman" w:cs="Times New Roman" w:eastAsia="Times New Roman" w:hAnsi="Times New Roman"/>
                <w:sz w:val="16"/>
                <w:szCs w:val="16"/>
                <w:color w:val="auto"/>
              </w:rPr>
              <w:t>Retained earnings</w:t>
            </w:r>
          </w:p>
        </w:tc>
        <w:tc>
          <w:tcPr>
            <w:tcW w:w="4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348,111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342,653</w:t>
            </w:r>
          </w:p>
        </w:tc>
        <w:tc>
          <w:tcPr>
            <w:tcW w:w="0" w:type="dxa"/>
            <w:vAlign w:val="bottom"/>
          </w:tcPr>
          <w:p>
            <w:pPr>
              <w:spacing w:after="0"/>
              <w:rPr>
                <w:sz w:val="1"/>
                <w:szCs w:val="1"/>
                <w:color w:val="auto"/>
              </w:rPr>
            </w:pPr>
          </w:p>
        </w:tc>
      </w:tr>
      <w:tr>
        <w:trPr>
          <w:trHeight w:val="206"/>
        </w:trPr>
        <w:tc>
          <w:tcPr>
            <w:tcW w:w="77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42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541,275</w:t>
            </w: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527,094</w:t>
            </w:r>
          </w:p>
        </w:tc>
        <w:tc>
          <w:tcPr>
            <w:tcW w:w="0" w:type="dxa"/>
            <w:vAlign w:val="bottom"/>
          </w:tcPr>
          <w:p>
            <w:pPr>
              <w:spacing w:after="0"/>
              <w:rPr>
                <w:sz w:val="1"/>
                <w:szCs w:val="1"/>
                <w:color w:val="auto"/>
              </w:rPr>
            </w:pPr>
          </w:p>
        </w:tc>
      </w:tr>
      <w:tr>
        <w:trPr>
          <w:trHeight w:val="202"/>
        </w:trPr>
        <w:tc>
          <w:tcPr>
            <w:tcW w:w="772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1,028,503</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1,036,015</w:t>
            </w: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(In thousands, except for per share data)</w:t>
      </w:r>
    </w:p>
    <w:p>
      <w:pPr>
        <w:spacing w:after="0" w:line="32"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4" w:lineRule="exact"/>
        <w:rPr>
          <w:sz w:val="20"/>
          <w:szCs w:val="20"/>
          <w:color w:val="auto"/>
        </w:rPr>
      </w:pPr>
    </w:p>
    <w:tbl>
      <w:tblPr>
        <w:tblLayout w:type="fixed"/>
        <w:tblInd w:w="880" w:type="dxa"/>
        <w:tblCellMar>
          <w:top w:w="0" w:type="dxa"/>
          <w:left w:w="0" w:type="dxa"/>
          <w:bottom w:w="0" w:type="dxa"/>
          <w:right w:w="0" w:type="dxa"/>
        </w:tblCellMar>
      </w:tblPr>
      <w:tr>
        <w:trPr>
          <w:trHeight w:val="185"/>
        </w:trPr>
        <w:tc>
          <w:tcPr>
            <w:tcW w:w="7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40" w:type="dxa"/>
            <w:vAlign w:val="bottom"/>
            <w:gridSpan w:val="3"/>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5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7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752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7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214,315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215,280</w:t>
            </w:r>
          </w:p>
        </w:tc>
        <w:tc>
          <w:tcPr>
            <w:tcW w:w="0" w:type="dxa"/>
            <w:vAlign w:val="bottom"/>
          </w:tcPr>
          <w:p>
            <w:pPr>
              <w:spacing w:after="0"/>
              <w:rPr>
                <w:sz w:val="1"/>
                <w:szCs w:val="1"/>
                <w:color w:val="auto"/>
              </w:rPr>
            </w:pPr>
          </w:p>
        </w:tc>
      </w:tr>
      <w:tr>
        <w:trPr>
          <w:trHeight w:val="197"/>
        </w:trPr>
        <w:tc>
          <w:tcPr>
            <w:tcW w:w="7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88,204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78,163</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56,236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47,527</w:t>
            </w:r>
          </w:p>
        </w:tc>
        <w:tc>
          <w:tcPr>
            <w:tcW w:w="0" w:type="dxa"/>
            <w:vAlign w:val="bottom"/>
          </w:tcPr>
          <w:p>
            <w:pPr>
              <w:spacing w:after="0"/>
              <w:rPr>
                <w:sz w:val="1"/>
                <w:szCs w:val="1"/>
                <w:color w:val="auto"/>
              </w:rPr>
            </w:pPr>
          </w:p>
        </w:tc>
      </w:tr>
      <w:tr>
        <w:trPr>
          <w:trHeight w:val="209"/>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 development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15,406</w:t>
            </w:r>
          </w:p>
        </w:tc>
        <w:tc>
          <w:tcPr>
            <w:tcW w:w="0" w:type="dxa"/>
            <w:vAlign w:val="bottom"/>
          </w:tcPr>
          <w:p>
            <w:pPr>
              <w:spacing w:after="0"/>
              <w:rPr>
                <w:sz w:val="1"/>
                <w:szCs w:val="1"/>
                <w:color w:val="auto"/>
              </w:rPr>
            </w:pPr>
          </w:p>
        </w:tc>
      </w:tr>
      <w:tr>
        <w:trPr>
          <w:trHeight w:val="212"/>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32,078</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33,815</w:t>
            </w:r>
          </w:p>
        </w:tc>
        <w:tc>
          <w:tcPr>
            <w:tcW w:w="0" w:type="dxa"/>
            <w:vAlign w:val="bottom"/>
          </w:tcPr>
          <w:p>
            <w:pPr>
              <w:spacing w:after="0"/>
              <w:rPr>
                <w:sz w:val="1"/>
                <w:szCs w:val="1"/>
                <w:color w:val="auto"/>
              </w:rPr>
            </w:pPr>
          </w:p>
        </w:tc>
      </w:tr>
      <w:tr>
        <w:trPr>
          <w:trHeight w:val="202"/>
        </w:trPr>
        <w:tc>
          <w:tcPr>
            <w:tcW w:w="75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197,569</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174,911</w:t>
            </w:r>
          </w:p>
        </w:tc>
        <w:tc>
          <w:tcPr>
            <w:tcW w:w="0" w:type="dxa"/>
            <w:vAlign w:val="bottom"/>
          </w:tcPr>
          <w:p>
            <w:pPr>
              <w:spacing w:after="0"/>
              <w:rPr>
                <w:sz w:val="1"/>
                <w:szCs w:val="1"/>
                <w:color w:val="auto"/>
              </w:rPr>
            </w:pPr>
          </w:p>
        </w:tc>
      </w:tr>
      <w:tr>
        <w:trPr>
          <w:trHeight w:val="206"/>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16,746</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40,369</w:t>
            </w:r>
          </w:p>
        </w:tc>
        <w:tc>
          <w:tcPr>
            <w:tcW w:w="0" w:type="dxa"/>
            <w:vAlign w:val="bottom"/>
          </w:tcPr>
          <w:p>
            <w:pPr>
              <w:spacing w:after="0"/>
              <w:rPr>
                <w:sz w:val="1"/>
                <w:szCs w:val="1"/>
                <w:color w:val="auto"/>
              </w:rPr>
            </w:pPr>
          </w:p>
        </w:tc>
      </w:tr>
      <w:tr>
        <w:trPr>
          <w:trHeight w:val="20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3,644</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0" w:type="dxa"/>
            <w:vAlign w:val="bottom"/>
          </w:tcPr>
          <w:p>
            <w:pPr>
              <w:spacing w:after="0"/>
              <w:rPr>
                <w:sz w:val="1"/>
                <w:szCs w:val="1"/>
                <w:color w:val="auto"/>
              </w:rPr>
            </w:pPr>
          </w:p>
        </w:tc>
      </w:tr>
      <w:tr>
        <w:trPr>
          <w:trHeight w:val="206"/>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20,390</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41,414</w:t>
            </w:r>
          </w:p>
        </w:tc>
        <w:tc>
          <w:tcPr>
            <w:tcW w:w="0" w:type="dxa"/>
            <w:vAlign w:val="bottom"/>
          </w:tcPr>
          <w:p>
            <w:pPr>
              <w:spacing w:after="0"/>
              <w:rPr>
                <w:sz w:val="1"/>
                <w:szCs w:val="1"/>
                <w:color w:val="auto"/>
              </w:rPr>
            </w:pPr>
          </w:p>
        </w:tc>
      </w:tr>
      <w:tr>
        <w:trPr>
          <w:trHeight w:val="209"/>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4,269</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8,571</w:t>
            </w:r>
          </w:p>
        </w:tc>
        <w:tc>
          <w:tcPr>
            <w:tcW w:w="0" w:type="dxa"/>
            <w:vAlign w:val="bottom"/>
          </w:tcPr>
          <w:p>
            <w:pPr>
              <w:spacing w:after="0"/>
              <w:rPr>
                <w:sz w:val="1"/>
                <w:szCs w:val="1"/>
                <w:color w:val="auto"/>
              </w:rPr>
            </w:pPr>
          </w:p>
        </w:tc>
      </w:tr>
      <w:tr>
        <w:trPr>
          <w:trHeight w:val="204"/>
        </w:trPr>
        <w:tc>
          <w:tcPr>
            <w:tcW w:w="7520" w:type="dxa"/>
            <w:vAlign w:val="bottom"/>
            <w:tcBorders>
              <w:bottom w:val="single" w:sz="8" w:color="CCEEFF"/>
            </w:tcBorders>
            <w:shd w:val="clear" w:color="auto" w:fill="CCEEFF"/>
          </w:tcPr>
          <w:p>
            <w:pPr>
              <w:ind w:left="140"/>
              <w:spacing w:after="0" w:line="179" w:lineRule="exact"/>
              <w:rPr>
                <w:sz w:val="20"/>
                <w:szCs w:val="20"/>
                <w:color w:val="auto"/>
              </w:rPr>
            </w:pPr>
            <w:r>
              <w:rPr>
                <w:rFonts w:ascii="Times New Roman" w:cs="Times New Roman" w:eastAsia="Times New Roman" w:hAnsi="Times New Roman"/>
                <w:sz w:val="16"/>
                <w:szCs w:val="16"/>
                <w:color w:val="auto"/>
              </w:rPr>
              <w:t>Net income</w:t>
            </w:r>
          </w:p>
        </w:tc>
        <w:tc>
          <w:tcPr>
            <w:tcW w:w="400" w:type="dxa"/>
            <w:vAlign w:val="bottom"/>
            <w:tcBorders>
              <w:bottom w:val="single" w:sz="8" w:color="auto"/>
            </w:tcBorders>
            <w:shd w:val="clear" w:color="auto" w:fill="CCEEFF"/>
          </w:tcPr>
          <w:p>
            <w:pPr>
              <w:jc w:val="right"/>
              <w:ind w:right="22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16,121</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81"/>
              <w:spacing w:after="0" w:line="179" w:lineRule="exact"/>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line="179" w:lineRule="exact"/>
              <w:rPr>
                <w:sz w:val="20"/>
                <w:szCs w:val="20"/>
                <w:color w:val="auto"/>
              </w:rPr>
            </w:pPr>
            <w:r>
              <w:rPr>
                <w:rFonts w:ascii="Times New Roman" w:cs="Times New Roman" w:eastAsia="Times New Roman" w:hAnsi="Times New Roman"/>
                <w:sz w:val="16"/>
                <w:szCs w:val="16"/>
                <w:color w:val="auto"/>
              </w:rPr>
              <w:t>32,843</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0.92</w:t>
            </w: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5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35,591</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35,856</w:t>
            </w:r>
          </w:p>
        </w:tc>
        <w:tc>
          <w:tcPr>
            <w:tcW w:w="0" w:type="dxa"/>
            <w:vAlign w:val="bottom"/>
          </w:tcPr>
          <w:p>
            <w:pPr>
              <w:spacing w:after="0"/>
              <w:rPr>
                <w:sz w:val="1"/>
                <w:szCs w:val="1"/>
                <w:color w:val="auto"/>
              </w:rPr>
            </w:pPr>
          </w:p>
        </w:tc>
      </w:tr>
      <w:tr>
        <w:trPr>
          <w:trHeight w:val="23"/>
        </w:trPr>
        <w:tc>
          <w:tcPr>
            <w:tcW w:w="7520" w:type="dxa"/>
            <w:vAlign w:val="bottom"/>
            <w:vMerge w:val="restart"/>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752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spacing w:after="0" w:line="153" w:lineRule="exact"/>
              <w:rPr>
                <w:sz w:val="20"/>
                <w:szCs w:val="20"/>
                <w:color w:val="auto"/>
              </w:rPr>
            </w:pPr>
            <w:r>
              <w:rPr>
                <w:rFonts w:ascii="Times New Roman" w:cs="Times New Roman" w:eastAsia="Times New Roman" w:hAnsi="Times New Roman"/>
                <w:sz w:val="16"/>
                <w:szCs w:val="16"/>
                <w:color w:val="auto"/>
              </w:rPr>
              <w:t>36,066</w:t>
            </w: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spacing w:after="0" w:line="153" w:lineRule="exact"/>
              <w:rPr>
                <w:sz w:val="20"/>
                <w:szCs w:val="20"/>
                <w:color w:val="auto"/>
              </w:rPr>
            </w:pPr>
            <w:r>
              <w:rPr>
                <w:rFonts w:ascii="Times New Roman" w:cs="Times New Roman" w:eastAsia="Times New Roman" w:hAnsi="Times New Roman"/>
                <w:sz w:val="16"/>
                <w:szCs w:val="16"/>
                <w:color w:val="auto"/>
              </w:rPr>
              <w:t>36,575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-117475</wp:posOffset>
            </wp:positionV>
            <wp:extent cx="6450330" cy="167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50330" cy="16700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5337810</wp:posOffset>
            </wp:positionH>
            <wp:positionV relativeFrom="paragraph">
              <wp:posOffset>-73025</wp:posOffset>
            </wp:positionV>
            <wp:extent cx="1671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134620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040"/>
          </w:cols>
          <w:pgMar w:left="420" w:top="121"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4"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77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77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91"/>
        </w:trPr>
        <w:tc>
          <w:tcPr>
            <w:tcW w:w="7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11"/>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16,121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32,843</w:t>
            </w:r>
          </w:p>
        </w:tc>
      </w:tr>
      <w:tr>
        <w:trPr>
          <w:trHeight w:val="209"/>
        </w:trPr>
        <w:tc>
          <w:tcPr>
            <w:tcW w:w="7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(loss) / gain</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w w:val="98"/>
              </w:rPr>
              <w:t>(1,464)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1,419</w:t>
            </w:r>
          </w:p>
        </w:tc>
      </w:tr>
      <w:tr>
        <w:trPr>
          <w:trHeight w:val="206"/>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 income</w:t>
            </w:r>
          </w:p>
        </w:tc>
        <w:tc>
          <w:tcPr>
            <w:tcW w:w="3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w w:val="98"/>
              </w:rPr>
              <w:t>(1,464)</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1,419</w:t>
            </w:r>
          </w:p>
        </w:tc>
      </w:tr>
      <w:tr>
        <w:trPr>
          <w:trHeight w:val="202"/>
        </w:trPr>
        <w:tc>
          <w:tcPr>
            <w:tcW w:w="7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color w:val="auto"/>
              </w:rPr>
              <w:t>14,657</w:t>
            </w:r>
          </w:p>
        </w:tc>
        <w:tc>
          <w:tcPr>
            <w:tcW w:w="120" w:type="dxa"/>
            <w:vAlign w:val="bottom"/>
          </w:tcPr>
          <w:p>
            <w:pPr>
              <w:spacing w:after="0"/>
              <w:rPr>
                <w:sz w:val="17"/>
                <w:szCs w:val="17"/>
                <w:color w:val="auto"/>
              </w:rPr>
            </w:pPr>
          </w:p>
        </w:tc>
        <w:tc>
          <w:tcPr>
            <w:tcW w:w="3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34,262</w:t>
            </w:r>
          </w:p>
        </w:tc>
      </w:tr>
      <w:tr>
        <w:trPr>
          <w:trHeight w:val="21"/>
        </w:trPr>
        <w:tc>
          <w:tcPr>
            <w:tcW w:w="7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134620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440"/>
          </w:cols>
          <w:pgMar w:left="720" w:top="121" w:right="739" w:bottom="1440" w:gutter="0" w:footer="0" w:header="0"/>
        </w:sectPr>
      </w:pPr>
    </w:p>
    <w:bookmarkStart w:id="6" w:name="page7"/>
    <w:bookmarkEnd w:id="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40" w:type="dxa"/>
            <w:vAlign w:val="bottom"/>
          </w:tcPr>
          <w:p>
            <w:pPr>
              <w:spacing w:after="0"/>
              <w:rPr>
                <w:sz w:val="11"/>
                <w:szCs w:val="11"/>
                <w:color w:val="auto"/>
              </w:rPr>
            </w:pPr>
          </w:p>
        </w:tc>
        <w:tc>
          <w:tcPr>
            <w:tcW w:w="16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1780" w:type="dxa"/>
            <w:vAlign w:val="bottom"/>
            <w:gridSpan w:val="5"/>
            <w:vMerge w:val="restart"/>
          </w:tcPr>
          <w:p>
            <w:pPr>
              <w:ind w:left="500"/>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140" w:type="dxa"/>
            <w:vAlign w:val="bottom"/>
          </w:tcPr>
          <w:p>
            <w:pPr>
              <w:spacing w:after="0"/>
              <w:rPr>
                <w:sz w:val="11"/>
                <w:szCs w:val="11"/>
                <w:color w:val="auto"/>
              </w:rPr>
            </w:pPr>
          </w:p>
        </w:tc>
        <w:tc>
          <w:tcPr>
            <w:tcW w:w="8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5"/>
              </w:rPr>
              <w:t>Additional</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2"/>
              </w:rPr>
              <w:t>Accumulated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3840" w:type="dxa"/>
            <w:vAlign w:val="bottom"/>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2"/>
              </w:rPr>
              <w:t>Other</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gridSpan w:val="2"/>
            <w:vMerge w:val="restart"/>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3"/>
              </w:rPr>
              <w:t>Paid-in</w:t>
            </w:r>
          </w:p>
        </w:tc>
        <w:tc>
          <w:tcPr>
            <w:tcW w:w="140" w:type="dxa"/>
            <w:vAlign w:val="bottom"/>
          </w:tcPr>
          <w:p>
            <w:pPr>
              <w:spacing w:after="0"/>
              <w:rPr>
                <w:sz w:val="4"/>
                <w:szCs w:val="4"/>
                <w:color w:val="auto"/>
              </w:rPr>
            </w:pPr>
          </w:p>
        </w:tc>
        <w:tc>
          <w:tcPr>
            <w:tcW w:w="1020" w:type="dxa"/>
            <w:vAlign w:val="bottom"/>
            <w:gridSpan w:val="2"/>
            <w:vMerge w:val="restart"/>
          </w:tcPr>
          <w:p>
            <w:pPr>
              <w:jc w:val="center"/>
              <w:ind w:right="240"/>
              <w:spacing w:after="0" w:line="105" w:lineRule="exact"/>
              <w:rPr>
                <w:sz w:val="20"/>
                <w:szCs w:val="20"/>
                <w:color w:val="auto"/>
              </w:rPr>
            </w:pPr>
            <w:r>
              <w:rPr>
                <w:rFonts w:ascii="Times New Roman" w:cs="Times New Roman" w:eastAsia="Times New Roman" w:hAnsi="Times New Roman"/>
                <w:sz w:val="11"/>
                <w:szCs w:val="11"/>
                <w:b w:val="1"/>
                <w:bCs w:val="1"/>
                <w:color w:val="auto"/>
                <w:w w:val="95"/>
              </w:rPr>
              <w:t>Comprehensive</w:t>
            </w:r>
          </w:p>
        </w:tc>
        <w:tc>
          <w:tcPr>
            <w:tcW w:w="160" w:type="dxa"/>
            <w:vAlign w:val="bottom"/>
          </w:tcPr>
          <w:p>
            <w:pPr>
              <w:spacing w:after="0"/>
              <w:rPr>
                <w:sz w:val="4"/>
                <w:szCs w:val="4"/>
                <w:color w:val="auto"/>
              </w:rPr>
            </w:pPr>
          </w:p>
        </w:tc>
        <w:tc>
          <w:tcPr>
            <w:tcW w:w="820" w:type="dxa"/>
            <w:vAlign w:val="bottom"/>
            <w:gridSpan w:val="2"/>
            <w:vMerge w:val="restart"/>
          </w:tcPr>
          <w:p>
            <w:pPr>
              <w:ind w:left="80"/>
              <w:spacing w:after="0" w:line="105"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840" w:type="dxa"/>
            <w:vAlign w:val="bottom"/>
            <w:vMerge w:val="continue"/>
          </w:tcPr>
          <w:p>
            <w:pPr>
              <w:spacing w:after="0"/>
              <w:rPr>
                <w:sz w:val="2"/>
                <w:szCs w:val="2"/>
                <w:color w:val="auto"/>
              </w:rPr>
            </w:pP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2"/>
                <w:szCs w:val="2"/>
                <w:color w:val="auto"/>
              </w:rPr>
            </w:pPr>
          </w:p>
        </w:tc>
        <w:tc>
          <w:tcPr>
            <w:tcW w:w="70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60" w:type="dxa"/>
            <w:vAlign w:val="bottom"/>
          </w:tcPr>
          <w:p>
            <w:pPr>
              <w:spacing w:after="0"/>
              <w:rPr>
                <w:sz w:val="2"/>
                <w:szCs w:val="2"/>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vMerge w:val="restart"/>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line="20" w:lineRule="exact"/>
              <w:rPr>
                <w:sz w:val="1"/>
                <w:szCs w:val="1"/>
                <w:color w:val="auto"/>
              </w:rPr>
            </w:pPr>
          </w:p>
        </w:tc>
      </w:tr>
      <w:tr>
        <w:trPr>
          <w:trHeight w:val="151"/>
        </w:trPr>
        <w:tc>
          <w:tcPr>
            <w:tcW w:w="384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1"/>
              </w:rPr>
              <w:t>Capital</w:t>
            </w:r>
          </w:p>
        </w:tc>
        <w:tc>
          <w:tcPr>
            <w:tcW w:w="14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Loss</w:t>
            </w:r>
          </w:p>
        </w:tc>
        <w:tc>
          <w:tcPr>
            <w:tcW w:w="16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Earnings</w:t>
            </w:r>
          </w:p>
        </w:tc>
        <w:tc>
          <w:tcPr>
            <w:tcW w:w="2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39,982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4,410</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(228,213)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424,229</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(11,974)</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342,653</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527,094</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11,150</w:t>
            </w:r>
          </w:p>
        </w:tc>
        <w:tc>
          <w:tcPr>
            <w:tcW w:w="0" w:type="dxa"/>
            <w:vAlign w:val="bottom"/>
          </w:tcPr>
          <w:p>
            <w:pPr>
              <w:spacing w:after="0"/>
              <w:rPr>
                <w:sz w:val="1"/>
                <w:szCs w:val="1"/>
                <w:color w:val="auto"/>
              </w:rPr>
            </w:pPr>
          </w:p>
        </w:tc>
      </w:tr>
      <w:tr>
        <w:trPr>
          <w:trHeight w:val="143"/>
        </w:trPr>
        <w:tc>
          <w:tcPr>
            <w:tcW w:w="38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(10,663)</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(1,464)</w:t>
            </w:r>
          </w:p>
        </w:tc>
        <w:tc>
          <w:tcPr>
            <w:tcW w:w="0" w:type="dxa"/>
            <w:vAlign w:val="bottom"/>
          </w:tcPr>
          <w:p>
            <w:pPr>
              <w:spacing w:after="0"/>
              <w:rPr>
                <w:sz w:val="1"/>
                <w:szCs w:val="1"/>
                <w:color w:val="auto"/>
              </w:rPr>
            </w:pPr>
          </w:p>
        </w:tc>
      </w:tr>
      <w:tr>
        <w:trPr>
          <w:trHeight w:val="198"/>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16,121</w:t>
            </w:r>
          </w:p>
        </w:tc>
        <w:tc>
          <w:tcPr>
            <w:tcW w:w="0" w:type="dxa"/>
            <w:vAlign w:val="bottom"/>
          </w:tcPr>
          <w:p>
            <w:pPr>
              <w:spacing w:after="0"/>
              <w:rPr>
                <w:sz w:val="1"/>
                <w:szCs w:val="1"/>
                <w:color w:val="auto"/>
              </w:rPr>
            </w:pPr>
          </w:p>
        </w:tc>
      </w:tr>
      <w:tr>
        <w:trPr>
          <w:trHeight w:val="197"/>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40,013</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4,410</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(228,213)</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434,416</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(13,438)</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348,111</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541,275</w:t>
            </w:r>
          </w:p>
        </w:tc>
        <w:tc>
          <w:tcPr>
            <w:tcW w:w="0" w:type="dxa"/>
            <w:vAlign w:val="bottom"/>
          </w:tcPr>
          <w:p>
            <w:pPr>
              <w:spacing w:after="0"/>
              <w:rPr>
                <w:sz w:val="1"/>
                <w:szCs w:val="1"/>
                <w:color w:val="auto"/>
              </w:rPr>
            </w:pPr>
          </w:p>
        </w:tc>
      </w:tr>
      <w:tr>
        <w:trPr>
          <w:trHeight w:val="39"/>
        </w:trPr>
        <w:tc>
          <w:tcPr>
            <w:tcW w:w="384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2023</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39,605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3,776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(200,008)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391,482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(15,439)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271,051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447,482</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Equity-based compensation</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8,643</w:t>
            </w:r>
          </w:p>
        </w:tc>
        <w:tc>
          <w:tcPr>
            <w:tcW w:w="0" w:type="dxa"/>
            <w:vAlign w:val="bottom"/>
          </w:tcPr>
          <w:p>
            <w:pPr>
              <w:spacing w:after="0"/>
              <w:rPr>
                <w:sz w:val="1"/>
                <w:szCs w:val="1"/>
                <w:color w:val="auto"/>
              </w:rPr>
            </w:pPr>
          </w:p>
        </w:tc>
      </w:tr>
      <w:tr>
        <w:trPr>
          <w:trHeight w:val="143"/>
        </w:trPr>
        <w:tc>
          <w:tcPr>
            <w:tcW w:w="38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Issuance of common stock in connection with employee stock</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4"/>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 exercises and RSU vesting</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4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Common shares withheld for settlement of taxes in connection</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(4,192)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(4,193)</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 equity-based compensation</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dividends paid</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(9,662)</w:t>
            </w:r>
          </w:p>
        </w:tc>
        <w:tc>
          <w:tcPr>
            <w:tcW w:w="0" w:type="dxa"/>
            <w:vAlign w:val="bottom"/>
          </w:tcPr>
          <w:p>
            <w:pPr>
              <w:spacing w:after="0"/>
              <w:rPr>
                <w:sz w:val="1"/>
                <w:szCs w:val="1"/>
                <w:color w:val="auto"/>
              </w:rPr>
            </w:pPr>
          </w:p>
        </w:tc>
      </w:tr>
      <w:tr>
        <w:trPr>
          <w:trHeight w:val="190"/>
        </w:trPr>
        <w:tc>
          <w:tcPr>
            <w:tcW w:w="3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w:t>
            </w:r>
          </w:p>
        </w:tc>
        <w:tc>
          <w:tcPr>
            <w:tcW w:w="0" w:type="dxa"/>
            <w:vAlign w:val="bottom"/>
          </w:tcPr>
          <w:p>
            <w:pPr>
              <w:spacing w:after="0"/>
              <w:rPr>
                <w:sz w:val="1"/>
                <w:szCs w:val="1"/>
                <w:color w:val="auto"/>
              </w:rPr>
            </w:pPr>
          </w:p>
        </w:tc>
      </w:tr>
      <w:tr>
        <w:trPr>
          <w:trHeight w:val="198"/>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income</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32,843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32,843</w:t>
            </w:r>
          </w:p>
        </w:tc>
        <w:tc>
          <w:tcPr>
            <w:tcW w:w="0" w:type="dxa"/>
            <w:vAlign w:val="bottom"/>
          </w:tcPr>
          <w:p>
            <w:pPr>
              <w:spacing w:after="0"/>
              <w:rPr>
                <w:sz w:val="1"/>
                <w:szCs w:val="1"/>
                <w:color w:val="auto"/>
              </w:rPr>
            </w:pPr>
          </w:p>
        </w:tc>
      </w:tr>
      <w:tr>
        <w:trPr>
          <w:trHeight w:val="197"/>
        </w:trPr>
        <w:tc>
          <w:tcPr>
            <w:tcW w:w="3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2023</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39,690</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3,776</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(200,008)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395,934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(14,020)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294,232</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476,534</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4" w:lineRule="exact"/>
        <w:rPr>
          <w:sz w:val="20"/>
          <w:szCs w:val="20"/>
          <w:color w:val="auto"/>
        </w:rPr>
      </w:pPr>
    </w:p>
    <w:p>
      <w:pPr>
        <w:jc w:val="center"/>
        <w:ind w:left="88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5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5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72"/>
        </w:trPr>
        <w:tc>
          <w:tcPr>
            <w:tcW w:w="8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16,121</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32,843</w:t>
            </w:r>
          </w:p>
        </w:tc>
      </w:tr>
      <w:tr>
        <w:trPr>
          <w:trHeight w:val="21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18,896</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8,643</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Bad debt expense</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Unrealized gain on investments</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19,168</w:t>
            </w:r>
          </w:p>
        </w:tc>
      </w:tr>
      <w:tr>
        <w:trPr>
          <w:trHeight w:val="212"/>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Prepaid expenses and other current and non-current assets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5,189</w:t>
            </w:r>
          </w:p>
        </w:tc>
      </w:tr>
      <w:tr>
        <w:trPr>
          <w:trHeight w:val="209"/>
        </w:trPr>
        <w:tc>
          <w:tcPr>
            <w:tcW w:w="85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payable and other current and non-current liabilities</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(20,182)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(12,716)</w:t>
            </w:r>
          </w:p>
        </w:tc>
      </w:tr>
      <w:tr>
        <w:trPr>
          <w:trHeight w:val="212"/>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2,246</w:t>
            </w:r>
          </w:p>
        </w:tc>
      </w:tr>
      <w:tr>
        <w:trPr>
          <w:trHeight w:val="209"/>
        </w:trPr>
        <w:tc>
          <w:tcPr>
            <w:tcW w:w="85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Deferred revenue</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(4,325)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(7,307)</w:t>
            </w:r>
          </w:p>
        </w:tc>
      </w:tr>
      <w:tr>
        <w:trPr>
          <w:trHeight w:val="204"/>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8,300</w:t>
            </w:r>
          </w:p>
        </w:tc>
        <w:tc>
          <w:tcPr>
            <w:tcW w:w="10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66,775</w:t>
            </w:r>
          </w:p>
        </w:tc>
      </w:tr>
      <w:tr>
        <w:trPr>
          <w:trHeight w:val="74"/>
        </w:trPr>
        <w:tc>
          <w:tcPr>
            <w:tcW w:w="8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(12,380)</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Business combination, net of cash acquired</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(19,474)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received related to Giphy Retention Compensation</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18,401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of content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(3,527)</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Security deposit payment</w:t>
            </w:r>
          </w:p>
        </w:tc>
        <w:tc>
          <w:tcPr>
            <w:tcW w:w="4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04"/>
        </w:trPr>
        <w:tc>
          <w:tcPr>
            <w:tcW w:w="8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42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(16,528)</w:t>
            </w: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(15,937)</w:t>
            </w:r>
          </w:p>
        </w:tc>
      </w:tr>
      <w:tr>
        <w:trPr>
          <w:trHeight w:val="74"/>
        </w:trPr>
        <w:tc>
          <w:tcPr>
            <w:tcW w:w="8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4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related to settlement of employee taxes related to RSU vesting</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(11,008)</w:t>
            </w:r>
          </w:p>
        </w:tc>
      </w:tr>
      <w:tr>
        <w:trPr>
          <w:trHeight w:val="209"/>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 of cash dividends</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(9,662)</w:t>
            </w:r>
          </w:p>
        </w:tc>
      </w:tr>
      <w:tr>
        <w:trPr>
          <w:trHeight w:val="21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 of credit facility</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02"/>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42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(18,629)</w:t>
            </w:r>
          </w:p>
        </w:tc>
        <w:tc>
          <w:tcPr>
            <w:tcW w:w="100" w:type="dxa"/>
            <w:vAlign w:val="bottom"/>
            <w:tcBorders>
              <w:bottom w:val="single" w:sz="8" w:color="CCEEFF"/>
            </w:tcBorders>
          </w:tcPr>
          <w:p>
            <w:pPr>
              <w:spacing w:after="0"/>
              <w:rPr>
                <w:sz w:val="17"/>
                <w:szCs w:val="17"/>
                <w:color w:val="auto"/>
              </w:rPr>
            </w:pPr>
          </w:p>
        </w:tc>
        <w:tc>
          <w:tcPr>
            <w:tcW w:w="42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(70,667)</w:t>
            </w:r>
          </w:p>
        </w:tc>
      </w:tr>
      <w:tr>
        <w:trPr>
          <w:trHeight w:val="74"/>
        </w:trPr>
        <w:tc>
          <w:tcPr>
            <w:tcW w:w="85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r>
      <w:tr>
        <w:trPr>
          <w:trHeight w:val="209"/>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w:t>
            </w:r>
          </w:p>
        </w:tc>
      </w:tr>
      <w:tr>
        <w:trPr>
          <w:trHeight w:val="206"/>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(28,679)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(19,322)</w:t>
            </w:r>
          </w:p>
        </w:tc>
      </w:tr>
      <w:tr>
        <w:trPr>
          <w:trHeight w:val="92"/>
        </w:trPr>
        <w:tc>
          <w:tcPr>
            <w:tcW w:w="8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100,490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115,154</w:t>
            </w:r>
          </w:p>
        </w:tc>
      </w:tr>
      <w:tr>
        <w:trPr>
          <w:trHeight w:val="202"/>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71,811</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95,832</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60"/>
        </w:trPr>
        <w:tc>
          <w:tcPr>
            <w:tcW w:w="85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r>
      <w:tr>
        <w:trPr>
          <w:trHeight w:val="210"/>
        </w:trPr>
        <w:tc>
          <w:tcPr>
            <w:tcW w:w="8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Information:</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1"/>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 (received) for income taxes</w:t>
            </w: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(5,150)</w:t>
            </w:r>
          </w:p>
        </w:tc>
      </w:tr>
      <w:tr>
        <w:trPr>
          <w:trHeight w:val="207"/>
        </w:trPr>
        <w:tc>
          <w:tcPr>
            <w:tcW w:w="85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for interest</w:t>
            </w: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r>
    </w:tbl>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Unaudited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Operations and Significant Accounting Policies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Operations</w:t>
      </w:r>
    </w:p>
    <w:p>
      <w:pPr>
        <w:spacing w:after="0" w:line="15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Shutterstock, Inc. (the “Company” or “Shutterstock”) is a leading global creative platform connecting brands and businesses to high quality content.</w:t>
      </w:r>
    </w:p>
    <w:p>
      <w:pPr>
        <w:spacing w:after="0" w:line="135"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The Company’s platform brings together users and contributors of content by providing readily-searchable content that customers pay to license and by compensating contributors as their content is licensed. Contributors upload their content to the Company’s web properties in exchange for royalty payments based on customer download activity. Beyond content, customers also leverage the Company’s platform to assist with the entire creative process from ideation through creative execution.</w:t>
      </w:r>
    </w:p>
    <w:p>
      <w:pPr>
        <w:spacing w:after="0" w:line="118" w:lineRule="exact"/>
        <w:rPr>
          <w:sz w:val="20"/>
          <w:szCs w:val="20"/>
          <w:color w:val="auto"/>
        </w:rPr>
      </w:pPr>
    </w:p>
    <w:p>
      <w:pPr>
        <w:jc w:val="both"/>
        <w:ind w:right="520" w:firstLine="395"/>
        <w:spacing w:after="0" w:line="256" w:lineRule="auto"/>
        <w:rPr>
          <w:sz w:val="20"/>
          <w:szCs w:val="20"/>
          <w:color w:val="auto"/>
        </w:rPr>
      </w:pPr>
      <w:r>
        <w:rPr>
          <w:rFonts w:ascii="Times New Roman" w:cs="Times New Roman" w:eastAsia="Times New Roman" w:hAnsi="Times New Roman"/>
          <w:sz w:val="18"/>
          <w:szCs w:val="18"/>
          <w:color w:val="auto"/>
        </w:rPr>
        <w:t>Digital content licensed to customers for their creative needs includes images, footage, music, and 3D models (the Company’s “Content” offering). Content revenues represent the majority of the Company’s business and are supported by the Company’s searchable creative platform and driven by the Company’s large contributor network.</w:t>
      </w:r>
    </w:p>
    <w:p>
      <w:pPr>
        <w:spacing w:after="0" w:line="114"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In addition, customers have needs that are beyond traditional content license products and services. These include (i) licenses to metadata associated with the Company’s images, footage, music tracks and 3D models through the Company’s data offering, (ii) distribution and advertising services from the Company’s Giphy business, which consists of GIFs (graphics interchange format visuals) that serve as a critical ingredient in text- and message- based conversations and in contextual advertising settings, (iii) specialized solutions for high-quality content matched with production tools and services through Shutterstock Studios and (iv) other tailored white-glove services (collectively, the Company’s “Data, Distribution, and Services” offerings).</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Content offering includes:</w:t>
      </w:r>
    </w:p>
    <w:p>
      <w:pPr>
        <w:spacing w:after="0" w:line="148" w:lineRule="exact"/>
        <w:rPr>
          <w:sz w:val="20"/>
          <w:szCs w:val="20"/>
          <w:color w:val="auto"/>
        </w:rPr>
      </w:pPr>
    </w:p>
    <w:p>
      <w:pPr>
        <w:ind w:left="720" w:right="120" w:hanging="320"/>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103" w:lineRule="exact"/>
        <w:rPr>
          <w:rFonts w:ascii="Times New Roman" w:cs="Times New Roman" w:eastAsia="Times New Roman" w:hAnsi="Times New Roman"/>
          <w:sz w:val="18"/>
          <w:szCs w:val="18"/>
          <w:color w:val="auto"/>
        </w:rPr>
      </w:pPr>
    </w:p>
    <w:p>
      <w:pPr>
        <w:ind w:left="720" w:right="320" w:hanging="320"/>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90" w:lineRule="exact"/>
        <w:rPr>
          <w:rFonts w:ascii="Times New Roman" w:cs="Times New Roman" w:eastAsia="Times New Roman" w:hAnsi="Times New Roman"/>
          <w:sz w:val="18"/>
          <w:szCs w:val="18"/>
          <w:color w:val="auto"/>
        </w:rPr>
      </w:pPr>
    </w:p>
    <w:p>
      <w:pPr>
        <w:ind w:left="720" w:hanging="320"/>
        <w:spacing w:after="0"/>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48" w:lineRule="exact"/>
        <w:rPr>
          <w:rFonts w:ascii="Times New Roman" w:cs="Times New Roman" w:eastAsia="Times New Roman" w:hAnsi="Times New Roman"/>
          <w:sz w:val="18"/>
          <w:szCs w:val="18"/>
          <w:color w:val="auto"/>
        </w:rPr>
      </w:pPr>
    </w:p>
    <w:p>
      <w:pPr>
        <w:ind w:left="720" w:right="300" w:hanging="320"/>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Dimensional (“3D”) Models - consisting of 3D models, used in a variety of industries such as advertising, media and video production, gaming, retail, education, design and architecture.</w:t>
      </w:r>
    </w:p>
    <w:p>
      <w:pPr>
        <w:spacing w:after="0" w:line="103" w:lineRule="exact"/>
        <w:rPr>
          <w:rFonts w:ascii="Times New Roman" w:cs="Times New Roman" w:eastAsia="Times New Roman" w:hAnsi="Times New Roman"/>
          <w:sz w:val="18"/>
          <w:szCs w:val="18"/>
          <w:color w:val="auto"/>
        </w:rPr>
      </w:pPr>
    </w:p>
    <w:p>
      <w:pPr>
        <w:ind w:left="720" w:right="60" w:hanging="320"/>
        <w:spacing w:after="0" w:line="268" w:lineRule="auto"/>
        <w:tabs>
          <w:tab w:leader="none" w:pos="7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Generative AI Content - consisting of images generated from algorithms trained with high-quality, ethically sourced content. Customers can generate images by entering a description of their desired content into model prompts.</w:t>
      </w:r>
    </w:p>
    <w:p>
      <w:pPr>
        <w:spacing w:after="0" w:line="90" w:lineRule="exact"/>
        <w:rPr>
          <w:sz w:val="20"/>
          <w:szCs w:val="20"/>
          <w:color w:val="auto"/>
        </w:rPr>
      </w:pPr>
    </w:p>
    <w:p>
      <w:pPr>
        <w:ind w:right="440" w:firstLine="632"/>
        <w:spacing w:after="0" w:line="268" w:lineRule="auto"/>
        <w:rPr>
          <w:sz w:val="20"/>
          <w:szCs w:val="20"/>
          <w:color w:val="auto"/>
        </w:rPr>
      </w:pPr>
      <w:r>
        <w:rPr>
          <w:rFonts w:ascii="Times New Roman" w:cs="Times New Roman" w:eastAsia="Times New Roman" w:hAnsi="Times New Roman"/>
          <w:sz w:val="18"/>
          <w:szCs w:val="18"/>
          <w:color w:val="auto"/>
        </w:rPr>
        <w:t>On February 1, 2024, the Company acquired Backgrid USA, Inc. and Backgrid London, Ltd. (collectively “Backgrid”). Backgrid supplies media organizations with real-time celebrity content. See Note 3 Acquisitions.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52" w:lineRule="exact"/>
        <w:rPr>
          <w:sz w:val="20"/>
          <w:szCs w:val="20"/>
          <w:color w:val="auto"/>
        </w:rPr>
      </w:pPr>
    </w:p>
    <w:p>
      <w:pPr>
        <w:ind w:right="380" w:firstLine="395"/>
        <w:spacing w:after="0" w:line="303" w:lineRule="auto"/>
        <w:rPr>
          <w:sz w:val="20"/>
          <w:szCs w:val="20"/>
          <w:color w:val="auto"/>
        </w:rPr>
      </w:pPr>
      <w:r>
        <w:rPr>
          <w:rFonts w:ascii="Times New Roman" w:cs="Times New Roman" w:eastAsia="Times New Roman" w:hAnsi="Times New Roman"/>
          <w:sz w:val="16"/>
          <w:szCs w:val="16"/>
          <w:color w:val="auto"/>
        </w:rPr>
        <w:t>The unaudited condensed consolidated financial statements and accompanying notes have been prepared in accordance with accounting principles generally accepted in the United States of America (“GAAP”) for interim financial information and with the instructions to Form 10-Q and Article 10 of Regulation S-X. Accordingly, these financial statements do not include all information and footnotes required by GAAP for complete financial statements.</w:t>
      </w:r>
    </w:p>
    <w:p>
      <w:pPr>
        <w:spacing w:after="0" w:line="40"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The interim Consolidated Balance Sheet as of March 31, 2024, and the Consolidated Statements of Operations, Comprehensive Income and Stockholders’ Equity for the three months ended March 31, 2024 and 2023, and the Consolidated Statements of Cash Flows for the three months ended March 31, 2024 and 2023 are unaudited. The Consolidated Balance Sheet as of December 31, 2023, included herein, was derived from the audited financial statements as of that date, but does not include all disclosures required by GAAP. These unaudited interim financial statements have been prepared on a basis consistent with the Company’s annual financial statements and, in the opinion of management, reflect all adjustments, which include all normal recurring adjustments necessary to fairly state the Company’s financial position as of March 31, 2024, and</w:t>
      </w:r>
    </w:p>
    <w:p>
      <w:pPr>
        <w:spacing w:after="0" w:line="200" w:lineRule="exact"/>
        <w:rPr>
          <w:sz w:val="20"/>
          <w:szCs w:val="20"/>
          <w:color w:val="auto"/>
        </w:rPr>
      </w:pPr>
    </w:p>
    <w:p>
      <w:pPr>
        <w:spacing w:after="0" w:line="354"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its consolidated results of operations, comprehensive income, stockholders’ equity and cash flows for the three months ended March 31, 2024 and 2023. The financial data and the other financial information disclosed in the notes to the financial statements related to these periods are also unaudited. The results of operations for the three months ended March 31, 2024 are not necessarily indicative of the results to be expected for the fiscal year ending December 31, 2024 or for any other future annual or interim period.</w:t>
      </w:r>
    </w:p>
    <w:p>
      <w:pPr>
        <w:spacing w:after="0" w:line="78" w:lineRule="exact"/>
        <w:rPr>
          <w:sz w:val="20"/>
          <w:szCs w:val="20"/>
          <w:color w:val="auto"/>
        </w:rPr>
      </w:pPr>
    </w:p>
    <w:p>
      <w:pPr>
        <w:ind w:right="20" w:firstLine="395"/>
        <w:spacing w:after="0" w:line="250" w:lineRule="auto"/>
        <w:rPr>
          <w:sz w:val="20"/>
          <w:szCs w:val="20"/>
          <w:color w:val="auto"/>
        </w:rPr>
      </w:pPr>
      <w:r>
        <w:rPr>
          <w:rFonts w:ascii="Times New Roman" w:cs="Times New Roman" w:eastAsia="Times New Roman" w:hAnsi="Times New Roman"/>
          <w:sz w:val="18"/>
          <w:szCs w:val="18"/>
          <w:color w:val="auto"/>
        </w:rPr>
        <w:t>These financial statements should be read in conjunction with the Company’s audited consolidated financial statements and notes thereto as of and for the year ended December 31, 2023 included in the Company’s Annual Report on Form 10-K, which was filed with the SEC on February 26, 2024. The unaudited consolidated financial statements include the accounts of the Company and its wholly owned subsidiaries. All intercompany balances and transactions have been eliminated in consolidation. Certain immaterial changes in presentation have been made to conform the prior period presentation to current period reporting.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3" w:lineRule="exact"/>
        <w:rPr>
          <w:sz w:val="20"/>
          <w:szCs w:val="20"/>
          <w:color w:val="auto"/>
        </w:rPr>
      </w:pPr>
    </w:p>
    <w:p>
      <w:pPr>
        <w:ind w:right="140" w:firstLine="395"/>
        <w:spacing w:after="0" w:line="249"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amounts reported and disclosed in the financial statements. Actual results could differ from those estimates. Such estimates include, but are not limited to, the determination of the allowance for doubtful accounts, the volume of expected unused licenses for our subscription-based products, the assessment of recoverability of property and equipment, the fair value of acquired goodwill and intangible assets, the amount of non-cash equity-based compensation, the assessment of recoverability of deferred tax assets, the measurement of income tax and contingent non-income tax liabilities and the determination of the incremental borrowing rate used to calculate the lease liability.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cash and cash equivalents consist primarily of bank deposits.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113"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The Company’s accounts receivable consists of customer obligations due under normal trade terms, carried at their face value less an allowance for doubtful accounts, if required. The Company determines its allowance for doubtful accounts and credit losses based on an evaluation of (i) the aging of its accounts receivable considering historical receivables loss rates, (ii) on a customer-by-customer basis, where appropriate, and (iii) the economic environments in which the Company operates.</w:t>
      </w:r>
    </w:p>
    <w:p>
      <w:pPr>
        <w:spacing w:after="0" w:line="118"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For certain Data, Distribution, and Services transactions, the Company has $52.2 million of unbilled receivables of which $25.4 million are recorded in Accounts Receivable and $26.8 million are recorded in Other Assets, as of March 31, 2024.</w:t>
      </w:r>
    </w:p>
    <w:p>
      <w:pPr>
        <w:spacing w:after="0" w:line="90"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2024, the Company recorded bad debt recovery of $1.5 million. As of March 31, 2024 and December 31, 2023, the Company’s allowance for doubtful accounts was approximately $4.9 million and $6.3 million, respectively. The allowance for doubtful accounts is included as a reduction of accounts receivable on the Consolidated Balance Sheets.</w:t>
      </w:r>
    </w:p>
    <w:p>
      <w:pPr>
        <w:spacing w:after="0" w:line="75" w:lineRule="exact"/>
        <w:rPr>
          <w:sz w:val="20"/>
          <w:szCs w:val="20"/>
          <w:color w:val="auto"/>
        </w:rPr>
      </w:pPr>
    </w:p>
    <w:p>
      <w:pPr>
        <w:ind w:right="60" w:firstLine="395"/>
        <w:spacing w:after="0" w:line="252" w:lineRule="auto"/>
        <w:rPr>
          <w:sz w:val="20"/>
          <w:szCs w:val="20"/>
          <w:color w:val="auto"/>
        </w:rPr>
      </w:pPr>
      <w:r>
        <w:rPr>
          <w:rFonts w:ascii="Times New Roman" w:cs="Times New Roman" w:eastAsia="Times New Roman" w:hAnsi="Times New Roman"/>
          <w:sz w:val="18"/>
          <w:szCs w:val="18"/>
          <w:color w:val="auto"/>
        </w:rPr>
        <w:t>The Company has certain customer arrangements that contain financing elements. Interest income earned from these financing receivables is recorded on the effective interest method and is included within interest income on the Consolidated Statements of Operations. As of March 31, 2024 and December 31, 2023, approximately $7.8 million and $16.0 million of financing receivables, respectively, were included in accounts receivable and other assets on the Consolidated Balance Sheets.</w:t>
      </w:r>
    </w:p>
    <w:p>
      <w:pPr>
        <w:spacing w:after="0" w:line="78" w:lineRule="exact"/>
        <w:rPr>
          <w:sz w:val="20"/>
          <w:szCs w:val="20"/>
          <w:color w:val="auto"/>
        </w:rPr>
      </w:pPr>
    </w:p>
    <w:p>
      <w:pPr>
        <w:ind w:right="120" w:firstLine="395"/>
        <w:spacing w:after="0" w:line="268" w:lineRule="auto"/>
        <w:rPr>
          <w:sz w:val="20"/>
          <w:szCs w:val="20"/>
          <w:color w:val="auto"/>
        </w:rPr>
      </w:pPr>
      <w:r>
        <w:rPr>
          <w:rFonts w:ascii="Times New Roman" w:cs="Times New Roman" w:eastAsia="Times New Roman" w:hAnsi="Times New Roman"/>
          <w:sz w:val="18"/>
          <w:szCs w:val="18"/>
          <w:color w:val="auto"/>
        </w:rPr>
        <w:t>In addition, as of March 31, 2024, one customer accounted for approximately 18% of the accounts receivable balance and as of December 31, 2023, two customers accounted for a total of 29% of the accounts receivable balance.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Chargeback and Sales Refund Allowance</w:t>
      </w:r>
    </w:p>
    <w:p>
      <w:pPr>
        <w:spacing w:after="0" w:line="113" w:lineRule="exact"/>
        <w:rPr>
          <w:sz w:val="20"/>
          <w:szCs w:val="20"/>
          <w:color w:val="auto"/>
        </w:rPr>
      </w:pPr>
    </w:p>
    <w:p>
      <w:pPr>
        <w:ind w:right="420" w:firstLine="395"/>
        <w:spacing w:after="0" w:line="303" w:lineRule="auto"/>
        <w:rPr>
          <w:sz w:val="20"/>
          <w:szCs w:val="20"/>
          <w:color w:val="auto"/>
        </w:rPr>
      </w:pPr>
      <w:r>
        <w:rPr>
          <w:rFonts w:ascii="Times New Roman" w:cs="Times New Roman" w:eastAsia="Times New Roman" w:hAnsi="Times New Roman"/>
          <w:sz w:val="16"/>
          <w:szCs w:val="16"/>
          <w:color w:val="auto"/>
        </w:rPr>
        <w:t>The Company establishes a chargeback allowance and sales refund reserve allowance based on factors surrounding historical credit card chargeback trends, historical sales refund trends and other information. As of March 31, 2024 and December 31, 2023, the Company’s combined allowance for chargebacks and sales refunds was $0.4 million, which was included as a component of other current liabilities on the Consolidated Balance Sheets.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3" w:lineRule="exact"/>
        <w:rPr>
          <w:sz w:val="20"/>
          <w:szCs w:val="20"/>
          <w:color w:val="auto"/>
        </w:rPr>
      </w:pPr>
    </w:p>
    <w:p>
      <w:pPr>
        <w:ind w:right="260" w:firstLine="395"/>
        <w:spacing w:after="0" w:line="268" w:lineRule="auto"/>
        <w:rPr>
          <w:sz w:val="20"/>
          <w:szCs w:val="20"/>
          <w:color w:val="auto"/>
        </w:rPr>
      </w:pPr>
      <w:r>
        <w:rPr>
          <w:rFonts w:ascii="Times New Roman" w:cs="Times New Roman" w:eastAsia="Times New Roman" w:hAnsi="Times New Roman"/>
          <w:sz w:val="18"/>
          <w:szCs w:val="18"/>
          <w:color w:val="auto"/>
        </w:rPr>
        <w:t>A significant portion of the Company’s revenue is earned from the license of content. Content licenses are generally purchased on a monthly or annual basis, whereby a customer pays for a predetermined quantity of content that may be</w:t>
      </w:r>
    </w:p>
    <w:p>
      <w:pPr>
        <w:spacing w:after="0" w:line="200" w:lineRule="exact"/>
        <w:rPr>
          <w:sz w:val="20"/>
          <w:szCs w:val="20"/>
          <w:color w:val="auto"/>
        </w:rPr>
      </w:pPr>
    </w:p>
    <w:p>
      <w:pPr>
        <w:spacing w:after="0" w:line="37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color w:val="auto"/>
        </w:rPr>
        <w:t>downloaded over a specific period of time, or, on a transactional basis, whereby a customer pays for individual content licenses at the time of download. The Company also generates revenue from tools available through the Company’s platform.</w:t>
      </w:r>
    </w:p>
    <w:p>
      <w:pPr>
        <w:spacing w:after="0" w:line="104"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For contracts that contain multiple performance obligations, the Company allocates the transaction price to each performance obligation based on a relative standalone selling price. The standalone selling price is determined based on the price at which the performance obligation is sold separately, or if not observable through past transactions, is estimated taking into account available information including internally approved pricing guidelines and pricing information of comparable products.</w:t>
      </w:r>
    </w:p>
    <w:p>
      <w:pPr>
        <w:spacing w:after="0" w:line="78" w:lineRule="exact"/>
        <w:rPr>
          <w:sz w:val="20"/>
          <w:szCs w:val="20"/>
          <w:color w:val="auto"/>
        </w:rPr>
      </w:pPr>
    </w:p>
    <w:p>
      <w:pPr>
        <w:ind w:right="80" w:firstLine="395"/>
        <w:spacing w:after="0" w:line="248" w:lineRule="auto"/>
        <w:rPr>
          <w:sz w:val="20"/>
          <w:szCs w:val="20"/>
          <w:color w:val="auto"/>
        </w:rPr>
      </w:pPr>
      <w:r>
        <w:rPr>
          <w:rFonts w:ascii="Times New Roman" w:cs="Times New Roman" w:eastAsia="Times New Roman" w:hAnsi="Times New Roman"/>
          <w:sz w:val="18"/>
          <w:szCs w:val="18"/>
          <w:color w:val="auto"/>
        </w:rPr>
        <w:t>The Company recognizes revenue upon the satisfaction of performance obligations. The Company recognizes revenue on both its subscription-based and transaction-based products when content is downloaded by a customer, at which time the license is provided. In addition, the Company estimates expected unused licenses for subscription-based products and recognizes the revenue associated with the unused licenses as digital content is downloaded and licenses are obtained for such content by the customer during the subscription period. The estimate of unused licenses is based on historical download activity and future changes in the estimate could impact the timing of revenue recognition of the Company’s subscription products. For revenue associated with tools available through the Company’s platform, revenue is recognized on a straight-line basis over the subscription period. The Company expenses contract acquisition costs as incurred, to the extent that the amortization period would otherwise be one year or less.</w:t>
      </w:r>
    </w:p>
    <w:p>
      <w:pPr>
        <w:spacing w:after="0" w:line="108"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Collectability is probable at the time the electronic order or contract is entered. A significant portion of the Company’s customers purchase products by making electronic payments with a credit card at the time of the transaction. Customer payments received in advance of revenue recognition are contract liabilities and are recorded as deferred revenue. Customers that do not pay in advance are invoiced and are required to make payments under standard credit terms. Collectability for customers who pay on credit terms allowing for payment beyond the date at which service commences, is based on a credit evaluation for certain new customers and transaction history with existing customers.</w:t>
      </w:r>
    </w:p>
    <w:p>
      <w:pPr>
        <w:spacing w:after="0" w:line="119"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The Company recognizes revenue gross of contributor royalties because the Company is the principal in the transaction as it is the party responsible for the performance obligation and it controls the product or service before transferring it to the customer. The Company also licenses content to customers through third-party resellers. Third-party resellers sell the Company’s products directly to customers as the principal in those transactions. Accordingly, the Company recognizes revenue net of costs paid to resellers.</w:t>
      </w:r>
    </w:p>
    <w:p>
      <w:pPr>
        <w:spacing w:after="0" w:line="11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also reports revenue net of return and chargeback allowances. These allowances are based off historical trends when available.</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Fair Value Measurements and Long-term Investments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13" w:lineRule="exact"/>
        <w:rPr>
          <w:sz w:val="20"/>
          <w:szCs w:val="20"/>
          <w:color w:val="auto"/>
        </w:rPr>
      </w:pPr>
    </w:p>
    <w:p>
      <w:pPr>
        <w:ind w:right="220" w:firstLine="395"/>
        <w:spacing w:after="0" w:line="366" w:lineRule="auto"/>
        <w:rPr>
          <w:sz w:val="20"/>
          <w:szCs w:val="20"/>
          <w:color w:val="auto"/>
        </w:rPr>
      </w:pPr>
      <w:r>
        <w:rPr>
          <w:rFonts w:ascii="Times New Roman" w:cs="Times New Roman" w:eastAsia="Times New Roman" w:hAnsi="Times New Roman"/>
          <w:sz w:val="18"/>
          <w:szCs w:val="18"/>
          <w:color w:val="auto"/>
        </w:rPr>
        <w:t xml:space="preserve">The Company had no assets or liabilities requiring fair value hierarchy disclosures as of March 31, 2024 or December 31, 2023, except as noted below. </w:t>
      </w:r>
      <w:r>
        <w:rPr>
          <w:rFonts w:ascii="Times New Roman" w:cs="Times New Roman" w:eastAsia="Times New Roman" w:hAnsi="Times New Roman"/>
          <w:sz w:val="18"/>
          <w:szCs w:val="18"/>
          <w:i w:val="1"/>
          <w:iCs w:val="1"/>
          <w:color w:val="auto"/>
        </w:rPr>
        <w:t>Other Fair Value Measurements</w:t>
      </w:r>
    </w:p>
    <w:p>
      <w:pPr>
        <w:ind w:firstLine="395"/>
        <w:spacing w:after="0" w:line="249"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accrued expenses approximate fair value because of the short-term nature of these instruments. Debt consists of principal amounts outstanding under our credit facility, which approximates fair value as underlying interest rates are reset regularly based on current market rates and is classified as Level 2. The Company’s non-financial assets, which include long-lived assets, intangible assets and goodwill, are not required to be measured at fair value on a recurring basis. However, if the Company is required to evaluate a non-financial asset for impairment, whether due to certain triggering events or because annual impairment testing is required, a resulting asset impairment would require that the non-financial asset be recorded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Investments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 Meitu, Inc. (“Meitu”)</w:t>
      </w:r>
    </w:p>
    <w:p>
      <w:pPr>
        <w:spacing w:after="0" w:line="137" w:lineRule="exact"/>
        <w:rPr>
          <w:sz w:val="20"/>
          <w:szCs w:val="20"/>
          <w:color w:val="auto"/>
        </w:rPr>
      </w:pPr>
    </w:p>
    <w:p>
      <w:pPr>
        <w:ind w:right="160" w:firstLine="395"/>
        <w:spacing w:after="0" w:line="250" w:lineRule="auto"/>
        <w:rPr>
          <w:sz w:val="20"/>
          <w:szCs w:val="20"/>
          <w:color w:val="auto"/>
        </w:rPr>
      </w:pPr>
      <w:r>
        <w:rPr>
          <w:rFonts w:ascii="Times New Roman" w:cs="Times New Roman" w:eastAsia="Times New Roman" w:hAnsi="Times New Roman"/>
          <w:sz w:val="18"/>
          <w:szCs w:val="18"/>
          <w:color w:val="auto"/>
        </w:rPr>
        <w:t>In 2018, the Company invested $15.0 million in convertible preferred shares issued by ZCool Technologies Limited (“ZCool”) (the “Preferred Shares”). ZCool’s primary business is the operation of an e-commerce platform in the People’s Republic of China (the “PRC”) whereby customers can pay to license content contributed by creative professionals. ZCool and its affiliates have been the exclusive distributor of Shutterstock content in China since 2014. The Company used the measurement alternative and the investment in ZCool was reported at cost, adjusted for impairments or any observable price changes in ordinary transactions with identical or similar investments.</w:t>
      </w:r>
    </w:p>
    <w:p>
      <w:pPr>
        <w:spacing w:after="0" w:line="80" w:lineRule="exact"/>
        <w:rPr>
          <w:sz w:val="20"/>
          <w:szCs w:val="20"/>
          <w:color w:val="auto"/>
        </w:rPr>
      </w:pPr>
    </w:p>
    <w:p>
      <w:pPr>
        <w:ind w:right="120" w:firstLine="395"/>
        <w:spacing w:after="0" w:line="249" w:lineRule="auto"/>
        <w:rPr>
          <w:sz w:val="20"/>
          <w:szCs w:val="20"/>
          <w:color w:val="auto"/>
        </w:rPr>
      </w:pPr>
      <w:r>
        <w:rPr>
          <w:rFonts w:ascii="Times New Roman" w:cs="Times New Roman" w:eastAsia="Times New Roman" w:hAnsi="Times New Roman"/>
          <w:sz w:val="18"/>
          <w:szCs w:val="18"/>
          <w:color w:val="auto"/>
        </w:rPr>
        <w:t>On March 27, 2024, ZCool was acquired by Meitu, and the Company’s Preferred Shares in ZCool were exchanged for $18.4 million of Meitu common shares, resulting in an investment carrying value increase of $3.4 million, which is recorded in Other income, net in the Consolidated Statement of Operations. Meitu’s primary business is the provision of online advertising and other internet value added services in the PRC, and its common shares are publicly traded on the Main Board of The Stock Exchange of Hong Kong Limited. This investment will be recorded at fair value on a recurring basis, with changes in fair value being recorded in Other income, net in the Consolidated Statement of Operations. Its fair value level hierarchy and amount at March 31, 2024 are as follows:</w:t>
      </w:r>
    </w:p>
    <w:p>
      <w:pPr>
        <w:spacing w:after="0" w:line="200" w:lineRule="exact"/>
        <w:rPr>
          <w:sz w:val="20"/>
          <w:szCs w:val="20"/>
          <w:color w:val="auto"/>
        </w:rPr>
      </w:pPr>
    </w:p>
    <w:p>
      <w:pPr>
        <w:spacing w:after="0" w:line="255"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9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center"/>
              <w:ind w:right="64"/>
              <w:spacing w:after="0"/>
              <w:rPr>
                <w:sz w:val="20"/>
                <w:szCs w:val="20"/>
                <w:color w:val="auto"/>
              </w:rPr>
            </w:pPr>
            <w:r>
              <w:rPr>
                <w:rFonts w:ascii="Times New Roman" w:cs="Times New Roman" w:eastAsia="Times New Roman" w:hAnsi="Times New Roman"/>
                <w:sz w:val="14"/>
                <w:szCs w:val="14"/>
                <w:b w:val="1"/>
                <w:bCs w:val="1"/>
                <w:color w:val="auto"/>
              </w:rPr>
              <w:t>As of March 31, 2024</w:t>
            </w:r>
          </w:p>
        </w:tc>
      </w:tr>
      <w:tr>
        <w:trPr>
          <w:trHeight w:val="24"/>
        </w:trPr>
        <w:tc>
          <w:tcPr>
            <w:tcW w:w="9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04"/>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Hierarchy Level:</w:t>
            </w: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jc w:val="center"/>
              <w:ind w:right="84"/>
              <w:spacing w:after="0"/>
              <w:rPr>
                <w:sz w:val="20"/>
                <w:szCs w:val="20"/>
                <w:color w:val="auto"/>
              </w:rPr>
            </w:pPr>
            <w:r>
              <w:rPr>
                <w:rFonts w:ascii="Times New Roman" w:cs="Times New Roman" w:eastAsia="Times New Roman" w:hAnsi="Times New Roman"/>
                <w:sz w:val="16"/>
                <w:szCs w:val="16"/>
                <w:b w:val="1"/>
                <w:bCs w:val="1"/>
                <w:color w:val="auto"/>
                <w:w w:val="95"/>
              </w:rPr>
              <w:t>Fair Value</w:t>
            </w:r>
          </w:p>
        </w:tc>
      </w:tr>
      <w:tr>
        <w:trPr>
          <w:trHeight w:val="207"/>
        </w:trPr>
        <w:tc>
          <w:tcPr>
            <w:tcW w:w="9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Level 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18,755</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Long-Term Investment</w:t>
      </w:r>
    </w:p>
    <w:p>
      <w:pPr>
        <w:spacing w:after="0" w:line="137"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As of March 31, 2024 and December 31, 2023, the Company also had a long-term investment in an equity security with no readily determinable fair value totaling $5.0 million. The Company uses the measurement alternative for fair value and the investment’s carrying value is reported at cost, adjusted for impairments or any observable price changes in ordinary transactions with identical or similar investments.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Contract</w:t>
      </w:r>
    </w:p>
    <w:p>
      <w:pPr>
        <w:spacing w:after="0" w:line="150" w:lineRule="exact"/>
        <w:rPr>
          <w:sz w:val="20"/>
          <w:szCs w:val="20"/>
          <w:color w:val="auto"/>
        </w:rPr>
      </w:pPr>
    </w:p>
    <w:p>
      <w:pPr>
        <w:ind w:right="440" w:firstLine="395"/>
        <w:spacing w:after="0" w:line="293" w:lineRule="auto"/>
        <w:rPr>
          <w:sz w:val="20"/>
          <w:szCs w:val="20"/>
          <w:color w:val="auto"/>
        </w:rPr>
      </w:pPr>
      <w:r>
        <w:rPr>
          <w:rFonts w:ascii="Times New Roman" w:cs="Times New Roman" w:eastAsia="Times New Roman" w:hAnsi="Times New Roman"/>
          <w:sz w:val="16"/>
          <w:szCs w:val="16"/>
          <w:color w:val="auto"/>
        </w:rPr>
        <w:t>In connection with its Data, Distribution, and Services business, as part of the consideration for a customer data deal sale, the Company received a forward contract (the “Equity Contract”) for the right to receive a variable number of equity shares for a fixed value from the customer. The Company estimated the value of the Equity Contract to be $11.8 million, which is included in the overall customer contract transaction price. In addition, the Equity Contract is recorded in Other Assets in the Consolidated Balance Sheet and will be carried at cost and evaluated for impairment at each reporting date.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Acquisitions</w:t>
      </w:r>
    </w:p>
    <w:p>
      <w:pPr>
        <w:spacing w:after="0" w:line="1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Backgrid</w:t>
      </w:r>
    </w:p>
    <w:p>
      <w:pPr>
        <w:spacing w:after="0" w:line="111"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On February 1, 2024, the Company completed its acquisition of all of the outstanding shares of Backgrid USA, Inc. and Backgrid London LTD, (collectively, “Backgrid”), for approximately $20 million, subject to customary working capital adjustments. The total purchase price was paid with existing cash on hand. In connection with the acquisition, the Company incurred approximately $1.5 million of transaction costs in total, which are included in general and administrative expenses on the Consolidated Statements of Operations.</w:t>
      </w:r>
    </w:p>
    <w:p>
      <w:pPr>
        <w:spacing w:after="0" w:line="78" w:lineRule="exact"/>
        <w:rPr>
          <w:sz w:val="20"/>
          <w:szCs w:val="20"/>
          <w:color w:val="auto"/>
        </w:rPr>
      </w:pPr>
    </w:p>
    <w:p>
      <w:pPr>
        <w:ind w:right="740" w:firstLine="395"/>
        <w:spacing w:after="0" w:line="268" w:lineRule="auto"/>
        <w:rPr>
          <w:sz w:val="20"/>
          <w:szCs w:val="20"/>
          <w:color w:val="auto"/>
        </w:rPr>
      </w:pPr>
      <w:r>
        <w:rPr>
          <w:rFonts w:ascii="Times New Roman" w:cs="Times New Roman" w:eastAsia="Times New Roman" w:hAnsi="Times New Roman"/>
          <w:sz w:val="18"/>
          <w:szCs w:val="18"/>
          <w:color w:val="auto"/>
        </w:rPr>
        <w:t>Backgrid supplies media organizations with real-time celebrity content. The Company believes this acquisition expands Shutterstock Editorial’s Newsroom offering of editorial images and footage across celebrity, red carpet and live-events.</w:t>
      </w:r>
    </w:p>
    <w:p>
      <w:pPr>
        <w:spacing w:after="0" w:line="64" w:lineRule="exact"/>
        <w:rPr>
          <w:sz w:val="20"/>
          <w:szCs w:val="20"/>
          <w:color w:val="auto"/>
        </w:rPr>
      </w:pPr>
    </w:p>
    <w:p>
      <w:pPr>
        <w:ind w:right="580" w:firstLine="395"/>
        <w:spacing w:after="0" w:line="268" w:lineRule="auto"/>
        <w:rPr>
          <w:sz w:val="20"/>
          <w:szCs w:val="20"/>
          <w:color w:val="auto"/>
        </w:rPr>
      </w:pPr>
      <w:r>
        <w:rPr>
          <w:rFonts w:ascii="Times New Roman" w:cs="Times New Roman" w:eastAsia="Times New Roman" w:hAnsi="Times New Roman"/>
          <w:sz w:val="18"/>
          <w:szCs w:val="18"/>
          <w:color w:val="auto"/>
        </w:rPr>
        <w:t>The identifiable intangible assets, trademark and developed technology, have useful lives of approximately 10 years and 5 years, respectively. The goodwill arising from the transaction is primarily attributable to expected operational synergies and is not deductible for income tax purposes.</w:t>
      </w:r>
    </w:p>
    <w:p>
      <w:pPr>
        <w:spacing w:after="0" w:line="64"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The Backgrid transaction was accounted for using the acquisition method and, accordingly, the results of the acquired business has been included in the Company’s results of operations from the acquisition date. The fair value of consideration</w:t>
      </w:r>
    </w:p>
    <w:p>
      <w:pPr>
        <w:spacing w:after="0" w:line="200" w:lineRule="exact"/>
        <w:rPr>
          <w:sz w:val="20"/>
          <w:szCs w:val="20"/>
          <w:color w:val="auto"/>
        </w:rPr>
      </w:pPr>
    </w:p>
    <w:p>
      <w:pPr>
        <w:spacing w:after="0" w:line="338"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transferred in this business combination has been allocated to the intangible and tangible assets acquired and liabilities assumed at the acquisition date, with the remaining unallocated amount recorded as goodwill. The identifiable intangible asset of this acquisition is being amortized on a straight-line basis. The fair value of the trademark and developed technology was determined using the excess earnings and relief-from-royalty methods.</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aggregate purchase price for these acquisitions has been allocated to the assets acquired and liabilities assumed as follows (in thousands):</w:t>
      </w:r>
    </w:p>
    <w:p>
      <w:pPr>
        <w:spacing w:after="0" w:line="154" w:lineRule="exact"/>
        <w:rPr>
          <w:sz w:val="20"/>
          <w:szCs w:val="20"/>
          <w:color w:val="auto"/>
        </w:rPr>
      </w:pPr>
    </w:p>
    <w:tbl>
      <w:tblPr>
        <w:tblLayout w:type="fixed"/>
        <w:tblInd w:w="780" w:type="dxa"/>
        <w:tblCellMar>
          <w:top w:w="0" w:type="dxa"/>
          <w:left w:w="0" w:type="dxa"/>
          <w:bottom w:w="0" w:type="dxa"/>
          <w:right w:w="0" w:type="dxa"/>
        </w:tblCellMar>
      </w:tblPr>
      <w:tr>
        <w:trPr>
          <w:trHeight w:val="19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acquired and liabilities assumed:</w:t>
            </w:r>
          </w:p>
        </w:tc>
        <w:tc>
          <w:tcPr>
            <w:tcW w:w="2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Backgrid</w:t>
            </w:r>
          </w:p>
        </w:tc>
      </w:tr>
      <w:tr>
        <w:trPr>
          <w:trHeight w:val="202"/>
        </w:trPr>
        <w:tc>
          <w:tcPr>
            <w:tcW w:w="8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1,718</w:t>
            </w:r>
          </w:p>
        </w:tc>
      </w:tr>
      <w:tr>
        <w:trPr>
          <w:trHeight w:val="212"/>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732</w:t>
            </w:r>
          </w:p>
        </w:tc>
      </w:tr>
      <w:tr>
        <w:trPr>
          <w:trHeight w:val="209"/>
        </w:trPr>
        <w:tc>
          <w:tcPr>
            <w:tcW w:w="8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77</w:t>
            </w:r>
          </w:p>
        </w:tc>
      </w:tr>
      <w:tr>
        <w:trPr>
          <w:trHeight w:val="212"/>
        </w:trPr>
        <w:tc>
          <w:tcPr>
            <w:tcW w:w="8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Intangible assets: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9"/>
        </w:trPr>
        <w:tc>
          <w:tcPr>
            <w:tcW w:w="8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Trade name</w:t>
            </w:r>
          </w:p>
        </w:tc>
        <w:tc>
          <w:tcPr>
            <w:tcW w:w="280" w:type="dxa"/>
            <w:vAlign w:val="bottom"/>
          </w:tcPr>
          <w:p>
            <w:pPr>
              <w:spacing w:after="0"/>
              <w:rPr>
                <w:sz w:val="18"/>
                <w:szCs w:val="18"/>
                <w:color w:val="auto"/>
              </w:rPr>
            </w:pPr>
          </w:p>
        </w:tc>
        <w:tc>
          <w:tcPr>
            <w:tcW w:w="12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300</w:t>
            </w:r>
          </w:p>
        </w:tc>
      </w:tr>
      <w:tr>
        <w:trPr>
          <w:trHeight w:val="212"/>
        </w:trPr>
        <w:tc>
          <w:tcPr>
            <w:tcW w:w="8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Developed technology</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900</w:t>
            </w:r>
          </w:p>
        </w:tc>
      </w:tr>
      <w:tr>
        <w:trPr>
          <w:trHeight w:val="202"/>
        </w:trPr>
        <w:tc>
          <w:tcPr>
            <w:tcW w:w="8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Intangible assets</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1,200</w:t>
            </w:r>
          </w:p>
        </w:tc>
      </w:tr>
      <w:tr>
        <w:trPr>
          <w:trHeight w:val="206"/>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19,843</w:t>
            </w:r>
          </w:p>
        </w:tc>
      </w:tr>
      <w:tr>
        <w:trPr>
          <w:trHeight w:val="202"/>
        </w:trPr>
        <w:tc>
          <w:tcPr>
            <w:tcW w:w="8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2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23,570</w:t>
            </w:r>
          </w:p>
        </w:tc>
      </w:tr>
      <w:tr>
        <w:trPr>
          <w:trHeight w:val="35"/>
        </w:trPr>
        <w:tc>
          <w:tcPr>
            <w:tcW w:w="8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11"/>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Contributor royalties payable</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w:t>
            </w:r>
          </w:p>
        </w:tc>
      </w:tr>
      <w:tr>
        <w:trPr>
          <w:trHeight w:val="209"/>
        </w:trPr>
        <w:tc>
          <w:tcPr>
            <w:tcW w:w="81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(1,302)</w:t>
            </w:r>
          </w:p>
        </w:tc>
      </w:tr>
      <w:tr>
        <w:trPr>
          <w:trHeight w:val="212"/>
        </w:trPr>
        <w:tc>
          <w:tcPr>
            <w:tcW w:w="8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 liability</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202"/>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2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(2,422)</w:t>
            </w:r>
          </w:p>
        </w:tc>
      </w:tr>
      <w:tr>
        <w:trPr>
          <w:trHeight w:val="231"/>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21,148</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Giphy, Inc.</w:t>
      </w:r>
    </w:p>
    <w:p>
      <w:pPr>
        <w:spacing w:after="0" w:line="111"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On May 22, 2023, the Company entered into a Stock Purchase Agreement with Meta Platforms, Inc. (“Meta”) dated May 22, 2023 (the “Purchase Agreement”). On June 23, 2023, the Company completed its acquisition of all of the outstanding shares of Giphy, Inc. (“Giphy”) from Meta. The consideration paid by the Company pursuant to the Purchase Agreement was $53 million in net cash, in addition to cash acquired, assumed debt and other working capital adjustments. The consideration was paid with existing cash on hand. Giphy is a New York-based company that operates a collection of GIFs and stickers that supplies casual conversational content. The Company believes its acquisition of Giphy extends Shutterstock’s audience touchpoints beyond primarily professional marketing and advertising use cases and expands into casual conversations.</w:t>
      </w:r>
    </w:p>
    <w:p>
      <w:pPr>
        <w:spacing w:after="0" w:line="67" w:lineRule="exact"/>
        <w:rPr>
          <w:sz w:val="20"/>
          <w:szCs w:val="20"/>
          <w:color w:val="auto"/>
        </w:rPr>
      </w:pPr>
    </w:p>
    <w:p>
      <w:pPr>
        <w:ind w:right="20"/>
        <w:spacing w:after="0" w:line="231" w:lineRule="auto"/>
        <w:rPr>
          <w:sz w:val="20"/>
          <w:szCs w:val="20"/>
          <w:color w:val="auto"/>
        </w:rPr>
      </w:pPr>
      <w:r>
        <w:rPr>
          <w:rFonts w:ascii="Times New Roman" w:cs="Times New Roman" w:eastAsia="Times New Roman" w:hAnsi="Times New Roman"/>
          <w:sz w:val="18"/>
          <w:szCs w:val="18"/>
          <w:color w:val="auto"/>
        </w:rPr>
        <w:t>In January 2023, the United Kingdom Competition and Markets Authority (the “CMA”) issued its final order requiring Meta to divest its ownership of Giphy, which Meta acquired in 2020. In connection with the closing of the acquisition, whose terms were preapproved by the CMA, the Company and Meta entered into a transitional services agreement (the “TSA”) pursuant to which Meta is responsible for certain costs related to retention of Giphy employees, including (i) recurring salary, bonus, and benefits through August 2024, which would be $35.6 million if all employees are retained through August 2024, and (ii) nonrecurring items, totaling $87.9 million, comprised of one-time employment inducement bonuses and the cash value of unvested Meta equity awards (collectively, the “Giphy Retention Compensation”) and certain costs related to technology and integration expenses, totaling $30 million to be paid in $1.25 million monthly installments through May 2025.</w:t>
      </w:r>
    </w:p>
    <w:p>
      <w:pPr>
        <w:spacing w:after="0" w:line="224"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The Giphy Retention Compensation will be paid to the individuals for being employees of the Company subsequent to the completion of the acquisition. Accordingly, it was determined that the payments by the Company are for future service requirements and will be reflected as operating expenses, less any amounts earned by the employees prior to the acquisition, in the Company’s Statements of Operations as incurred. The Giphy Retention Compensation is reflected as a reduction of the purchase price and has been funded into an escrow account.</w:t>
      </w:r>
    </w:p>
    <w:p>
      <w:pPr>
        <w:spacing w:after="0" w:line="200" w:lineRule="exact"/>
        <w:rPr>
          <w:sz w:val="20"/>
          <w:szCs w:val="20"/>
          <w:color w:val="auto"/>
        </w:rPr>
      </w:pPr>
    </w:p>
    <w:p>
      <w:pPr>
        <w:spacing w:after="0" w:line="35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Giphy purchase price was calculated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7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Purchase Price</w:t>
            </w:r>
          </w:p>
        </w:tc>
      </w:tr>
      <w:tr>
        <w:trPr>
          <w:trHeight w:val="206"/>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price</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53,000</w:t>
            </w:r>
          </w:p>
        </w:tc>
      </w:tr>
      <w:tr>
        <w:trPr>
          <w:trHeight w:val="209"/>
        </w:trPr>
        <w:tc>
          <w:tcPr>
            <w:tcW w:w="9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acquired and other working capital adjustments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4,750</w:t>
            </w:r>
          </w:p>
        </w:tc>
      </w:tr>
      <w:tr>
        <w:trPr>
          <w:trHeight w:val="206"/>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on closing</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57,750</w:t>
            </w:r>
          </w:p>
        </w:tc>
      </w:tr>
      <w:tr>
        <w:trPr>
          <w:trHeight w:val="92"/>
        </w:trPr>
        <w:tc>
          <w:tcPr>
            <w:tcW w:w="9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r>
      <w:tr>
        <w:trPr>
          <w:trHeight w:val="211"/>
        </w:trPr>
        <w:tc>
          <w:tcPr>
            <w:tcW w:w="972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Fair value of Giphy Retention Compensation contingent consideration</w:t>
            </w:r>
            <w:r>
              <w:rPr>
                <w:rFonts w:ascii="Times New Roman" w:cs="Times New Roman" w:eastAsia="Times New Roman" w:hAnsi="Times New Roman"/>
                <w:sz w:val="20"/>
                <w:szCs w:val="20"/>
                <w:color w:val="auto"/>
                <w:vertAlign w:val="superscript"/>
              </w:rPr>
              <w:t>1</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(98,723)</w:t>
            </w:r>
          </w:p>
        </w:tc>
      </w:tr>
      <w:tr>
        <w:trPr>
          <w:trHeight w:val="211"/>
        </w:trPr>
        <w:tc>
          <w:tcPr>
            <w:tcW w:w="972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Fair value of consideration attributable to pre-combination service</w:t>
            </w:r>
            <w:r>
              <w:rPr>
                <w:rFonts w:ascii="Times New Roman" w:cs="Times New Roman" w:eastAsia="Times New Roman" w:hAnsi="Times New Roman"/>
                <w:sz w:val="20"/>
                <w:szCs w:val="20"/>
                <w:color w:val="auto"/>
                <w:vertAlign w:val="superscript"/>
              </w:rPr>
              <w:t>2</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34,972</w:t>
            </w:r>
          </w:p>
        </w:tc>
      </w:tr>
      <w:tr>
        <w:trPr>
          <w:trHeight w:val="92"/>
        </w:trPr>
        <w:tc>
          <w:tcPr>
            <w:tcW w:w="972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340" w:type="dxa"/>
            <w:vAlign w:val="bottom"/>
            <w:tcBorders>
              <w:bottom w:val="single" w:sz="8" w:color="auto"/>
            </w:tcBorders>
            <w:shd w:val="clear" w:color="auto" w:fill="CCEEFF"/>
          </w:tcPr>
          <w:p>
            <w:pPr>
              <w:spacing w:after="0"/>
              <w:rPr>
                <w:sz w:val="8"/>
                <w:szCs w:val="8"/>
                <w:color w:val="auto"/>
              </w:rPr>
            </w:pPr>
          </w:p>
        </w:tc>
      </w:tr>
      <w:tr>
        <w:trPr>
          <w:trHeight w:val="204"/>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purchase price</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(6,001)</w:t>
            </w: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4"/>
          <w:szCs w:val="14"/>
          <w:color w:val="auto"/>
        </w:rPr>
        <w:t>1 - This amount consists of $123.5 million of Giphy Retention Compensation, adjusted for $18.9 million of income tax obligations associated with the receipt of the Giphy Retention Compensation and $5.9 million for the time value of money.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2 - Relates to the cash value of replaced unvested Meta equity awards attributable to pre-combination services.</w:t>
      </w:r>
    </w:p>
    <w:p>
      <w:pPr>
        <w:spacing w:after="0" w:line="120" w:lineRule="exact"/>
        <w:rPr>
          <w:sz w:val="20"/>
          <w:szCs w:val="20"/>
          <w:color w:val="auto"/>
        </w:rPr>
      </w:pPr>
    </w:p>
    <w:p>
      <w:pPr>
        <w:ind w:right="40" w:firstLine="395"/>
        <w:spacing w:after="0" w:line="293" w:lineRule="auto"/>
        <w:rPr>
          <w:sz w:val="20"/>
          <w:szCs w:val="20"/>
          <w:color w:val="auto"/>
        </w:rPr>
      </w:pPr>
      <w:r>
        <w:rPr>
          <w:rFonts w:ascii="Times New Roman" w:cs="Times New Roman" w:eastAsia="Times New Roman" w:hAnsi="Times New Roman"/>
          <w:sz w:val="16"/>
          <w:szCs w:val="16"/>
          <w:color w:val="auto"/>
        </w:rPr>
        <w:t>Upon closing of the acquisition, the Company also entered into an agreement with Meta whereby the Company will provide Meta with access to Giphy content that is displayed through an API for a period of two years. The Company determined that the API arrangement represents a transaction separate from the business combination and was priced below market. Therefore, the Company allocated $30 million of the purchase price to these services, which represents the step-up to fair market value. This amount has been recognized in deferred revenue and will be recognized as revenue over-time as the API is provided.</w:t>
      </w:r>
    </w:p>
    <w:p>
      <w:pPr>
        <w:spacing w:after="0" w:line="49" w:lineRule="exact"/>
        <w:rPr>
          <w:sz w:val="20"/>
          <w:szCs w:val="20"/>
          <w:color w:val="auto"/>
        </w:rPr>
      </w:pPr>
    </w:p>
    <w:p>
      <w:pPr>
        <w:jc w:val="both"/>
        <w:ind w:right="200" w:firstLine="395"/>
        <w:spacing w:after="0" w:line="256" w:lineRule="auto"/>
        <w:rPr>
          <w:sz w:val="20"/>
          <w:szCs w:val="20"/>
          <w:color w:val="auto"/>
        </w:rPr>
      </w:pPr>
      <w:r>
        <w:rPr>
          <w:rFonts w:ascii="Times New Roman" w:cs="Times New Roman" w:eastAsia="Times New Roman" w:hAnsi="Times New Roman"/>
          <w:sz w:val="18"/>
          <w:szCs w:val="18"/>
          <w:color w:val="auto"/>
        </w:rPr>
        <w:t>The identifiable intangible assets, which include developed technology and the trade name have weighted average useful lives of approximately 7 years and 15 years, respectively. The fair value of the developed technology was determined using the cost to recreate method, and the fair value of the trade name was determined using the relief-from-royalty method.</w:t>
      </w:r>
    </w:p>
    <w:p>
      <w:pPr>
        <w:spacing w:after="0" w:line="75" w:lineRule="exact"/>
        <w:rPr>
          <w:sz w:val="20"/>
          <w:szCs w:val="20"/>
          <w:color w:val="auto"/>
        </w:rPr>
      </w:pPr>
    </w:p>
    <w:p>
      <w:pPr>
        <w:ind w:right="120" w:firstLine="395"/>
        <w:spacing w:after="0" w:line="293" w:lineRule="auto"/>
        <w:rPr>
          <w:sz w:val="20"/>
          <w:szCs w:val="20"/>
          <w:color w:val="auto"/>
        </w:rPr>
      </w:pPr>
      <w:r>
        <w:rPr>
          <w:rFonts w:ascii="Times New Roman" w:cs="Times New Roman" w:eastAsia="Times New Roman" w:hAnsi="Times New Roman"/>
          <w:sz w:val="16"/>
          <w:szCs w:val="16"/>
          <w:color w:val="auto"/>
        </w:rPr>
        <w:t>The Giphy transaction was accounted for using the acquisition method and, accordingly, the results of the acquired business has been included in the Company’s results of operations from the acquisition date. The fair value of consideration transferred in this business combination has been allocated to the intangible and tangible assets acquired and liabilities assumed at the acquisition date, with the excess of the fair value of the net assets acquired over the net consideration received recorded as a bargain purchase gain. The identifiable intangible assets of these acquisitions are being amortized on a straight-line basis.</w:t>
      </w:r>
    </w:p>
    <w:p>
      <w:pPr>
        <w:spacing w:after="0" w:line="200" w:lineRule="exact"/>
        <w:rPr>
          <w:sz w:val="20"/>
          <w:szCs w:val="20"/>
          <w:color w:val="auto"/>
        </w:rPr>
      </w:pPr>
    </w:p>
    <w:p>
      <w:pPr>
        <w:spacing w:after="0" w:line="323"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aggregate purchase price for this acquisition has been allocated to the assets acquired and liabilities assumed as follows (in thousands):</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acquired and liabilities assumed:</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Giphy</w:t>
            </w:r>
          </w:p>
        </w:tc>
      </w:tr>
      <w:tr>
        <w:trPr>
          <w:trHeight w:val="202"/>
        </w:trPr>
        <w:tc>
          <w:tcPr>
            <w:tcW w:w="9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4,030</w:t>
            </w:r>
          </w:p>
        </w:tc>
      </w:tr>
      <w:tr>
        <w:trPr>
          <w:trHeight w:val="212"/>
        </w:trPr>
        <w:tc>
          <w:tcPr>
            <w:tcW w:w="9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1,416</w:t>
            </w:r>
          </w:p>
        </w:tc>
      </w:tr>
      <w:tr>
        <w:trPr>
          <w:trHeight w:val="209"/>
        </w:trPr>
        <w:tc>
          <w:tcPr>
            <w:tcW w:w="9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Right of use assets</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w:t>
            </w:r>
          </w:p>
        </w:tc>
      </w:tr>
      <w:tr>
        <w:trPr>
          <w:trHeight w:val="212"/>
        </w:trPr>
        <w:tc>
          <w:tcPr>
            <w:tcW w:w="9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Intangible assets: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09"/>
        </w:trPr>
        <w:tc>
          <w:tcPr>
            <w:tcW w:w="96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Trade name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21,000</w:t>
            </w:r>
          </w:p>
        </w:tc>
      </w:tr>
      <w:tr>
        <w:trPr>
          <w:trHeight w:val="212"/>
        </w:trPr>
        <w:tc>
          <w:tcPr>
            <w:tcW w:w="9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Developed technology</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19,500</w:t>
            </w:r>
          </w:p>
        </w:tc>
      </w:tr>
      <w:tr>
        <w:trPr>
          <w:trHeight w:val="202"/>
        </w:trPr>
        <w:tc>
          <w:tcPr>
            <w:tcW w:w="96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Intangible assets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40,500</w:t>
            </w:r>
          </w:p>
        </w:tc>
      </w:tr>
      <w:tr>
        <w:trPr>
          <w:trHeight w:val="212"/>
        </w:trPr>
        <w:tc>
          <w:tcPr>
            <w:tcW w:w="9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 asset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w:t>
            </w:r>
          </w:p>
        </w:tc>
      </w:tr>
      <w:tr>
        <w:trPr>
          <w:trHeight w:val="209"/>
        </w:trPr>
        <w:tc>
          <w:tcPr>
            <w:tcW w:w="9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1,647</w:t>
            </w:r>
          </w:p>
        </w:tc>
      </w:tr>
      <w:tr>
        <w:trPr>
          <w:trHeight w:val="206"/>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assets acquired</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50,299</w:t>
            </w:r>
          </w:p>
        </w:tc>
      </w:tr>
      <w:tr>
        <w:trPr>
          <w:trHeight w:val="53"/>
        </w:trPr>
        <w:tc>
          <w:tcPr>
            <w:tcW w:w="96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80" w:type="dxa"/>
            <w:vAlign w:val="bottom"/>
          </w:tcPr>
          <w:p>
            <w:pPr>
              <w:spacing w:after="0"/>
              <w:rPr>
                <w:sz w:val="4"/>
                <w:szCs w:val="4"/>
                <w:color w:val="auto"/>
              </w:rPr>
            </w:pPr>
          </w:p>
        </w:tc>
      </w:tr>
      <w:tr>
        <w:trPr>
          <w:trHeight w:val="211"/>
        </w:trPr>
        <w:tc>
          <w:tcPr>
            <w:tcW w:w="9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 accrued expenses and other liabilities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(4,949)</w:t>
            </w:r>
          </w:p>
        </w:tc>
      </w:tr>
      <w:tr>
        <w:trPr>
          <w:trHeight w:val="209"/>
        </w:trPr>
        <w:tc>
          <w:tcPr>
            <w:tcW w:w="96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Lease liability</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(1,090)</w:t>
            </w:r>
          </w:p>
        </w:tc>
      </w:tr>
      <w:tr>
        <w:trPr>
          <w:trHeight w:val="206"/>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(6,039)</w:t>
            </w:r>
          </w:p>
        </w:tc>
      </w:tr>
      <w:tr>
        <w:trPr>
          <w:trHeight w:val="202"/>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assets acquired</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44,260</w:t>
            </w:r>
          </w:p>
        </w:tc>
      </w:tr>
      <w:tr>
        <w:trPr>
          <w:trHeight w:val="204"/>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purchase price</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(6,001)</w:t>
            </w:r>
          </w:p>
        </w:tc>
      </w:tr>
      <w:tr>
        <w:trPr>
          <w:trHeight w:val="206"/>
        </w:trPr>
        <w:tc>
          <w:tcPr>
            <w:tcW w:w="9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Bargain purchase gain</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50,261</w:t>
            </w:r>
          </w:p>
        </w:tc>
      </w:tr>
      <w:tr>
        <w:trPr>
          <w:trHeight w:val="20"/>
        </w:trPr>
        <w:tc>
          <w:tcPr>
            <w:tcW w:w="9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right="380"/>
        <w:spacing w:after="0" w:line="261" w:lineRule="auto"/>
        <w:rPr>
          <w:sz w:val="20"/>
          <w:szCs w:val="20"/>
          <w:color w:val="auto"/>
        </w:rPr>
      </w:pPr>
      <w:r>
        <w:rPr>
          <w:rFonts w:ascii="Times New Roman" w:cs="Times New Roman" w:eastAsia="Times New Roman" w:hAnsi="Times New Roman"/>
          <w:sz w:val="12"/>
          <w:szCs w:val="12"/>
          <w:color w:val="auto"/>
        </w:rPr>
        <w:t xml:space="preserve">1 - </w:t>
      </w:r>
      <w:r>
        <w:rPr>
          <w:rFonts w:ascii="Times New Roman" w:cs="Times New Roman" w:eastAsia="Times New Roman" w:hAnsi="Times New Roman"/>
          <w:sz w:val="14"/>
          <w:szCs w:val="14"/>
          <w:color w:val="auto"/>
        </w:rPr>
        <w:t>During the three months ended September 30, 2023, the Company revised its preliminary allocation of the Giphy purchase price to the assets acquired and liabilities assumed by $9.9 million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4"/>
          <w:szCs w:val="14"/>
          <w:color w:val="auto"/>
        </w:rPr>
        <w:t>associated with additional information analyzed related to the deferred income tax balances. The measurement and allocation of the purchase price is preliminary and will be finalized within the allowable measurement period once the Company finalizes its assessment of fair value of intangible assets, income tax balances and other assets acquired and liabilities assumed.</w:t>
      </w:r>
    </w:p>
    <w:p>
      <w:pPr>
        <w:spacing w:after="0" w:line="80"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2 - During the three months ended December 31, 2023, the Company revised its preliminary allocation of the Giphy purchase price to the assets acquired and liabilities assumed by $1.6 million associated with additional information analyzed related to the valuation of the Developed Technology asset. The measurement and allocation of the purchase price is preliminary and will be finalized within the allowable measurement period once the Company finalizes its assessment of fair value of intangible assets, income tax balances and other assets acquired and liabilities assumed.</w:t>
      </w:r>
    </w:p>
    <w:p>
      <w:pPr>
        <w:spacing w:after="0" w:line="200" w:lineRule="exact"/>
        <w:rPr>
          <w:sz w:val="20"/>
          <w:szCs w:val="20"/>
          <w:color w:val="auto"/>
        </w:rPr>
      </w:pPr>
    </w:p>
    <w:p>
      <w:pPr>
        <w:spacing w:after="0" w:line="206" w:lineRule="exact"/>
        <w:rPr>
          <w:sz w:val="20"/>
          <w:szCs w:val="20"/>
          <w:color w:val="auto"/>
        </w:rPr>
      </w:pPr>
    </w:p>
    <w:p>
      <w:pPr>
        <w:ind w:firstLine="395"/>
        <w:spacing w:after="0" w:line="252" w:lineRule="auto"/>
        <w:rPr>
          <w:sz w:val="20"/>
          <w:szCs w:val="20"/>
          <w:color w:val="auto"/>
        </w:rPr>
      </w:pPr>
      <w:r>
        <w:rPr>
          <w:rFonts w:ascii="Times New Roman" w:cs="Times New Roman" w:eastAsia="Times New Roman" w:hAnsi="Times New Roman"/>
          <w:sz w:val="18"/>
          <w:szCs w:val="18"/>
          <w:color w:val="auto"/>
        </w:rPr>
        <w:t>The Company recognized a non-taxable bargain purchase gain of $50.3 million, representing the excess of the fair value of the net assets acquired in addition to the net consideration to be received from Meta. The bargain purchase gain is the result of the CMA’s regulatory order requiring Meta’s divestiture of Giphy and the Giphy Retention Compensation payments. In connection with the acquisition, the Company incurred approximately $3.0 million of transaction costs, which are included in general and administrative expenses on the Consolidated Statements of Operations.</w:t>
      </w:r>
    </w:p>
    <w:p>
      <w:pPr>
        <w:spacing w:after="0" w:line="78" w:lineRule="exact"/>
        <w:rPr>
          <w:sz w:val="20"/>
          <w:szCs w:val="20"/>
          <w:color w:val="auto"/>
        </w:rPr>
      </w:pPr>
    </w:p>
    <w:p>
      <w:pPr>
        <w:ind w:firstLine="395"/>
        <w:spacing w:after="0" w:line="268" w:lineRule="auto"/>
        <w:rPr>
          <w:sz w:val="20"/>
          <w:szCs w:val="20"/>
          <w:color w:val="auto"/>
        </w:rPr>
      </w:pPr>
      <w:r>
        <w:rPr>
          <w:rFonts w:ascii="Times New Roman" w:cs="Times New Roman" w:eastAsia="Times New Roman" w:hAnsi="Times New Roman"/>
          <w:sz w:val="18"/>
          <w:szCs w:val="18"/>
          <w:color w:val="auto"/>
        </w:rPr>
        <w:t>As of March 31, 2024, Shutterstock’s receivable of $65.5 million, is against an escrow fully funded by Meta. $48.7 million and $16.8 million are included within Prepaid expenses and other current assets and Other assets, respectively,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Pro-Forma Financial Information (unaudited)</w:t>
      </w:r>
    </w:p>
    <w:p>
      <w:pPr>
        <w:spacing w:after="0" w:line="111"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The following unaudited pro forma consolidated financial information (in thousands) reflects the results of operations of the Company for the three months ended March 31, 2024 and 2023, respectively, as if the Backgrid acquisition had been completed on January 1, 2023, and as if the the Giphy acquisition had been completed on January 1, 2022, after giving effect to certain purchase accounting adjustments, primarily related to Giphy Retention Compensation - non-recurring, intangible assets and transaction costs. These pro forma results have been prepared for comparative purposes only and are based on estimates and assumptions that have been made solely for purposes of developing such pro forma information and are not necessarily indicative of what the Company’s operating results would have been, had the acquisitions actually taken place at the beginning of the previous annual period.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1"/>
        </w:trPr>
        <w:tc>
          <w:tcPr>
            <w:tcW w:w="824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9"/>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2"/>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As Reported</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214,315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215,280</w:t>
            </w:r>
          </w:p>
        </w:tc>
      </w:tr>
      <w:tr>
        <w:trPr>
          <w:trHeight w:val="209"/>
        </w:trPr>
        <w:tc>
          <w:tcPr>
            <w:tcW w:w="8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 Forma</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215,259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224,066</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09"/>
        </w:trPr>
        <w:tc>
          <w:tcPr>
            <w:tcW w:w="82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As Reported</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20,390</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41,414</w:t>
            </w:r>
          </w:p>
        </w:tc>
      </w:tr>
      <w:tr>
        <w:trPr>
          <w:trHeight w:val="212"/>
        </w:trPr>
        <w:tc>
          <w:tcPr>
            <w:tcW w:w="8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 Forma</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23,030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28,764</w:t>
            </w:r>
          </w:p>
        </w:tc>
      </w:tr>
    </w:tbl>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Property and Equipment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Property and equipment is summarized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4"/>
        </w:trPr>
        <w:tc>
          <w:tcPr>
            <w:tcW w:w="7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4"/>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Computer equipment and software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317,244</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308,473</w:t>
            </w:r>
          </w:p>
        </w:tc>
      </w:tr>
      <w:tr>
        <w:trPr>
          <w:trHeight w:val="209"/>
        </w:trPr>
        <w:tc>
          <w:tcPr>
            <w:tcW w:w="7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10,823</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10,829</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19,316</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19,153</w:t>
            </w:r>
          </w:p>
        </w:tc>
      </w:tr>
      <w:tr>
        <w:trPr>
          <w:trHeight w:val="202"/>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347,383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338,455</w:t>
            </w:r>
          </w:p>
        </w:tc>
      </w:tr>
      <w:tr>
        <w:trPr>
          <w:trHeight w:val="21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(283,953)</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(274,155)</w:t>
            </w:r>
          </w:p>
        </w:tc>
      </w:tr>
      <w:tr>
        <w:trPr>
          <w:trHeight w:val="202"/>
        </w:trPr>
        <w:tc>
          <w:tcPr>
            <w:tcW w:w="79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63,430</w:t>
            </w:r>
          </w:p>
        </w:tc>
        <w:tc>
          <w:tcPr>
            <w:tcW w:w="100" w:type="dxa"/>
            <w:vAlign w:val="bottom"/>
          </w:tcPr>
          <w:p>
            <w:pPr>
              <w:spacing w:after="0"/>
              <w:rPr>
                <w:sz w:val="17"/>
                <w:szCs w:val="17"/>
                <w:color w:val="auto"/>
              </w:rPr>
            </w:pPr>
          </w:p>
        </w:tc>
        <w:tc>
          <w:tcPr>
            <w:tcW w:w="52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64,300</w:t>
            </w:r>
          </w:p>
        </w:tc>
      </w:tr>
      <w:tr>
        <w:trPr>
          <w:trHeight w:val="21"/>
        </w:trPr>
        <w:tc>
          <w:tcPr>
            <w:tcW w:w="7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ind w:right="100" w:firstLine="395"/>
        <w:spacing w:after="0" w:line="25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was $10.3 million and $9.1 million for the three months ended March 31, 2024 and 2023, respectively. Of these amounts, $9.9 million and $8.7 million are included in cost of revenue for the three months ended March 31, 2024 and 2023, respectively, and $0.4 million and $0.5 million are included in general and administrative expense for the three months ended March 31, 2024 and 2023, respectively.</w:t>
      </w:r>
    </w:p>
    <w:p>
      <w:pPr>
        <w:spacing w:after="0" w:line="183" w:lineRule="exact"/>
        <w:rPr>
          <w:sz w:val="20"/>
          <w:szCs w:val="20"/>
          <w:color w:val="auto"/>
        </w:rPr>
      </w:pPr>
    </w:p>
    <w:p>
      <w:pPr>
        <w:ind w:right="780" w:firstLine="395"/>
        <w:spacing w:after="0" w:line="268" w:lineRule="auto"/>
        <w:rPr>
          <w:sz w:val="20"/>
          <w:szCs w:val="20"/>
          <w:color w:val="auto"/>
        </w:rPr>
      </w:pPr>
      <w:r>
        <w:rPr>
          <w:rFonts w:ascii="Times New Roman" w:cs="Times New Roman" w:eastAsia="Times New Roman" w:hAnsi="Times New Roman"/>
          <w:sz w:val="18"/>
          <w:szCs w:val="18"/>
          <w:color w:val="auto"/>
        </w:rPr>
        <w:t>Depreciation and amortization expense is included in cost of revenue and general and administrative expense in the Consolidated Statements of Operations based on the nature of the asset being depreciated.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Internal-Use Software</w:t>
      </w:r>
    </w:p>
    <w:p>
      <w:pPr>
        <w:spacing w:after="0" w:line="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capitalized costs related to the development of internal-use software of $9.0 million and $10.3 million for the three months ended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March 31, 2024 and 2023, respectively. Capitalized amounts are included as a component of property and equipment under computer equipment and software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Consolidated Balance Sheets.</w:t>
      </w:r>
    </w:p>
    <w:p>
      <w:pPr>
        <w:spacing w:after="0" w:line="91" w:lineRule="exact"/>
        <w:rPr>
          <w:sz w:val="20"/>
          <w:szCs w:val="20"/>
          <w:color w:val="auto"/>
        </w:rPr>
      </w:pPr>
    </w:p>
    <w:p>
      <w:pPr>
        <w:ind w:right="360" w:firstLine="395"/>
        <w:spacing w:after="0" w:line="256" w:lineRule="auto"/>
        <w:rPr>
          <w:sz w:val="20"/>
          <w:szCs w:val="20"/>
          <w:color w:val="auto"/>
        </w:rPr>
      </w:pPr>
      <w:r>
        <w:rPr>
          <w:rFonts w:ascii="Times New Roman" w:cs="Times New Roman" w:eastAsia="Times New Roman" w:hAnsi="Times New Roman"/>
          <w:sz w:val="18"/>
          <w:szCs w:val="18"/>
          <w:color w:val="auto"/>
        </w:rPr>
        <w:t>The portion of total depreciation expense related to capitalized internal-use software was $9.6 million and $8.4 million for the three months ended March 31, 2024 and 2023, respectively. Depreciation expense related to capitalized internal-use software is included in cost of revenue in the Consolidated Statements of Operations.</w:t>
      </w:r>
    </w:p>
    <w:p>
      <w:pPr>
        <w:spacing w:after="0" w:line="75" w:lineRule="exact"/>
        <w:rPr>
          <w:sz w:val="20"/>
          <w:szCs w:val="20"/>
          <w:color w:val="auto"/>
        </w:rPr>
      </w:pPr>
    </w:p>
    <w:p>
      <w:pPr>
        <w:ind w:right="40" w:firstLine="395"/>
        <w:spacing w:after="0" w:line="268" w:lineRule="auto"/>
        <w:rPr>
          <w:sz w:val="20"/>
          <w:szCs w:val="20"/>
          <w:color w:val="auto"/>
        </w:rPr>
      </w:pPr>
      <w:r>
        <w:rPr>
          <w:rFonts w:ascii="Times New Roman" w:cs="Times New Roman" w:eastAsia="Times New Roman" w:hAnsi="Times New Roman"/>
          <w:sz w:val="18"/>
          <w:szCs w:val="18"/>
          <w:color w:val="auto"/>
        </w:rPr>
        <w:t>As of March 31, 2024 and December 31, 2023, the Company had capitalized internal-use software of $59.6 million and $60.3 million, respectively, net of accumulated depreciation, which was included in property and equipment,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Goodwill and Intangible Assets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13" w:lineRule="exact"/>
        <w:rPr>
          <w:sz w:val="20"/>
          <w:szCs w:val="20"/>
          <w:color w:val="auto"/>
        </w:rPr>
      </w:pPr>
    </w:p>
    <w:p>
      <w:pPr>
        <w:ind w:right="420" w:firstLine="395"/>
        <w:spacing w:after="0" w:line="268" w:lineRule="auto"/>
        <w:rPr>
          <w:sz w:val="20"/>
          <w:szCs w:val="20"/>
          <w:color w:val="auto"/>
        </w:rPr>
      </w:pPr>
      <w:r>
        <w:rPr>
          <w:rFonts w:ascii="Times New Roman" w:cs="Times New Roman" w:eastAsia="Times New Roman" w:hAnsi="Times New Roman"/>
          <w:sz w:val="18"/>
          <w:szCs w:val="18"/>
          <w:color w:val="auto"/>
        </w:rPr>
        <w:t>The Company’s goodwill balance is attributable to its Content reporting unit and is tested for impairment annually on October 1 or upon a triggering event. No triggering events were identified during the three months ended March 31, 2024.</w:t>
      </w:r>
    </w:p>
    <w:p>
      <w:pPr>
        <w:spacing w:after="0" w:line="64" w:lineRule="exact"/>
        <w:rPr>
          <w:sz w:val="20"/>
          <w:szCs w:val="20"/>
          <w:color w:val="auto"/>
        </w:rPr>
      </w:pPr>
    </w:p>
    <w:p>
      <w:pPr>
        <w:ind w:right="10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summarizes the changes in the carrying value of the Company’s goodwill balance during the three months ended March 31, 2024 (in thousands):</w:t>
      </w:r>
    </w:p>
    <w:p>
      <w:pPr>
        <w:spacing w:after="0" w:line="1"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4"/>
          <w:szCs w:val="14"/>
          <w:b w:val="1"/>
          <w:bCs w:val="1"/>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30480</wp:posOffset>
            </wp:positionV>
            <wp:extent cx="7135495" cy="142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Goodwill related to acquisitions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Foreign 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-108585</wp:posOffset>
            </wp:positionV>
            <wp:extent cx="7135495" cy="133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5495" cy="133985"/>
                    </a:xfrm>
                    <a:prstGeom prst="rect">
                      <a:avLst/>
                    </a:prstGeom>
                    <a:noFill/>
                  </pic:spPr>
                </pic:pic>
              </a:graphicData>
            </a:graphic>
          </wp:anchor>
        </w:drawing>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 as of March 31, 2024</w:t>
      </w:r>
    </w:p>
    <w:p>
      <w:pPr>
        <w:spacing w:after="0" w:line="20" w:lineRule="exact"/>
        <w:rPr>
          <w:sz w:val="20"/>
          <w:szCs w:val="20"/>
          <w:color w:val="auto"/>
        </w:rPr>
      </w:pPr>
      <w:r>
        <w:rPr>
          <w:sz w:val="20"/>
          <w:szCs w:val="20"/>
          <w:color w:val="auto"/>
        </w:rPr>
        <w:br w:type="column"/>
      </w:r>
    </w:p>
    <w:p>
      <w:pPr>
        <w:spacing w:after="0" w:line="40" w:lineRule="exact"/>
        <w:rPr>
          <w:sz w:val="20"/>
          <w:szCs w:val="20"/>
          <w:color w:val="auto"/>
        </w:rPr>
      </w:pPr>
    </w:p>
    <w:p>
      <w:pPr>
        <w:ind w:left="979" w:hanging="979"/>
        <w:spacing w:after="0"/>
        <w:tabs>
          <w:tab w:leader="none" w:pos="979"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383,325</w:t>
      </w:r>
    </w:p>
    <w:p>
      <w:pPr>
        <w:spacing w:after="0" w:line="27" w:lineRule="exact"/>
        <w:rPr>
          <w:sz w:val="20"/>
          <w:szCs w:val="20"/>
          <w:color w:val="auto"/>
        </w:rPr>
      </w:pPr>
    </w:p>
    <w:p>
      <w:pPr>
        <w:ind w:left="1059" w:hanging="1059"/>
        <w:spacing w:after="0"/>
        <w:tabs>
          <w:tab w:leader="none" w:pos="1059"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19,843</w:t>
      </w:r>
    </w:p>
    <w:p>
      <w:pPr>
        <w:spacing w:after="0" w:line="26" w:lineRule="exact"/>
        <w:rPr>
          <w:rFonts w:ascii="Times New Roman" w:cs="Times New Roman" w:eastAsia="Times New Roman" w:hAnsi="Times New Roman"/>
          <w:sz w:val="16"/>
          <w:szCs w:val="16"/>
          <w:color w:val="auto"/>
        </w:rPr>
      </w:pPr>
    </w:p>
    <w:p>
      <w:pPr>
        <w:ind w:left="1199"/>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(381)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10026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31" w:lineRule="exact"/>
        <w:rPr>
          <w:sz w:val="20"/>
          <w:szCs w:val="20"/>
          <w:color w:val="auto"/>
        </w:rPr>
      </w:pPr>
    </w:p>
    <w:p>
      <w:pPr>
        <w:ind w:left="979" w:hanging="979"/>
        <w:spacing w:after="0"/>
        <w:tabs>
          <w:tab w:leader="none" w:pos="979"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402,787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0026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0266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42545</wp:posOffset>
            </wp:positionV>
            <wp:extent cx="10026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0266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961" w:space="720"/>
            <w:col w:w="1559"/>
          </w:cols>
          <w:pgMar w:left="320" w:top="121" w:right="339"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Intangible assets, all of which are subject to amortization, consisted of the following as of March 31, 2024 and December 31, 2023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40" w:type="dxa"/>
            <w:vAlign w:val="bottom"/>
            <w:gridSpan w:val="6"/>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jc w:val="center"/>
              <w:ind w:right="104"/>
              <w:spacing w:after="0" w:line="12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80" w:type="dxa"/>
            <w:vAlign w:val="bottom"/>
          </w:tcPr>
          <w:p>
            <w:pPr>
              <w:spacing w:after="0"/>
              <w:rPr>
                <w:sz w:val="10"/>
                <w:szCs w:val="10"/>
                <w:color w:val="auto"/>
              </w:rPr>
            </w:pPr>
          </w:p>
        </w:tc>
        <w:tc>
          <w:tcPr>
            <w:tcW w:w="900" w:type="dxa"/>
            <w:vAlign w:val="bottom"/>
          </w:tcPr>
          <w:p>
            <w:pPr>
              <w:jc w:val="center"/>
              <w:ind w:right="104"/>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1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center"/>
              <w:ind w:right="44"/>
              <w:spacing w:after="0" w:line="125"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0"/>
                <w:szCs w:val="10"/>
                <w:color w:val="auto"/>
              </w:rPr>
            </w:pPr>
          </w:p>
        </w:tc>
        <w:tc>
          <w:tcPr>
            <w:tcW w:w="900" w:type="dxa"/>
            <w:vAlign w:val="bottom"/>
          </w:tcPr>
          <w:p>
            <w:pPr>
              <w:jc w:val="center"/>
              <w:ind w:right="104"/>
              <w:spacing w:after="0" w:line="125" w:lineRule="exact"/>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5"/>
        </w:trPr>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104"/>
              <w:spacing w:after="0" w:line="14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04"/>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20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w w:val="98"/>
              </w:rPr>
              <w:t>Average Life</w:t>
            </w:r>
          </w:p>
        </w:tc>
        <w:tc>
          <w:tcPr>
            <w:tcW w:w="180" w:type="dxa"/>
            <w:vAlign w:val="bottom"/>
          </w:tcPr>
          <w:p>
            <w:pPr>
              <w:spacing w:after="0"/>
              <w:rPr>
                <w:sz w:val="12"/>
                <w:szCs w:val="12"/>
                <w:color w:val="auto"/>
              </w:rPr>
            </w:pPr>
          </w:p>
        </w:tc>
        <w:tc>
          <w:tcPr>
            <w:tcW w:w="860" w:type="dxa"/>
            <w:vAlign w:val="bottom"/>
          </w:tcPr>
          <w:p>
            <w:pPr>
              <w:jc w:val="center"/>
              <w:ind w:right="44"/>
              <w:spacing w:after="0" w:line="145" w:lineRule="exact"/>
              <w:rPr>
                <w:sz w:val="20"/>
                <w:szCs w:val="20"/>
                <w:color w:val="auto"/>
              </w:rPr>
            </w:pPr>
            <w:r>
              <w:rPr>
                <w:rFonts w:ascii="Times New Roman" w:cs="Times New Roman" w:eastAsia="Times New Roman" w:hAnsi="Times New Roman"/>
                <w:sz w:val="14"/>
                <w:szCs w:val="14"/>
                <w:b w:val="1"/>
                <w:bCs w:val="1"/>
                <w:color w:val="auto"/>
                <w:w w:val="97"/>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04"/>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191"/>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80" w:type="dxa"/>
            <w:vAlign w:val="bottom"/>
          </w:tcPr>
          <w:p>
            <w:pPr>
              <w:spacing w:after="0"/>
              <w:rPr>
                <w:sz w:val="16"/>
                <w:szCs w:val="16"/>
                <w:color w:val="auto"/>
              </w:rPr>
            </w:pPr>
          </w:p>
        </w:tc>
        <w:tc>
          <w:tcPr>
            <w:tcW w:w="9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2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4"/>
              </w:rPr>
              <w:t>(Years)</w:t>
            </w:r>
          </w:p>
        </w:tc>
        <w:tc>
          <w:tcPr>
            <w:tcW w:w="180" w:type="dxa"/>
            <w:vAlign w:val="bottom"/>
          </w:tcPr>
          <w:p>
            <w:pPr>
              <w:spacing w:after="0"/>
              <w:rPr>
                <w:sz w:val="16"/>
                <w:szCs w:val="16"/>
                <w:color w:val="auto"/>
              </w:rPr>
            </w:pPr>
          </w:p>
        </w:tc>
        <w:tc>
          <w:tcPr>
            <w:tcW w:w="8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180" w:type="dxa"/>
            <w:vAlign w:val="bottom"/>
          </w:tcPr>
          <w:p>
            <w:pPr>
              <w:spacing w:after="0"/>
              <w:rPr>
                <w:sz w:val="16"/>
                <w:szCs w:val="16"/>
                <w:color w:val="auto"/>
              </w:rPr>
            </w:pPr>
          </w:p>
        </w:tc>
        <w:tc>
          <w:tcPr>
            <w:tcW w:w="90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0" w:type="dxa"/>
            <w:vAlign w:val="bottom"/>
          </w:tcPr>
          <w:p>
            <w:pPr>
              <w:spacing w:after="0"/>
              <w:rPr>
                <w:sz w:val="1"/>
                <w:szCs w:val="1"/>
                <w:color w:val="auto"/>
              </w:rPr>
            </w:pPr>
          </w:p>
        </w:tc>
      </w:tr>
      <w:tr>
        <w:trPr>
          <w:trHeight w:val="197"/>
        </w:trPr>
        <w:tc>
          <w:tcPr>
            <w:tcW w:w="2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Amortizing intangible assets:</w:t>
            </w: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relationships</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89,832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(28,664)</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61,168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90,350</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(26,982)</w:t>
            </w:r>
          </w:p>
        </w:tc>
        <w:tc>
          <w:tcPr>
            <w:tcW w:w="100" w:type="dxa"/>
            <w:vAlign w:val="bottom"/>
          </w:tcPr>
          <w:p>
            <w:pPr>
              <w:spacing w:after="0"/>
              <w:rPr>
                <w:sz w:val="18"/>
                <w:szCs w:val="18"/>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63,368</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name</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38,142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28,287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28,665</w:t>
            </w:r>
          </w:p>
        </w:tc>
        <w:tc>
          <w:tcPr>
            <w:tcW w:w="0" w:type="dxa"/>
            <w:vAlign w:val="bottom"/>
          </w:tcPr>
          <w:p>
            <w:pPr>
              <w:spacing w:after="0"/>
              <w:rPr>
                <w:sz w:val="1"/>
                <w:szCs w:val="1"/>
                <w:color w:val="auto"/>
              </w:rPr>
            </w:pPr>
          </w:p>
        </w:tc>
      </w:tr>
      <w:tr>
        <w:trPr>
          <w:trHeight w:val="209"/>
        </w:trPr>
        <w:tc>
          <w:tcPr>
            <w:tcW w:w="2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Developed technology</w:t>
            </w:r>
          </w:p>
        </w:tc>
        <w:tc>
          <w:tcPr>
            <w:tcW w:w="180" w:type="dxa"/>
            <w:vAlign w:val="bottom"/>
          </w:tcPr>
          <w:p>
            <w:pPr>
              <w:spacing w:after="0"/>
              <w:rPr>
                <w:sz w:val="18"/>
                <w:szCs w:val="18"/>
                <w:color w:val="auto"/>
              </w:rPr>
            </w:pP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116,354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48,617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54,538</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Contributor content</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66,590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36,706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65,628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37,731</w:t>
            </w:r>
          </w:p>
        </w:tc>
        <w:tc>
          <w:tcPr>
            <w:tcW w:w="0" w:type="dxa"/>
            <w:vAlign w:val="bottom"/>
          </w:tcPr>
          <w:p>
            <w:pPr>
              <w:spacing w:after="0"/>
              <w:rPr>
                <w:sz w:val="1"/>
                <w:szCs w:val="1"/>
                <w:color w:val="auto"/>
              </w:rPr>
            </w:pPr>
          </w:p>
        </w:tc>
      </w:tr>
      <w:tr>
        <w:trPr>
          <w:trHeight w:val="209"/>
        </w:trPr>
        <w:tc>
          <w:tcPr>
            <w:tcW w:w="2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Patents</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29"/>
        </w:trPr>
        <w:tc>
          <w:tcPr>
            <w:tcW w:w="2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311,177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(136,309)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174,868</w:t>
            </w:r>
          </w:p>
        </w:tc>
        <w:tc>
          <w:tcPr>
            <w:tcW w:w="1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310,088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(125,692)</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184,396</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1" w:lineRule="exact"/>
        <w:rPr>
          <w:sz w:val="20"/>
          <w:szCs w:val="20"/>
          <w:color w:val="auto"/>
        </w:rPr>
      </w:pPr>
    </w:p>
    <w:p>
      <w:pPr>
        <w:ind w:right="180" w:firstLine="395"/>
        <w:spacing w:after="0" w:line="256" w:lineRule="auto"/>
        <w:rPr>
          <w:sz w:val="20"/>
          <w:szCs w:val="20"/>
          <w:color w:val="auto"/>
        </w:rPr>
      </w:pPr>
      <w:r>
        <w:rPr>
          <w:rFonts w:ascii="Times New Roman" w:cs="Times New Roman" w:eastAsia="Times New Roman" w:hAnsi="Times New Roman"/>
          <w:sz w:val="18"/>
          <w:szCs w:val="18"/>
          <w:color w:val="auto"/>
        </w:rPr>
        <w:t>Amortization expense was $11.0 million and $9.8 million for the three months ended March 31, 2024 and 2023, respectively. Of these amounts, $10.0 million and $9.2 million are included in cost of revenue for the three months ended March 31, 2024 and 2023, respectively, and $1.0 million and $0.6 million are included in general and administrative expense for the three months ended March 31, 2024 and 2023, respectively.</w:t>
      </w:r>
    </w:p>
    <w:p>
      <w:pPr>
        <w:spacing w:after="0" w:line="75" w:lineRule="exact"/>
        <w:rPr>
          <w:sz w:val="20"/>
          <w:szCs w:val="20"/>
          <w:color w:val="auto"/>
        </w:rPr>
      </w:pPr>
    </w:p>
    <w:p>
      <w:pPr>
        <w:jc w:val="both"/>
        <w:ind w:right="40" w:firstLine="395"/>
        <w:spacing w:after="0" w:line="256" w:lineRule="auto"/>
        <w:rPr>
          <w:sz w:val="20"/>
          <w:szCs w:val="20"/>
          <w:color w:val="auto"/>
        </w:rPr>
      </w:pPr>
      <w:r>
        <w:rPr>
          <w:rFonts w:ascii="Times New Roman" w:cs="Times New Roman" w:eastAsia="Times New Roman" w:hAnsi="Times New Roman"/>
          <w:sz w:val="18"/>
          <w:szCs w:val="18"/>
          <w:color w:val="auto"/>
        </w:rPr>
        <w:t>The Company determined that there was no indication of impairment of the intangible assets for any period presented. Estimated amortization expense is: $27.0 million for the remaining nine months of 2024, $27.5 million in 2025, $25.2 million in 2026, $19.0 million in 2027, $16.5 million in 2028, $15.3 million in 2029 and $44.3 million thereafter.</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March 31, 2024</w:t>
            </w: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2023</w:t>
            </w:r>
          </w:p>
        </w:tc>
      </w:tr>
      <w:tr>
        <w:trPr>
          <w:trHeight w:val="24"/>
        </w:trPr>
        <w:tc>
          <w:tcPr>
            <w:tcW w:w="8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4"/>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44,268</w:t>
            </w: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75,752</w:t>
            </w:r>
          </w:p>
        </w:tc>
      </w:tr>
      <w:tr>
        <w:trPr>
          <w:trHeight w:val="209"/>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Non-income taxes</w:t>
            </w:r>
          </w:p>
        </w:tc>
        <w:tc>
          <w:tcPr>
            <w:tcW w:w="120" w:type="dxa"/>
            <w:vAlign w:val="bottom"/>
          </w:tcPr>
          <w:p>
            <w:pPr>
              <w:spacing w:after="0"/>
              <w:rPr>
                <w:sz w:val="18"/>
                <w:szCs w:val="18"/>
                <w:color w:val="auto"/>
              </w:rPr>
            </w:pPr>
          </w:p>
        </w:tc>
        <w:tc>
          <w:tcPr>
            <w:tcW w:w="14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24,175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23,702</w:t>
            </w:r>
          </w:p>
        </w:tc>
      </w:tr>
      <w:tr>
        <w:trPr>
          <w:trHeight w:val="21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Website hosting and marketing fees</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11,222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11,804</w:t>
            </w:r>
          </w:p>
        </w:tc>
      </w:tr>
      <w:tr>
        <w:trPr>
          <w:trHeight w:val="209"/>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19,547</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20,185</w:t>
            </w:r>
          </w:p>
        </w:tc>
      </w:tr>
      <w:tr>
        <w:trPr>
          <w:trHeight w:val="229"/>
        </w:trPr>
        <w:tc>
          <w:tcPr>
            <w:tcW w:w="8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accrued expenses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99,212</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131,443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220" w:firstLine="395"/>
        <w:spacing w:after="0" w:line="256" w:lineRule="auto"/>
        <w:rPr>
          <w:sz w:val="20"/>
          <w:szCs w:val="20"/>
          <w:color w:val="auto"/>
        </w:rPr>
      </w:pPr>
      <w:r>
        <w:rPr>
          <w:rFonts w:ascii="Times New Roman" w:cs="Times New Roman" w:eastAsia="Times New Roman" w:hAnsi="Times New Roman"/>
          <w:sz w:val="18"/>
          <w:szCs w:val="18"/>
          <w:color w:val="auto"/>
        </w:rPr>
        <w:t>As of March 31, 2024, compensation-related accrued expenses included amounts due to Giphy employees for compensation earned pre-acquisition and severance costs associated with workforce optimizations. Approximately $1.8 million and $7.7 million of severance costs associated with workforce optimization is included within accrued expenses as of March 31, 2024 and December 31, 2023, respectively.</w:t>
      </w:r>
    </w:p>
    <w:p>
      <w:pPr>
        <w:spacing w:after="0" w:line="200" w:lineRule="exact"/>
        <w:rPr>
          <w:sz w:val="20"/>
          <w:szCs w:val="20"/>
          <w:color w:val="auto"/>
        </w:rPr>
      </w:pPr>
    </w:p>
    <w:p>
      <w:pPr>
        <w:spacing w:after="0" w:line="34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11"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On May 6, 2022, the Company entered into a five-year $100 million unsecured revolving loan facility (the “Credit Facility”) with Bank of America, N.A., as Administrative Agent and other lenders. The Credit Facility includes a letter of credit sub-facility and a swingline facility and it also permits, subject to the satisfaction of certain conditions, up to $100 million of additional revolving loan commitments with the consent of the Administrative Agent.</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 the Company’s option, revolving loans accrue interest at a per annum rate based on either (i) the base rate plus a margin ranging from 0.125%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0.500%, determined based on the Company’s consolidated leverage ratio or (ii) the Term Secured Overnight Financing Rate (“SOFR”) (for interest periods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3 or 6 months) plus a margin ranging from 1.125% to 1.5%, determined based on the Company’s consolidated leverage ratio. The Company is also required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pay an unused commitment fee ranging from 0.150% to 0.225%, determined based on the Company’s consolidated leverage ratio. In connection with the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execution of this agreement, the Company paid debt issuance costs of approximately $0.6 million.</w:t>
      </w:r>
    </w:p>
    <w:p>
      <w:pPr>
        <w:spacing w:after="0" w:line="91"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As of March 31, 2024 and December 31, 2023, the Company had $30 million of outstanding borrowings under the Credit Facility. As of March 31, 2024, the Company had a remaining borrowing capacity of $67 million, net of standby letters of credit. For the three months ended March 31, 2024, the Company recognized interest expense of $0.6 million.</w:t>
      </w:r>
    </w:p>
    <w:p>
      <w:pPr>
        <w:spacing w:after="0" w:line="75" w:lineRule="exact"/>
        <w:rPr>
          <w:sz w:val="20"/>
          <w:szCs w:val="20"/>
          <w:color w:val="auto"/>
        </w:rPr>
      </w:pPr>
    </w:p>
    <w:p>
      <w:pPr>
        <w:ind w:right="140" w:firstLine="395"/>
        <w:spacing w:after="0" w:line="303" w:lineRule="auto"/>
        <w:rPr>
          <w:sz w:val="20"/>
          <w:szCs w:val="20"/>
          <w:color w:val="auto"/>
        </w:rPr>
      </w:pPr>
      <w:r>
        <w:rPr>
          <w:rFonts w:ascii="Times New Roman" w:cs="Times New Roman" w:eastAsia="Times New Roman" w:hAnsi="Times New Roman"/>
          <w:sz w:val="16"/>
          <w:szCs w:val="16"/>
          <w:color w:val="auto"/>
        </w:rPr>
        <w:t>The Credit Facility contains financial covenants and requirements restricting certain of the Company’s activities, which are usual and customary for this type of credit facility. The Company is also required to maintain compliance with a consolidated leverage ratio and a consolidated interest coverage ratio, in each case, determined in accordance with the terms of the Credit Facility. As of March 31, 2024, the Company was in compliance with these covenants.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Stockholders’ Equity and Equity-Based Compensation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58"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The Company issued approximately 31,000 and 85,000 shares of common stock during the three months ended March 31, 2024 and 2023, respectively, related to the exercise of stock options and the vesting of Restricted Stock Units.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Stock</w:t>
      </w:r>
    </w:p>
    <w:p>
      <w:pPr>
        <w:spacing w:after="0" w:line="58" w:lineRule="exact"/>
        <w:rPr>
          <w:sz w:val="20"/>
          <w:szCs w:val="20"/>
          <w:color w:val="auto"/>
        </w:rPr>
      </w:pPr>
    </w:p>
    <w:p>
      <w:pPr>
        <w:ind w:right="120" w:firstLine="395"/>
        <w:spacing w:after="0" w:line="268" w:lineRule="auto"/>
        <w:rPr>
          <w:sz w:val="20"/>
          <w:szCs w:val="20"/>
          <w:color w:val="auto"/>
        </w:rPr>
      </w:pPr>
      <w:r>
        <w:rPr>
          <w:rFonts w:ascii="Times New Roman" w:cs="Times New Roman" w:eastAsia="Times New Roman" w:hAnsi="Times New Roman"/>
          <w:sz w:val="18"/>
          <w:szCs w:val="18"/>
          <w:color w:val="auto"/>
        </w:rPr>
        <w:t>In June 2023, the Company’s Board of Directors approved a share repurchase program (the “2023 Share Repurchase Program”), providing authorization to repurchase up to $100 million of its common stock.</w:t>
      </w:r>
    </w:p>
    <w:p>
      <w:pPr>
        <w:spacing w:after="0" w:line="64"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The Company expects to fund future repurchases, if any, through a combination of cash on hand, cash generated by operations and future financing transactions, if appropriate. Accordingly, the 2023 Share Repurchase Program is subject to the Company having available cash to fund repurchases. Under the 2023 Share Repurchase Program, share repurchase program, management is authorized to purchase shares of the Company’s common stock from time to time through open market purchases or privately negotiated transactions at prevailing prices as permitted by securities laws and other legal requirements, and subject to market conditions and other factors.</w:t>
      </w:r>
    </w:p>
    <w:p>
      <w:pPr>
        <w:spacing w:after="0" w:line="80" w:lineRule="exact"/>
        <w:rPr>
          <w:sz w:val="20"/>
          <w:szCs w:val="20"/>
          <w:color w:val="auto"/>
        </w:rPr>
      </w:pPr>
    </w:p>
    <w:p>
      <w:pPr>
        <w:ind w:right="40" w:firstLine="395"/>
        <w:spacing w:after="0" w:line="256" w:lineRule="auto"/>
        <w:rPr>
          <w:sz w:val="20"/>
          <w:szCs w:val="20"/>
          <w:color w:val="auto"/>
        </w:rPr>
      </w:pPr>
      <w:r>
        <w:rPr>
          <w:rFonts w:ascii="Times New Roman" w:cs="Times New Roman" w:eastAsia="Times New Roman" w:hAnsi="Times New Roman"/>
          <w:sz w:val="18"/>
          <w:szCs w:val="18"/>
          <w:color w:val="auto"/>
        </w:rPr>
        <w:t>As of March 31, 2024, the Company has repurchased approximately 4.4 million shares of common stock under the 2023 Share Repurchase Program at an average per-share cost of $51.74. During the three months ended March 31, 2024, the Company did not repurchase any shares of common stock. As of March 31, 2024, the Company had $71.8 million of remaining authorization for purchases under the 2023 Share Repurchase Program.</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13" w:lineRule="exact"/>
        <w:rPr>
          <w:sz w:val="20"/>
          <w:szCs w:val="20"/>
          <w:color w:val="auto"/>
        </w:rPr>
      </w:pPr>
    </w:p>
    <w:p>
      <w:pPr>
        <w:ind w:right="20" w:firstLine="395"/>
        <w:spacing w:after="0" w:line="268" w:lineRule="auto"/>
        <w:rPr>
          <w:sz w:val="20"/>
          <w:szCs w:val="20"/>
          <w:color w:val="auto"/>
        </w:rPr>
      </w:pPr>
      <w:r>
        <w:rPr>
          <w:rFonts w:ascii="Times New Roman" w:cs="Times New Roman" w:eastAsia="Times New Roman" w:hAnsi="Times New Roman"/>
          <w:sz w:val="18"/>
          <w:szCs w:val="18"/>
          <w:color w:val="auto"/>
        </w:rPr>
        <w:t>The Company declared and paid cash dividends of $0.30 and $0.27 per share of common stock, or $10.7 million and $9.7 million during the three months ended March 31, 2024 and 2023, respectively.</w:t>
      </w:r>
    </w:p>
    <w:p>
      <w:pPr>
        <w:spacing w:after="0" w:line="169" w:lineRule="exact"/>
        <w:rPr>
          <w:sz w:val="20"/>
          <w:szCs w:val="20"/>
          <w:color w:val="auto"/>
        </w:rPr>
      </w:pPr>
    </w:p>
    <w:p>
      <w:pPr>
        <w:ind w:right="120" w:firstLine="395"/>
        <w:spacing w:after="0" w:line="252" w:lineRule="auto"/>
        <w:rPr>
          <w:sz w:val="20"/>
          <w:szCs w:val="20"/>
          <w:color w:val="auto"/>
        </w:rPr>
      </w:pPr>
      <w:r>
        <w:rPr>
          <w:rFonts w:ascii="Times New Roman" w:cs="Times New Roman" w:eastAsia="Times New Roman" w:hAnsi="Times New Roman"/>
          <w:sz w:val="18"/>
          <w:szCs w:val="18"/>
          <w:color w:val="auto"/>
        </w:rPr>
        <w:t>On April 22, 2024, the Company’s Board of Directors declared a quarterly cash dividend of $0.30 per share of outstanding common stock payable on June 13, 2024 to stockholders of record at the close of business on May 30, 2024. Future declarations of dividends are subject to the final determination of the Board of Directors, and will depend on, among other things, the Company’s future financial condition, results of operations, capital requirements, capital expenditure requirements,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contractual restrictions, anticipated cash needs, business prospects, provisions of applicable law and other factors the Board of Directors may deem relevant.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13"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The Company recognizes stock-based compensation expense for all equity-based compensation awards, including employee Restricted Stock Units and Performance-based Restricted Stock Units (“PRSUs” and, collectively with Restricted Stock Units, “RSUs”) and stock options, based on the fair value of each award on the grant date. Awards granted prior to June 1, 2022 were granted under the Company’s Amended and Restated 2012 Omnibus Equity Incentive Plan (the “2012 Plan”). At the Annual Meeting held on June 2, 2022, the Company’s stockholders approved the 2022 Omnibus Equity Incentive Plan (the “2022 Plan”). Awards granted subsequent to June 2, 2022 were granted under the 2022 Plan.</w:t>
      </w:r>
    </w:p>
    <w:p>
      <w:pPr>
        <w:spacing w:after="0" w:line="80" w:lineRule="exact"/>
        <w:rPr>
          <w:sz w:val="20"/>
          <w:szCs w:val="20"/>
          <w:color w:val="auto"/>
        </w:rPr>
      </w:pPr>
    </w:p>
    <w:p>
      <w:pPr>
        <w:ind w:right="680" w:firstLine="395"/>
        <w:spacing w:after="0" w:line="268" w:lineRule="auto"/>
        <w:rPr>
          <w:sz w:val="20"/>
          <w:szCs w:val="20"/>
          <w:color w:val="auto"/>
        </w:rPr>
      </w:pPr>
      <w:r>
        <w:rPr>
          <w:rFonts w:ascii="Times New Roman" w:cs="Times New Roman" w:eastAsia="Times New Roman" w:hAnsi="Times New Roman"/>
          <w:sz w:val="18"/>
          <w:szCs w:val="18"/>
          <w:color w:val="auto"/>
        </w:rPr>
        <w:t>The following table summarizes non-cash equity-based compensation expense, net of forfeitures, by financial statement line item included in the accompanying Consolidated Statements of Operations for the three months ended March 31, 2024 and 2023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Pr>
          <w:p>
            <w:pPr>
              <w:spacing w:after="0"/>
              <w:rPr>
                <w:sz w:val="16"/>
                <w:szCs w:val="16"/>
                <w:color w:val="auto"/>
              </w:rPr>
            </w:pPr>
          </w:p>
        </w:tc>
      </w:tr>
      <w:tr>
        <w:trPr>
          <w:trHeight w:val="24"/>
        </w:trPr>
        <w:tc>
          <w:tcPr>
            <w:tcW w:w="83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84"/>
        </w:trPr>
        <w:tc>
          <w:tcPr>
            <w:tcW w:w="83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r>
      <w:tr>
        <w:trPr>
          <w:trHeight w:val="21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w:t>
            </w:r>
          </w:p>
        </w:tc>
        <w:tc>
          <w:tcPr>
            <w:tcW w:w="860" w:type="dxa"/>
            <w:vAlign w:val="bottom"/>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w:t>
            </w:r>
          </w:p>
        </w:tc>
      </w:tr>
      <w:tr>
        <w:trPr>
          <w:trHeight w:val="209"/>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2,011</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w:t>
            </w:r>
          </w:p>
        </w:tc>
      </w:tr>
      <w:tr>
        <w:trPr>
          <w:trHeight w:val="212"/>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development</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2,448</w:t>
            </w:r>
          </w:p>
        </w:tc>
      </w:tr>
      <w:tr>
        <w:trPr>
          <w:trHeight w:val="20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6,630</w:t>
            </w: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5,407</w:t>
            </w:r>
          </w:p>
        </w:tc>
      </w:tr>
      <w:tr>
        <w:trPr>
          <w:trHeight w:val="229"/>
        </w:trPr>
        <w:tc>
          <w:tcPr>
            <w:tcW w:w="8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860" w:type="dxa"/>
            <w:vAlign w:val="bottom"/>
            <w:tcBorders>
              <w:bottom w:val="single" w:sz="8" w:color="auto"/>
            </w:tcBorders>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11,150</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8,643</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For the three months ended March 31, 2024 and 2023, substantially all of the Company’s non-cash equity-based compensation expense related to RSUs.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 Awards</w:t>
      </w:r>
    </w:p>
    <w:p>
      <w:pPr>
        <w:spacing w:after="0" w:line="216" w:lineRule="exact"/>
        <w:rPr>
          <w:sz w:val="20"/>
          <w:szCs w:val="20"/>
          <w:color w:val="auto"/>
        </w:rPr>
      </w:pPr>
    </w:p>
    <w:p>
      <w:pPr>
        <w:ind w:right="480" w:firstLine="395"/>
        <w:spacing w:after="0" w:line="268" w:lineRule="auto"/>
        <w:rPr>
          <w:sz w:val="20"/>
          <w:szCs w:val="20"/>
          <w:color w:val="auto"/>
        </w:rPr>
      </w:pPr>
      <w:r>
        <w:rPr>
          <w:rFonts w:ascii="Times New Roman" w:cs="Times New Roman" w:eastAsia="Times New Roman" w:hAnsi="Times New Roman"/>
          <w:sz w:val="18"/>
          <w:szCs w:val="18"/>
          <w:color w:val="auto"/>
        </w:rPr>
        <w:t>During the three months ended March 31, 2024, no options to purchase shares of its common stock were granted. As of March 31, 2024, there were approximately 299,000 options vested and exercisable with a weighted average exercise price of $34.14.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Awards</w:t>
      </w:r>
    </w:p>
    <w:p>
      <w:pPr>
        <w:spacing w:after="0" w:line="58" w:lineRule="exact"/>
        <w:rPr>
          <w:sz w:val="20"/>
          <w:szCs w:val="20"/>
          <w:color w:val="auto"/>
        </w:rPr>
      </w:pPr>
    </w:p>
    <w:p>
      <w:pPr>
        <w:ind w:right="180" w:firstLine="395"/>
        <w:spacing w:after="0" w:line="252" w:lineRule="auto"/>
        <w:rPr>
          <w:sz w:val="20"/>
          <w:szCs w:val="20"/>
          <w:color w:val="auto"/>
        </w:rPr>
      </w:pPr>
      <w:r>
        <w:rPr>
          <w:rFonts w:ascii="Times New Roman" w:cs="Times New Roman" w:eastAsia="Times New Roman" w:hAnsi="Times New Roman"/>
          <w:sz w:val="18"/>
          <w:szCs w:val="18"/>
          <w:color w:val="auto"/>
        </w:rPr>
        <w:t>During the three months ended March 31, 2024, the Company had RSU grants, net of forfeitures, of approximately 71,000. As of March 31, 2024, there are approximately 1,958,000 non-vested RSUs outstanding with a weighted average grant-date fair value of $66.45. As of March 31, 2024, the total unrecognized non-cash equity-based compensation expense related to the non-vested RSUs was approximately $64.6 million, which is expected to be recognized through 2028.</w:t>
      </w:r>
    </w:p>
    <w:p>
      <w:pPr>
        <w:spacing w:after="0" w:line="78" w:lineRule="exact"/>
        <w:rPr>
          <w:sz w:val="20"/>
          <w:szCs w:val="20"/>
          <w:color w:val="auto"/>
        </w:rPr>
      </w:pPr>
    </w:p>
    <w:p>
      <w:pPr>
        <w:ind w:right="640" w:firstLine="395"/>
        <w:spacing w:after="0" w:line="268" w:lineRule="auto"/>
        <w:rPr>
          <w:sz w:val="20"/>
          <w:szCs w:val="20"/>
          <w:color w:val="auto"/>
        </w:rPr>
      </w:pPr>
      <w:r>
        <w:rPr>
          <w:rFonts w:ascii="Times New Roman" w:cs="Times New Roman" w:eastAsia="Times New Roman" w:hAnsi="Times New Roman"/>
          <w:sz w:val="18"/>
          <w:szCs w:val="18"/>
          <w:color w:val="auto"/>
        </w:rPr>
        <w:t>During the three months ended March 31, 2024 and 2023, shares of common stock with an aggregate value of $1.0 million and $4.2 million were withheld upon vesting of RSUs and paid in connection with related remittance of employee withholding taxes to taxing authorities.</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On April 1, 2024, the Company granted approximately 1,422,000 RSUs with a grant date fair value of $61 million.</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Revenue</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distributes its products through two primary offerings:</w:t>
      </w:r>
    </w:p>
    <w:p>
      <w:pPr>
        <w:spacing w:after="0" w:line="107" w:lineRule="exact"/>
        <w:rPr>
          <w:sz w:val="20"/>
          <w:szCs w:val="20"/>
          <w:color w:val="auto"/>
        </w:rPr>
      </w:pPr>
    </w:p>
    <w:p>
      <w:pPr>
        <w:ind w:right="40"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Content</w:t>
      </w:r>
      <w:r>
        <w:rPr>
          <w:rFonts w:ascii="Times New Roman" w:cs="Times New Roman" w:eastAsia="Times New Roman" w:hAnsi="Times New Roman"/>
          <w:sz w:val="18"/>
          <w:szCs w:val="18"/>
          <w:color w:val="auto"/>
        </w:rPr>
        <w:t>: The majority of the Company’s customers license image, video, music and 3D content for commercial purposes either directly through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self-service web properties or through the Company’s dedicated sales teams. Content customers have the flexibility to purchase subscription-based plans that are paid on a monthly or annual basis. Customers are also able to license content on a transactional basis. These customers generally license content under the Company’s standard or enhanced licenses, with additional licensing options available to meet customers’ individual needs. Certain content customers also have unique content, licensing and workflow needs. These customers communicate with dedicated sales professionals, service and research teams which provide a number of tailored enhancements to their creative workflows including non-</w:t>
      </w:r>
    </w:p>
    <w:p>
      <w:pPr>
        <w:spacing w:after="0" w:line="200" w:lineRule="exact"/>
        <w:rPr>
          <w:sz w:val="20"/>
          <w:szCs w:val="20"/>
          <w:color w:val="auto"/>
        </w:rPr>
      </w:pPr>
    </w:p>
    <w:p>
      <w:pPr>
        <w:spacing w:after="0" w:line="35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color w:val="auto"/>
        </w:rPr>
        <w:t>standard licensing rights, multi-seat access, ability to pay on credit terms, multi-brand licensing packages, increased indemnification protection and content licensed for use-cases outside of those available on the e-commerce platform.</w:t>
      </w:r>
    </w:p>
    <w:p>
      <w:pPr>
        <w:spacing w:after="0" w:line="62" w:lineRule="exact"/>
        <w:rPr>
          <w:sz w:val="20"/>
          <w:szCs w:val="20"/>
          <w:color w:val="auto"/>
        </w:rPr>
      </w:pPr>
    </w:p>
    <w:p>
      <w:pPr>
        <w:jc w:val="both"/>
        <w:ind w:right="10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Data, Distribution, and Services</w:t>
      </w:r>
      <w:r>
        <w:rPr>
          <w:rFonts w:ascii="Times New Roman" w:cs="Times New Roman" w:eastAsia="Times New Roman" w:hAnsi="Times New Roman"/>
          <w:sz w:val="18"/>
          <w:szCs w:val="18"/>
          <w:color w:val="auto"/>
        </w:rPr>
        <w:t>: The Company’s Data, Distribution, and Services offerings address customer demand for products and services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beyond the stock image, footage music and 3D model licenses. These offerings include access to the Company’s metadata for machine learning and generative artificial intelligence model training and high-quality production and custom content at scale provided by Shutterstock Studios.</w:t>
      </w:r>
    </w:p>
    <w:p>
      <w:pPr>
        <w:spacing w:after="0" w:line="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revenues by product offering for the three months ended March 31, 2024 and 2023 are as follows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4"/>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3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0"/>
        </w:trPr>
        <w:tc>
          <w:tcPr>
            <w:tcW w:w="8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3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04"/>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w:t>
            </w: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173,830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193,984</w:t>
            </w:r>
          </w:p>
        </w:tc>
      </w:tr>
      <w:tr>
        <w:trPr>
          <w:trHeight w:val="20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40,485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21,296</w:t>
            </w:r>
          </w:p>
        </w:tc>
      </w:tr>
      <w:tr>
        <w:trPr>
          <w:trHeight w:val="231"/>
        </w:trPr>
        <w:tc>
          <w:tcPr>
            <w:tcW w:w="8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214,315</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215,280</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20" w:firstLine="395"/>
        <w:spacing w:after="0" w:line="249" w:lineRule="auto"/>
        <w:rPr>
          <w:sz w:val="20"/>
          <w:szCs w:val="20"/>
          <w:color w:val="auto"/>
        </w:rPr>
      </w:pPr>
      <w:r>
        <w:rPr>
          <w:rFonts w:ascii="Times New Roman" w:cs="Times New Roman" w:eastAsia="Times New Roman" w:hAnsi="Times New Roman"/>
          <w:sz w:val="18"/>
          <w:szCs w:val="18"/>
          <w:color w:val="auto"/>
        </w:rPr>
        <w:t>Deferred revenue reported on the balance sheet represents unfulfilled performance obligations for which the Company has either received payment or has outstanding receivables. The March 31, 2024 deferred revenue balance will be earned as content is downloaded or upon the expiration of subscription-based products, and nearly all is expected to be earned within the next twelve months. $82.7 million of total revenue recognized for the three months ended March 31, 2024 was reflected in deferred revenue as of December 31, 2023. In addition, as of March 31, 2024, the Company has approximately $60.1 million of contracted but unsatisfied performance obligations relating primarily to our data deal offerings, which are not included as a component of deferred revenue and that the Company expects to recognize over a five year period.</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Other Income, net</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table presents a summary of the Company’s other income and expense activity included in the accompanying Consolidated Statements of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for the three months ended March 31, 2024 and 2023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80" w:type="dxa"/>
            <w:vAlign w:val="bottom"/>
          </w:tcPr>
          <w:p>
            <w:pPr>
              <w:spacing w:after="0"/>
              <w:rPr>
                <w:sz w:val="16"/>
                <w:szCs w:val="16"/>
                <w:color w:val="auto"/>
              </w:rPr>
            </w:pPr>
          </w:p>
        </w:tc>
        <w:tc>
          <w:tcPr>
            <w:tcW w:w="24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Pr>
          <w:p>
            <w:pPr>
              <w:spacing w:after="0"/>
              <w:rPr>
                <w:sz w:val="16"/>
                <w:szCs w:val="16"/>
                <w:color w:val="auto"/>
              </w:rPr>
            </w:pPr>
          </w:p>
        </w:tc>
      </w:tr>
      <w:tr>
        <w:trPr>
          <w:trHeight w:val="24"/>
        </w:trPr>
        <w:tc>
          <w:tcPr>
            <w:tcW w:w="83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184"/>
        </w:trPr>
        <w:tc>
          <w:tcPr>
            <w:tcW w:w="838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r>
      <w:tr>
        <w:trPr>
          <w:trHeight w:val="21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(loss) / gain</w:t>
            </w:r>
          </w:p>
        </w:tc>
        <w:tc>
          <w:tcPr>
            <w:tcW w:w="900" w:type="dxa"/>
            <w:vAlign w:val="bottom"/>
            <w:shd w:val="clear" w:color="auto" w:fill="CCEEFF"/>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1,111</w:t>
            </w:r>
          </w:p>
        </w:tc>
      </w:tr>
      <w:tr>
        <w:trPr>
          <w:trHeight w:val="209"/>
        </w:trPr>
        <w:tc>
          <w:tcPr>
            <w:tcW w:w="8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w:t>
            </w:r>
          </w:p>
        </w:tc>
      </w:tr>
      <w:tr>
        <w:trPr>
          <w:trHeight w:val="212"/>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 unrealized gain on investments, and other</w:t>
            </w:r>
          </w:p>
        </w:tc>
        <w:tc>
          <w:tcPr>
            <w:tcW w:w="9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4,798</w:t>
            </w:r>
          </w:p>
        </w:tc>
        <w:tc>
          <w:tcPr>
            <w:tcW w:w="1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02"/>
        </w:trPr>
        <w:tc>
          <w:tcPr>
            <w:tcW w:w="8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other income</w:t>
            </w:r>
          </w:p>
        </w:tc>
        <w:tc>
          <w:tcPr>
            <w:tcW w:w="900" w:type="dxa"/>
            <w:vAlign w:val="bottom"/>
            <w:tcBorders>
              <w:bottom w:val="single" w:sz="8" w:color="auto"/>
            </w:tcBorders>
          </w:tcPr>
          <w:p>
            <w:pPr>
              <w:jc w:val="right"/>
              <w:ind w:right="72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3,644</w:t>
            </w:r>
          </w:p>
        </w:tc>
        <w:tc>
          <w:tcPr>
            <w:tcW w:w="100" w:type="dxa"/>
            <w:vAlign w:val="bottom"/>
          </w:tcPr>
          <w:p>
            <w:pPr>
              <w:spacing w:after="0"/>
              <w:rPr>
                <w:sz w:val="17"/>
                <w:szCs w:val="17"/>
                <w:color w:val="auto"/>
              </w:rPr>
            </w:pPr>
          </w:p>
        </w:tc>
        <w:tc>
          <w:tcPr>
            <w:tcW w:w="940" w:type="dxa"/>
            <w:vAlign w:val="bottom"/>
            <w:tcBorders>
              <w:bottom w:val="single" w:sz="8" w:color="auto"/>
            </w:tcBorders>
          </w:tcPr>
          <w:p>
            <w:pPr>
              <w:jc w:val="right"/>
              <w:ind w:right="764"/>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1,045</w:t>
            </w:r>
          </w:p>
        </w:tc>
      </w:tr>
      <w:tr>
        <w:trPr>
          <w:trHeight w:val="21"/>
        </w:trPr>
        <w:tc>
          <w:tcPr>
            <w:tcW w:w="83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111"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The Company’s effective tax rates were 20.9% and 20.7% for the three months ended March 31, 2024 and 2023, respectively. For the three months ended March 31, 2024, the net effect of discrete items increased the effective tax rate by 1.5%. Excluding these items, the Company’s effective tax rate would have been 19.4% for the three months ended March 31, 2024.</w:t>
      </w:r>
    </w:p>
    <w:p>
      <w:pPr>
        <w:spacing w:after="0" w:line="75" w:lineRule="exact"/>
        <w:rPr>
          <w:sz w:val="20"/>
          <w:szCs w:val="20"/>
          <w:color w:val="auto"/>
        </w:rPr>
      </w:pPr>
    </w:p>
    <w:p>
      <w:pPr>
        <w:ind w:right="800" w:firstLine="395"/>
        <w:spacing w:after="0" w:line="268" w:lineRule="auto"/>
        <w:rPr>
          <w:sz w:val="20"/>
          <w:szCs w:val="20"/>
          <w:color w:val="auto"/>
        </w:rPr>
      </w:pPr>
      <w:r>
        <w:rPr>
          <w:rFonts w:ascii="Times New Roman" w:cs="Times New Roman" w:eastAsia="Times New Roman" w:hAnsi="Times New Roman"/>
          <w:sz w:val="18"/>
          <w:szCs w:val="18"/>
          <w:color w:val="auto"/>
        </w:rPr>
        <w:t>For the three months ended March 31, 2023, the net effect of discrete items increased the effective tax rate by 0.9%. Excluding these items, the Company’s effective tax rate would have been 19.8% for the three months ended March 31, 2023.</w:t>
      </w:r>
    </w:p>
    <w:p>
      <w:pPr>
        <w:spacing w:after="0" w:line="64" w:lineRule="exact"/>
        <w:rPr>
          <w:sz w:val="20"/>
          <w:szCs w:val="20"/>
          <w:color w:val="auto"/>
        </w:rPr>
      </w:pPr>
    </w:p>
    <w:p>
      <w:pPr>
        <w:ind w:right="480" w:firstLine="395"/>
        <w:spacing w:after="0" w:line="268" w:lineRule="auto"/>
        <w:rPr>
          <w:sz w:val="20"/>
          <w:szCs w:val="20"/>
          <w:color w:val="auto"/>
        </w:rPr>
      </w:pPr>
      <w:r>
        <w:rPr>
          <w:rFonts w:ascii="Times New Roman" w:cs="Times New Roman" w:eastAsia="Times New Roman" w:hAnsi="Times New Roman"/>
          <w:sz w:val="18"/>
          <w:szCs w:val="18"/>
          <w:color w:val="auto"/>
        </w:rPr>
        <w:t>The Company has computed the provision for income taxes based on the estimated annual effective tax rate excluding loss jurisdictions with no tax benefit and the application of discrete items, if any, in the applicable period.</w:t>
      </w:r>
    </w:p>
    <w:p>
      <w:pPr>
        <w:spacing w:after="0" w:line="64" w:lineRule="exact"/>
        <w:rPr>
          <w:sz w:val="20"/>
          <w:szCs w:val="20"/>
          <w:color w:val="auto"/>
        </w:rPr>
      </w:pPr>
    </w:p>
    <w:p>
      <w:pPr>
        <w:ind w:right="760" w:firstLine="395"/>
        <w:spacing w:after="0" w:line="268" w:lineRule="auto"/>
        <w:rPr>
          <w:sz w:val="20"/>
          <w:szCs w:val="20"/>
          <w:color w:val="auto"/>
        </w:rPr>
      </w:pPr>
      <w:r>
        <w:rPr>
          <w:rFonts w:ascii="Times New Roman" w:cs="Times New Roman" w:eastAsia="Times New Roman" w:hAnsi="Times New Roman"/>
          <w:sz w:val="18"/>
          <w:szCs w:val="18"/>
          <w:color w:val="auto"/>
        </w:rPr>
        <w:t>During the three months ended March 31, 2024 and 2023, uncertain tax positions recorded by the Company were not material. To the extent the remaining uncertain tax positions are ultimately recognized, the Company’s effective tax rate may be impacted in future periods.</w:t>
      </w:r>
    </w:p>
    <w:p>
      <w:pPr>
        <w:spacing w:after="0" w:line="64" w:lineRule="exact"/>
        <w:rPr>
          <w:sz w:val="20"/>
          <w:szCs w:val="20"/>
          <w:color w:val="auto"/>
        </w:rPr>
      </w:pPr>
    </w:p>
    <w:p>
      <w:pPr>
        <w:jc w:val="both"/>
        <w:ind w:right="100" w:firstLine="395"/>
        <w:spacing w:after="0" w:line="256" w:lineRule="auto"/>
        <w:rPr>
          <w:sz w:val="20"/>
          <w:szCs w:val="20"/>
          <w:color w:val="auto"/>
        </w:rPr>
      </w:pPr>
      <w:r>
        <w:rPr>
          <w:rFonts w:ascii="Times New Roman" w:cs="Times New Roman" w:eastAsia="Times New Roman" w:hAnsi="Times New Roman"/>
          <w:sz w:val="18"/>
          <w:szCs w:val="18"/>
          <w:color w:val="auto"/>
        </w:rPr>
        <w:t>The Company recognizes interest expense and tax penalties related to unrecognized tax benefits in income tax expense in the Consolidated Statements of Operations. The Company’s accrual for interest and penalties related to unrecognized tax benefits was not material for the three months ended March 31, 2024 and 2023.</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149225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60" w:firstLine="395"/>
        <w:spacing w:after="0" w:line="268" w:lineRule="auto"/>
        <w:rPr>
          <w:sz w:val="20"/>
          <w:szCs w:val="20"/>
          <w:color w:val="auto"/>
        </w:rPr>
      </w:pPr>
      <w:r>
        <w:rPr>
          <w:rFonts w:ascii="Times New Roman" w:cs="Times New Roman" w:eastAsia="Times New Roman" w:hAnsi="Times New Roman"/>
          <w:sz w:val="18"/>
          <w:szCs w:val="18"/>
          <w:color w:val="auto"/>
        </w:rPr>
        <w:t>During the three months ended March 31, 2024, the Company had net cash taxes paid of $2.9 million and during the three months ended March 31, 2023, the Company had net cash taxes refunded of $5.2 million.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 Per Share</w:t>
      </w:r>
    </w:p>
    <w:p>
      <w:pPr>
        <w:spacing w:after="0" w:line="150" w:lineRule="exact"/>
        <w:rPr>
          <w:sz w:val="20"/>
          <w:szCs w:val="20"/>
          <w:color w:val="auto"/>
        </w:rPr>
      </w:pPr>
    </w:p>
    <w:p>
      <w:pPr>
        <w:ind w:right="280" w:firstLine="395"/>
        <w:spacing w:after="0" w:line="256" w:lineRule="auto"/>
        <w:rPr>
          <w:sz w:val="20"/>
          <w:szCs w:val="20"/>
          <w:color w:val="auto"/>
        </w:rPr>
      </w:pPr>
      <w:r>
        <w:rPr>
          <w:rFonts w:ascii="Times New Roman" w:cs="Times New Roman" w:eastAsia="Times New Roman" w:hAnsi="Times New Roman"/>
          <w:sz w:val="18"/>
          <w:szCs w:val="18"/>
          <w:color w:val="auto"/>
        </w:rPr>
        <w:t>Basic net income per share is computed using the weighted average number of shares of common stock outstanding for the period, excluding unvested RSUs and stock options. Diluted net income per share is based upon the weighted average shares of common stock outstanding for the period plus dilutive potential shares of common stock, including unvested RSUs and stock options using the treasury stock method.</w:t>
      </w:r>
    </w:p>
    <w:p>
      <w:pPr>
        <w:spacing w:after="0" w:line="101" w:lineRule="exact"/>
        <w:rPr>
          <w:sz w:val="20"/>
          <w:szCs w:val="20"/>
          <w:color w:val="auto"/>
        </w:rPr>
      </w:pPr>
    </w:p>
    <w:p>
      <w:pPr>
        <w:ind w:right="66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income per share for the three months ended March 31, 2024 and 2023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340" w:type="dxa"/>
            <w:vAlign w:val="bottom"/>
          </w:tcPr>
          <w:p>
            <w:pPr>
              <w:spacing w:after="0"/>
              <w:rPr>
                <w:sz w:val="16"/>
                <w:szCs w:val="16"/>
                <w:color w:val="auto"/>
              </w:rPr>
            </w:pPr>
          </w:p>
        </w:tc>
        <w:tc>
          <w:tcPr>
            <w:tcW w:w="2900" w:type="dxa"/>
            <w:vAlign w:val="bottom"/>
            <w:gridSpan w:val="5"/>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4"/>
        </w:trPr>
        <w:tc>
          <w:tcPr>
            <w:tcW w:w="83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34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5"/>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16,121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32,843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Shares used to compute basic net income per share</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34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w w:val="99"/>
              </w:rPr>
              <w:t>35,591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35,856</w:t>
            </w: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Dilutive potential common shares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 options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211"/>
        </w:trPr>
        <w:tc>
          <w:tcPr>
            <w:tcW w:w="8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Unvested restricted stock awards</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0" w:type="dxa"/>
            <w:vAlign w:val="bottom"/>
          </w:tcPr>
          <w:p>
            <w:pPr>
              <w:spacing w:after="0"/>
              <w:rPr>
                <w:sz w:val="1"/>
                <w:szCs w:val="1"/>
                <w:color w:val="auto"/>
              </w:rPr>
            </w:pPr>
          </w:p>
        </w:tc>
      </w:tr>
      <w:tr>
        <w:trPr>
          <w:trHeight w:val="206"/>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used to compute diluted net income per share</w:t>
            </w:r>
          </w:p>
        </w:tc>
        <w:tc>
          <w:tcPr>
            <w:tcW w:w="8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36,066</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36,575</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880" w:type="dxa"/>
            <w:vAlign w:val="bottom"/>
            <w:tcBorders>
              <w:bottom w:val="single" w:sz="8" w:color="auto"/>
            </w:tcBorders>
          </w:tcPr>
          <w:p>
            <w:pPr>
              <w:jc w:val="right"/>
              <w:ind w:right="705"/>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0.90</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83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Dilutive shares included in the calculation</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1,691</w:t>
            </w:r>
          </w:p>
        </w:tc>
        <w:tc>
          <w:tcPr>
            <w:tcW w:w="0" w:type="dxa"/>
            <w:vAlign w:val="bottom"/>
          </w:tcPr>
          <w:p>
            <w:pPr>
              <w:spacing w:after="0"/>
              <w:rPr>
                <w:sz w:val="1"/>
                <w:szCs w:val="1"/>
                <w:color w:val="auto"/>
              </w:rPr>
            </w:pPr>
          </w:p>
        </w:tc>
      </w:tr>
      <w:tr>
        <w:trPr>
          <w:trHeight w:val="21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Anti-dilutive shares excluded from the calculation</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Geographic Information</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Company’s revenue based on customer location (in thousands):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860" w:type="dxa"/>
            <w:vAlign w:val="bottom"/>
            <w:gridSpan w:val="4"/>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16"/>
                <w:szCs w:val="16"/>
                <w:color w:val="auto"/>
              </w:rPr>
            </w:pPr>
          </w:p>
        </w:tc>
      </w:tr>
      <w:tr>
        <w:trPr>
          <w:trHeight w:val="24"/>
        </w:trPr>
        <w:tc>
          <w:tcPr>
            <w:tcW w:w="77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84"/>
        </w:trPr>
        <w:tc>
          <w:tcPr>
            <w:tcW w:w="774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1060" w:type="dxa"/>
            <w:vAlign w:val="bottom"/>
            <w:shd w:val="clear" w:color="auto" w:fill="CCEEFF"/>
          </w:tcPr>
          <w:p>
            <w:pPr>
              <w:jc w:val="right"/>
              <w:ind w:right="885"/>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110,427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99,140</w:t>
            </w:r>
          </w:p>
        </w:tc>
      </w:tr>
      <w:tr>
        <w:trPr>
          <w:trHeight w:val="209"/>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55,400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59,034</w:t>
            </w: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10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48,488</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57,106</w:t>
            </w:r>
          </w:p>
        </w:tc>
      </w:tr>
      <w:tr>
        <w:trPr>
          <w:trHeight w:val="202"/>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060" w:type="dxa"/>
            <w:vAlign w:val="bottom"/>
            <w:tcBorders>
              <w:bottom w:val="single" w:sz="8" w:color="auto"/>
            </w:tcBorders>
          </w:tcPr>
          <w:p>
            <w:pPr>
              <w:jc w:val="right"/>
              <w:ind w:right="885"/>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214,315</w:t>
            </w:r>
          </w:p>
        </w:tc>
        <w:tc>
          <w:tcPr>
            <w:tcW w:w="100" w:type="dxa"/>
            <w:vAlign w:val="bottom"/>
          </w:tcPr>
          <w:p>
            <w:pPr>
              <w:spacing w:after="0"/>
              <w:rPr>
                <w:sz w:val="17"/>
                <w:szCs w:val="17"/>
                <w:color w:val="auto"/>
              </w:rPr>
            </w:pPr>
          </w:p>
        </w:tc>
        <w:tc>
          <w:tcPr>
            <w:tcW w:w="1060" w:type="dxa"/>
            <w:vAlign w:val="bottom"/>
            <w:tcBorders>
              <w:bottom w:val="single" w:sz="8" w:color="auto"/>
            </w:tcBorders>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215,280</w:t>
            </w:r>
          </w:p>
        </w:tc>
      </w:tr>
      <w:tr>
        <w:trPr>
          <w:trHeight w:val="21"/>
        </w:trPr>
        <w:tc>
          <w:tcPr>
            <w:tcW w:w="77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right="600" w:firstLine="395"/>
        <w:spacing w:after="0" w:line="268" w:lineRule="auto"/>
        <w:rPr>
          <w:sz w:val="20"/>
          <w:szCs w:val="20"/>
          <w:color w:val="auto"/>
        </w:rPr>
      </w:pPr>
      <w:r>
        <w:rPr>
          <w:rFonts w:ascii="Times New Roman" w:cs="Times New Roman" w:eastAsia="Times New Roman" w:hAnsi="Times New Roman"/>
          <w:sz w:val="18"/>
          <w:szCs w:val="18"/>
          <w:color w:val="auto"/>
        </w:rPr>
        <w:t>The United States, included in North America in the above table, accounted for 49% and 43% of consolidated revenue for the three months ended March 31, 2024 and 2023, respectively. No other country accounts for more than 10% of the Company’s revenue in any period presented.</w:t>
      </w:r>
    </w:p>
    <w:p>
      <w:pPr>
        <w:spacing w:after="0" w:line="6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long-lived tangible assets were located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80" w:type="dxa"/>
            <w:vAlign w:val="bottom"/>
          </w:tcPr>
          <w:p>
            <w:pPr>
              <w:spacing w:after="0"/>
              <w:rPr>
                <w:sz w:val="16"/>
                <w:szCs w:val="16"/>
                <w:color w:val="auto"/>
              </w:rPr>
            </w:pPr>
          </w:p>
        </w:tc>
        <w:tc>
          <w:tcPr>
            <w:tcW w:w="152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97"/>
        </w:trPr>
        <w:tc>
          <w:tcPr>
            <w:tcW w:w="7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ind w:right="62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77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4"/>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North America</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45,509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46,531</w:t>
            </w:r>
          </w:p>
        </w:tc>
      </w:tr>
      <w:tr>
        <w:trPr>
          <w:trHeight w:val="209"/>
        </w:trPr>
        <w:tc>
          <w:tcPr>
            <w:tcW w:w="7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Europe</w:t>
            </w:r>
          </w:p>
        </w:tc>
        <w:tc>
          <w:tcPr>
            <w:tcW w:w="2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17,695</w:t>
            </w:r>
          </w:p>
        </w:tc>
      </w:tr>
      <w:tr>
        <w:trPr>
          <w:trHeight w:val="212"/>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 of the world</w:t>
            </w:r>
          </w:p>
        </w:tc>
        <w:tc>
          <w:tcPr>
            <w:tcW w:w="24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02"/>
        </w:trPr>
        <w:tc>
          <w:tcPr>
            <w:tcW w:w="7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long-lived tangible assets</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63,430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64,300</w:t>
            </w:r>
          </w:p>
        </w:tc>
      </w:tr>
      <w:tr>
        <w:trPr>
          <w:trHeight w:val="21"/>
        </w:trPr>
        <w:tc>
          <w:tcPr>
            <w:tcW w:w="7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71" w:lineRule="exact"/>
        <w:rPr>
          <w:sz w:val="20"/>
          <w:szCs w:val="20"/>
          <w:color w:val="auto"/>
        </w:rPr>
      </w:pPr>
    </w:p>
    <w:p>
      <w:pPr>
        <w:jc w:val="both"/>
        <w:ind w:right="40" w:firstLine="395"/>
        <w:spacing w:after="0" w:line="303" w:lineRule="auto"/>
        <w:rPr>
          <w:sz w:val="20"/>
          <w:szCs w:val="20"/>
          <w:color w:val="auto"/>
        </w:rPr>
      </w:pPr>
      <w:r>
        <w:rPr>
          <w:rFonts w:ascii="Times New Roman" w:cs="Times New Roman" w:eastAsia="Times New Roman" w:hAnsi="Times New Roman"/>
          <w:sz w:val="16"/>
          <w:szCs w:val="16"/>
          <w:color w:val="auto"/>
        </w:rPr>
        <w:t>The United States, included in North America in the above table, accounted for 67% and 68% of total long-lived tangible assets as of March 31, 2024 and December 31, 2023, respectively. Ireland, included in Europe in the above table, accounted for 22% and 21% of total long-lived tangible assets as of March 31, 2024 and December 31, 2023, respectively. No other country accounts for more than 10% of the Company’s long-lived tangible assets in any period presented.</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111" w:lineRule="exact"/>
        <w:rPr>
          <w:sz w:val="20"/>
          <w:szCs w:val="20"/>
          <w:color w:val="auto"/>
        </w:rPr>
      </w:pPr>
    </w:p>
    <w:p>
      <w:pPr>
        <w:ind w:firstLine="395"/>
        <w:spacing w:after="0" w:line="282" w:lineRule="auto"/>
        <w:rPr>
          <w:sz w:val="20"/>
          <w:szCs w:val="20"/>
          <w:color w:val="auto"/>
        </w:rPr>
      </w:pPr>
      <w:r>
        <w:rPr>
          <w:rFonts w:ascii="Times New Roman" w:cs="Times New Roman" w:eastAsia="Times New Roman" w:hAnsi="Times New Roman"/>
          <w:sz w:val="16"/>
          <w:szCs w:val="16"/>
          <w:color w:val="auto"/>
        </w:rPr>
        <w:t>As of March 31, 2024, the Company had total non-lease obligations in the amount of approximately $73.9 million, which consisted primarily of minimum royalty guarantees and unconditional purchase obligations related to contracts for infrastructure and other business services. As of March 31, 2024, the Company’s non-lease obligations for the remainder of 2024 and for the years ending December 31, 2025, and 2026 were approximately $37.1 million,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$32.1 million, and $4.6 million, respectively.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52" w:lineRule="exact"/>
        <w:rPr>
          <w:sz w:val="20"/>
          <w:szCs w:val="20"/>
          <w:color w:val="auto"/>
        </w:rPr>
      </w:pPr>
    </w:p>
    <w:p>
      <w:pPr>
        <w:ind w:right="20" w:firstLine="395"/>
        <w:spacing w:after="0" w:line="246" w:lineRule="auto"/>
        <w:rPr>
          <w:sz w:val="20"/>
          <w:szCs w:val="20"/>
          <w:color w:val="auto"/>
        </w:rPr>
      </w:pPr>
      <w:r>
        <w:rPr>
          <w:rFonts w:ascii="Times New Roman" w:cs="Times New Roman" w:eastAsia="Times New Roman" w:hAnsi="Times New Roman"/>
          <w:sz w:val="18"/>
          <w:szCs w:val="18"/>
          <w:color w:val="auto"/>
        </w:rPr>
        <w:t>From time to time, the Company may become party to litigation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assesses the likelihood of any adverse judgments or outcomes with respect to these matters and determines loss contingency assessments on a gross basis after assessing the probability of occurrence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 reviews reserves, if any, at least quarterly and may change the amount of any such reserve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material active litigation matters and, accordingly, no material reserves related to litigation.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Employment Agreements</w:t>
      </w:r>
    </w:p>
    <w:p>
      <w:pPr>
        <w:spacing w:after="0" w:line="152" w:lineRule="exact"/>
        <w:rPr>
          <w:sz w:val="20"/>
          <w:szCs w:val="20"/>
          <w:color w:val="auto"/>
        </w:rPr>
      </w:pPr>
    </w:p>
    <w:p>
      <w:pPr>
        <w:ind w:right="120" w:firstLine="395"/>
        <w:spacing w:after="0" w:line="282" w:lineRule="auto"/>
        <w:rPr>
          <w:sz w:val="20"/>
          <w:szCs w:val="20"/>
          <w:color w:val="auto"/>
        </w:rPr>
      </w:pPr>
      <w:r>
        <w:rPr>
          <w:rFonts w:ascii="Times New Roman" w:cs="Times New Roman" w:eastAsia="Times New Roman" w:hAnsi="Times New Roman"/>
          <w:sz w:val="16"/>
          <w:szCs w:val="16"/>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the Company’s intellectual property warranties for damages to the customer directly attributable to the Company’s breach. The Company is not responsible for any damages, costs, or losses to the extent such damages, costs or losses arise as a result of the modifications made by the customer, or the context in which an image is used. The standard maximum aggregate obligation and liability to any one customer for all claims is generally limited to ten thousand dollars The Company offers certain of its customers greater levels of indemnification, including unlimited indemnification and believes that it has appropriate insurance coverage in place to adequately cover indemnification claims, if necessary. As of and for the three months ended March 31, 2024, the Company made no material payments for losses on customer indemnification claims and recorded no liabilities related to indemnification for loss contingencies, before considering any insurance recoveries.</w:t>
      </w:r>
    </w:p>
    <w:p>
      <w:pPr>
        <w:spacing w:after="0" w:line="86" w:lineRule="exact"/>
        <w:rPr>
          <w:sz w:val="20"/>
          <w:szCs w:val="20"/>
          <w:color w:val="auto"/>
        </w:rPr>
      </w:pPr>
    </w:p>
    <w:p>
      <w:pPr>
        <w:ind w:right="180" w:firstLine="395"/>
        <w:spacing w:after="0" w:line="268" w:lineRule="auto"/>
        <w:rPr>
          <w:sz w:val="20"/>
          <w:szCs w:val="20"/>
          <w:color w:val="auto"/>
        </w:rPr>
      </w:pPr>
      <w:r>
        <w:rPr>
          <w:rFonts w:ascii="Times New Roman" w:cs="Times New Roman" w:eastAsia="Times New Roman" w:hAnsi="Times New Roman"/>
          <w:sz w:val="18"/>
          <w:szCs w:val="18"/>
          <w:color w:val="auto"/>
        </w:rPr>
        <w:t>Pursuant to the Company’s charter documents and separate written indemnification agreements, the Company has certain indemnification obligations to its executive officers, certain employees and directors, as well as certain former officers and directors.</w:t>
      </w:r>
    </w:p>
    <w:p>
      <w:pPr>
        <w:spacing w:after="0" w:line="64" w:lineRule="exact"/>
        <w:rPr>
          <w:sz w:val="20"/>
          <w:szCs w:val="20"/>
          <w:color w:val="auto"/>
        </w:rPr>
      </w:pPr>
    </w:p>
    <w:p>
      <w:pPr>
        <w:ind w:right="80" w:firstLine="395"/>
        <w:spacing w:after="0" w:line="256" w:lineRule="auto"/>
        <w:rPr>
          <w:sz w:val="20"/>
          <w:szCs w:val="20"/>
          <w:color w:val="auto"/>
        </w:rPr>
      </w:pPr>
      <w:r>
        <w:rPr>
          <w:rFonts w:ascii="Times New Roman" w:cs="Times New Roman" w:eastAsia="Times New Roman" w:hAnsi="Times New Roman"/>
          <w:sz w:val="18"/>
          <w:szCs w:val="18"/>
          <w:color w:val="auto"/>
        </w:rPr>
        <w:t>The Company has also entered into employment agreements with its executive officers and certain employees. These agreements specify various employment-related matters, including annual compensation, performance incentive bonuses, and severance benefits in the event of termination or in the event of a change in control or otherwise, with or without cause.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Purchase Agreement</w:t>
      </w:r>
    </w:p>
    <w:p>
      <w:pPr>
        <w:spacing w:after="0" w:line="100" w:lineRule="exact"/>
        <w:rPr>
          <w:sz w:val="20"/>
          <w:szCs w:val="20"/>
          <w:color w:val="auto"/>
        </w:rPr>
      </w:pPr>
    </w:p>
    <w:p>
      <w:pPr>
        <w:ind w:firstLine="395"/>
        <w:spacing w:after="0" w:line="236" w:lineRule="auto"/>
        <w:rPr>
          <w:sz w:val="20"/>
          <w:szCs w:val="20"/>
          <w:color w:val="auto"/>
        </w:rPr>
      </w:pPr>
      <w:r>
        <w:rPr>
          <w:rFonts w:ascii="Times New Roman" w:cs="Times New Roman" w:eastAsia="Times New Roman" w:hAnsi="Times New Roman"/>
          <w:sz w:val="18"/>
          <w:szCs w:val="18"/>
          <w:color w:val="auto"/>
        </w:rPr>
        <w:t>On May 1, 2024, the Company entered into a Share Purchase Agreement (the “Purchase Agreement”) to acquire all of the outstanding shares (the “Acquisition”) of Envato Pty Ltd. (“Envato”). The consideration payable for the Acquisition, after customary working capital and other adjustments, will be approximately $245 million. The purchase price will be funded through a newly established credit facility. Envato is an Australian based company that provides an on-line marketplace for creative digital assets. The Company believes the Acquisition will expand its offerings across customers and products. The acquisition is anticipated to close in the third quarter, subject to regulatory approvals and other customary closing conditions.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 Letter</w:t>
      </w:r>
    </w:p>
    <w:p>
      <w:pPr>
        <w:spacing w:after="0" w:line="231" w:lineRule="exact"/>
        <w:rPr>
          <w:sz w:val="20"/>
          <w:szCs w:val="20"/>
          <w:color w:val="auto"/>
        </w:rPr>
      </w:pPr>
    </w:p>
    <w:p>
      <w:pPr>
        <w:ind w:right="160" w:firstLine="395"/>
        <w:spacing w:after="0" w:line="283" w:lineRule="auto"/>
        <w:rPr>
          <w:sz w:val="20"/>
          <w:szCs w:val="20"/>
          <w:color w:val="auto"/>
        </w:rPr>
      </w:pPr>
      <w:r>
        <w:rPr>
          <w:rFonts w:ascii="Times New Roman" w:cs="Times New Roman" w:eastAsia="Times New Roman" w:hAnsi="Times New Roman"/>
          <w:sz w:val="16"/>
          <w:szCs w:val="16"/>
          <w:color w:val="auto"/>
        </w:rPr>
        <w:t>On May 1, 2024, in connection with the execution of the Purchase Agreement, the Company entered into a commitment letter (the “Debt Commitment Letter”) with Bank of America, N.A., BofA Securities, Inc., Citibank, N.A., Wells Fargo Bank, N.A. and Citizens Bank, N.A. (collectively, the “Commitment</w:t>
      </w:r>
    </w:p>
    <w:p>
      <w:pPr>
        <w:ind w:right="60"/>
        <w:spacing w:after="0" w:line="231" w:lineRule="auto"/>
        <w:rPr>
          <w:sz w:val="20"/>
          <w:szCs w:val="20"/>
          <w:color w:val="auto"/>
        </w:rPr>
      </w:pPr>
      <w:r>
        <w:rPr>
          <w:rFonts w:ascii="Times New Roman" w:cs="Times New Roman" w:eastAsia="Times New Roman" w:hAnsi="Times New Roman"/>
          <w:sz w:val="18"/>
          <w:szCs w:val="18"/>
          <w:color w:val="auto"/>
        </w:rPr>
        <w:t>Parties”). The Debt Commitment Letter provides that the Commitment Parties have agreed to provide the Company with debt financing in connection with the Acquisition comprised of (i) a senior unsecured term loan facility in an aggregate principal amount of $125.0 million and (ii) a senior unsecured revolving credit facility in an aggregate principal amount of $250.0 million. The funding of the debt financing pursuant to the Debt Commitment Letter is contingent on the satisfaction of certain conditions set forth therein, including negotiation and execution of the definitive debt financing agreement contemplated by the Debt Commitment Letter and the Acquisition being consummated substantially contemporaneously with the initial funding of the debt financing. The proceeds from the debt financing will be used by the Company: (i) to finance the consideration, and related transaction costs, due in connection with the Acquisition, (ii) to repay certain existing indebtedness and (iii) for general corporate purposes of the Company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Management’s Discussion and Analysis of Financial Condition and Results of Operations.</w:t>
      </w:r>
    </w:p>
    <w:p>
      <w:pPr>
        <w:spacing w:after="0" w:line="109" w:lineRule="exact"/>
        <w:rPr>
          <w:sz w:val="20"/>
          <w:szCs w:val="20"/>
          <w:color w:val="auto"/>
        </w:rPr>
      </w:pPr>
    </w:p>
    <w:p>
      <w:pPr>
        <w:ind w:right="20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interim unaudited consolidated financial statements and related notes contained elsewhere in this Quarterly Report on Form 10-Q and with information contained in our other filings, including the audited consolidated financial statements included in our 2023 Form 10-K.</w:t>
      </w:r>
    </w:p>
    <w:p>
      <w:pPr>
        <w:spacing w:after="0" w:line="111" w:lineRule="exact"/>
        <w:rPr>
          <w:sz w:val="20"/>
          <w:szCs w:val="20"/>
          <w:color w:val="auto"/>
        </w:rPr>
      </w:pPr>
    </w:p>
    <w:p>
      <w:pPr>
        <w:ind w:right="26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In addition to historical consolidated financial information, this discussion contains forward-looking statements including statements about our plans, estimates and beliefs. These statements involve risks and uncertainties and our actual results could differ materially from those expressed or implied in forward-looking statements. See “Forward Looking Statements” above. See also the “Risk Factors” disclosures contained in our 2023 Form 10-K for additional discussion of the risks and uncertainties that could cause our actual results to differ materially from those expressed or implied in our forward-looking statements.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and Recent Developments</w:t>
      </w:r>
    </w:p>
    <w:p>
      <w:pPr>
        <w:spacing w:after="0" w:line="150" w:lineRule="exact"/>
        <w:rPr>
          <w:sz w:val="20"/>
          <w:szCs w:val="20"/>
          <w:color w:val="auto"/>
        </w:rPr>
      </w:pPr>
    </w:p>
    <w:p>
      <w:pPr>
        <w:ind w:right="100" w:firstLine="395"/>
        <w:spacing w:after="0" w:line="268" w:lineRule="auto"/>
        <w:rPr>
          <w:sz w:val="20"/>
          <w:szCs w:val="20"/>
          <w:color w:val="auto"/>
        </w:rPr>
      </w:pPr>
      <w:r>
        <w:rPr>
          <w:rFonts w:ascii="Times New Roman" w:cs="Times New Roman" w:eastAsia="Times New Roman" w:hAnsi="Times New Roman"/>
          <w:sz w:val="18"/>
          <w:szCs w:val="18"/>
          <w:color w:val="auto"/>
        </w:rPr>
        <w:t>Shutterstock, Inc. (referred to herein as the “Company”, “we,” “our,” and “us”) is a leading global creative platform connecting brands and businesses to high quality content.</w:t>
      </w:r>
    </w:p>
    <w:p>
      <w:pPr>
        <w:spacing w:after="0" w:line="104" w:lineRule="exact"/>
        <w:rPr>
          <w:sz w:val="20"/>
          <w:szCs w:val="20"/>
          <w:color w:val="auto"/>
        </w:rPr>
      </w:pPr>
    </w:p>
    <w:p>
      <w:pPr>
        <w:ind w:right="380" w:firstLine="395"/>
        <w:spacing w:after="0" w:line="252" w:lineRule="auto"/>
        <w:rPr>
          <w:sz w:val="20"/>
          <w:szCs w:val="20"/>
          <w:color w:val="auto"/>
        </w:rPr>
      </w:pPr>
      <w:r>
        <w:rPr>
          <w:rFonts w:ascii="Times New Roman" w:cs="Times New Roman" w:eastAsia="Times New Roman" w:hAnsi="Times New Roman"/>
          <w:sz w:val="18"/>
          <w:szCs w:val="18"/>
          <w:color w:val="auto"/>
        </w:rPr>
        <w:t>Our platform brings together users and contributors of content by providing readily-searchable content that our customers pay to license and by compensating contributors as their content is licensed. Contributors upload their content to our web properties in exchange for royalty payments based on customer download activity. Beyond content, customers also leverage our platform to assist with the entire creative process from ideation through creative execution.</w:t>
      </w:r>
    </w:p>
    <w:p>
      <w:pPr>
        <w:spacing w:after="0" w:line="104" w:lineRule="exact"/>
        <w:rPr>
          <w:sz w:val="20"/>
          <w:szCs w:val="20"/>
          <w:color w:val="auto"/>
        </w:rPr>
      </w:pPr>
    </w:p>
    <w:p>
      <w:pPr>
        <w:ind w:right="140" w:firstLine="395"/>
        <w:spacing w:after="0" w:line="332" w:lineRule="auto"/>
        <w:rPr>
          <w:sz w:val="20"/>
          <w:szCs w:val="20"/>
          <w:color w:val="auto"/>
        </w:rPr>
      </w:pPr>
      <w:r>
        <w:rPr>
          <w:rFonts w:ascii="Times New Roman" w:cs="Times New Roman" w:eastAsia="Times New Roman" w:hAnsi="Times New Roman"/>
          <w:sz w:val="16"/>
          <w:szCs w:val="16"/>
          <w:color w:val="auto"/>
        </w:rPr>
        <w:t>Digital content licensed to our customers for their creative needs includes images, footage, music, and 3D models (our “Content” offering). Our Content revenues represent the majority of our business and are supported by our searchable creative platform and driven by our large contributor network.</w:t>
      </w:r>
    </w:p>
    <w:p>
      <w:pPr>
        <w:spacing w:after="0" w:line="57" w:lineRule="exact"/>
        <w:rPr>
          <w:sz w:val="20"/>
          <w:szCs w:val="20"/>
          <w:color w:val="auto"/>
        </w:rPr>
      </w:pPr>
    </w:p>
    <w:p>
      <w:pPr>
        <w:ind w:right="40" w:firstLine="395"/>
        <w:spacing w:after="0" w:line="250" w:lineRule="auto"/>
        <w:rPr>
          <w:sz w:val="20"/>
          <w:szCs w:val="20"/>
          <w:color w:val="auto"/>
        </w:rPr>
      </w:pPr>
      <w:r>
        <w:rPr>
          <w:rFonts w:ascii="Times New Roman" w:cs="Times New Roman" w:eastAsia="Times New Roman" w:hAnsi="Times New Roman"/>
          <w:sz w:val="18"/>
          <w:szCs w:val="18"/>
          <w:color w:val="auto"/>
        </w:rPr>
        <w:t>In addition, our customers have needs that are beyond traditional content license products and services. These include (i) licenses to metadata associated with our images, footage, music tracks and 3D models through our data offering, (ii) distribution and advertising services from our Giphy business, which consists of GIFs (graphics interchange format visuals) that serve as a critical ingredient in text- and message- based conversations and in contextual advertising settings, (iii) specialized solutions for high-quality content matched with production tools and services through Shutterstock Studios and (iv) other tailored white-glove services (collectively, our “Data, Distribution, and Services” offerings).</w:t>
      </w:r>
    </w:p>
    <w:p>
      <w:pPr>
        <w:spacing w:after="0" w:line="11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Over 2.1 million active, paying customers contributed to our revenue for the twelve-month period ended March 31,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Content Offering</w:t>
      </w:r>
    </w:p>
    <w:p>
      <w:pPr>
        <w:spacing w:after="0" w:line="1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Content offering includes licenses for:</w:t>
      </w:r>
    </w:p>
    <w:p>
      <w:pPr>
        <w:spacing w:after="0" w:line="148" w:lineRule="exact"/>
        <w:rPr>
          <w:sz w:val="20"/>
          <w:szCs w:val="20"/>
          <w:color w:val="auto"/>
        </w:rPr>
      </w:pPr>
    </w:p>
    <w:p>
      <w:pPr>
        <w:ind w:left="1040" w:right="160" w:hanging="324"/>
        <w:spacing w:after="0" w:line="268" w:lineRule="auto"/>
        <w:tabs>
          <w:tab w:leader="none" w:pos="10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90" w:lineRule="exact"/>
        <w:rPr>
          <w:rFonts w:ascii="Times New Roman" w:cs="Times New Roman" w:eastAsia="Times New Roman" w:hAnsi="Times New Roman"/>
          <w:sz w:val="18"/>
          <w:szCs w:val="18"/>
          <w:color w:val="auto"/>
        </w:rPr>
      </w:pPr>
    </w:p>
    <w:p>
      <w:pPr>
        <w:ind w:left="1040" w:hanging="324"/>
        <w:spacing w:after="0" w:line="268" w:lineRule="auto"/>
        <w:tabs>
          <w:tab w:leader="none" w:pos="10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103" w:lineRule="exact"/>
        <w:rPr>
          <w:rFonts w:ascii="Times New Roman" w:cs="Times New Roman" w:eastAsia="Times New Roman" w:hAnsi="Times New Roman"/>
          <w:sz w:val="18"/>
          <w:szCs w:val="18"/>
          <w:color w:val="auto"/>
        </w:rPr>
      </w:pPr>
    </w:p>
    <w:p>
      <w:pPr>
        <w:ind w:left="1020" w:hanging="3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Music - consisting of high-quality music tracks and sound effects, which are often used to complement images and footage.</w:t>
      </w:r>
    </w:p>
    <w:p>
      <w:pPr>
        <w:spacing w:after="0" w:line="148" w:lineRule="exact"/>
        <w:rPr>
          <w:rFonts w:ascii="Times New Roman" w:cs="Times New Roman" w:eastAsia="Times New Roman" w:hAnsi="Times New Roman"/>
          <w:sz w:val="18"/>
          <w:szCs w:val="18"/>
          <w:color w:val="auto"/>
        </w:rPr>
      </w:pPr>
    </w:p>
    <w:p>
      <w:pPr>
        <w:ind w:left="1040" w:right="340" w:hanging="324"/>
        <w:spacing w:after="0" w:line="268" w:lineRule="auto"/>
        <w:tabs>
          <w:tab w:leader="none" w:pos="10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Dimensional (“3D”) Models - consisting of 3D models available in a variety of formats, used in a variety of industries such as advertising, media and video production, gaming, retail, education, design and architecture.</w:t>
      </w:r>
    </w:p>
    <w:p>
      <w:pPr>
        <w:spacing w:after="0" w:line="90" w:lineRule="exact"/>
        <w:rPr>
          <w:rFonts w:ascii="Times New Roman" w:cs="Times New Roman" w:eastAsia="Times New Roman" w:hAnsi="Times New Roman"/>
          <w:sz w:val="18"/>
          <w:szCs w:val="18"/>
          <w:color w:val="auto"/>
        </w:rPr>
      </w:pPr>
    </w:p>
    <w:p>
      <w:pPr>
        <w:ind w:left="1040" w:right="360" w:hanging="324"/>
        <w:spacing w:after="0" w:line="268" w:lineRule="auto"/>
        <w:tabs>
          <w:tab w:leader="none" w:pos="10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Generative AI Content - consisting of images generated from algorithms trained with high-quality, ethically sourced content. Customers can generate images by entering a description of their desired content into model prompts.</w:t>
      </w:r>
    </w:p>
    <w:p>
      <w:pPr>
        <w:spacing w:after="0" w:line="104" w:lineRule="exact"/>
        <w:rPr>
          <w:sz w:val="20"/>
          <w:szCs w:val="20"/>
          <w:color w:val="auto"/>
        </w:rPr>
      </w:pPr>
    </w:p>
    <w:p>
      <w:pPr>
        <w:ind w:right="680" w:firstLine="395"/>
        <w:spacing w:after="0" w:line="268" w:lineRule="auto"/>
        <w:rPr>
          <w:sz w:val="20"/>
          <w:szCs w:val="20"/>
          <w:color w:val="auto"/>
        </w:rPr>
      </w:pPr>
      <w:r>
        <w:rPr>
          <w:rFonts w:ascii="Times New Roman" w:cs="Times New Roman" w:eastAsia="Times New Roman" w:hAnsi="Times New Roman"/>
          <w:sz w:val="18"/>
          <w:szCs w:val="18"/>
          <w:color w:val="auto"/>
        </w:rPr>
        <w:t>Our Content is distributed to customers under the following brands: Shutterstock; Pond5; TurboSquid; PicMonkey; PremiumBeat; Splash News; Bigstock; and Offset. Shutterstock, our flagship brand, includes various content types such as image, footage, music and editorial.</w:t>
      </w:r>
    </w:p>
    <w:p>
      <w:pPr>
        <w:spacing w:after="0" w:line="200" w:lineRule="exact"/>
        <w:rPr>
          <w:sz w:val="20"/>
          <w:szCs w:val="20"/>
          <w:color w:val="auto"/>
        </w:rPr>
      </w:pPr>
    </w:p>
    <w:p>
      <w:pPr>
        <w:spacing w:after="0" w:line="33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20" w:firstLine="395"/>
        <w:spacing w:after="0" w:line="248" w:lineRule="auto"/>
        <w:rPr>
          <w:sz w:val="20"/>
          <w:szCs w:val="20"/>
          <w:color w:val="auto"/>
        </w:rPr>
      </w:pPr>
      <w:r>
        <w:rPr>
          <w:rFonts w:ascii="Times New Roman" w:cs="Times New Roman" w:eastAsia="Times New Roman" w:hAnsi="Times New Roman"/>
          <w:sz w:val="18"/>
          <w:szCs w:val="18"/>
          <w:color w:val="auto"/>
        </w:rPr>
        <w:t>Pond5 is a video-first content marketplace which expands the Company’s content offerings across footage, image and music. TurboSquid operates a marketplace that offers more than one million 3D models and a 2 dimensional (“2D”) marketplace derived from 3D objects. PicMonkey is a leading online graphic design and image editing platform. PremiumBeat offers exclusive high-quality music tracks and provides producers, filmmakers and marketers the ability to search handpicked production music from the world’s leading composers. Splash News provides editorial image and video content across celebrity and red carpet events. Bigstock maintains a separate content library tailored for creators seeking to incorporate cost-effective imagery into their projects. Our Offset brand provides authentic and exceptional content for high-impact use cases that require extraordinary images, featuring work from top assignment photographers and illustrators from around the world.</w:t>
      </w:r>
    </w:p>
    <w:p>
      <w:pPr>
        <w:spacing w:after="0" w:line="108" w:lineRule="exact"/>
        <w:rPr>
          <w:sz w:val="20"/>
          <w:szCs w:val="20"/>
          <w:color w:val="auto"/>
        </w:rPr>
      </w:pPr>
    </w:p>
    <w:p>
      <w:pPr>
        <w:ind w:right="60" w:firstLine="395"/>
        <w:spacing w:after="0" w:line="268" w:lineRule="auto"/>
        <w:rPr>
          <w:sz w:val="20"/>
          <w:szCs w:val="20"/>
          <w:color w:val="auto"/>
        </w:rPr>
      </w:pPr>
      <w:r>
        <w:rPr>
          <w:rFonts w:ascii="Times New Roman" w:cs="Times New Roman" w:eastAsia="Times New Roman" w:hAnsi="Times New Roman"/>
          <w:sz w:val="18"/>
          <w:szCs w:val="18"/>
          <w:color w:val="auto"/>
        </w:rPr>
        <w:t>On February 1, 2024, we acquired Backgrid USA, Inc. and Backgrid London, Ltd. (collectively “Backgrid”). Backgrid supplies media organizations with real-time celebrity content.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Data, Distribution, and Services Offering:</w:t>
      </w:r>
    </w:p>
    <w:p>
      <w:pPr>
        <w:spacing w:after="0" w:line="111" w:lineRule="exact"/>
        <w:rPr>
          <w:sz w:val="20"/>
          <w:szCs w:val="20"/>
          <w:color w:val="auto"/>
        </w:rPr>
      </w:pPr>
    </w:p>
    <w:p>
      <w:pPr>
        <w:ind w:right="120" w:firstLine="395"/>
        <w:spacing w:after="0" w:line="332" w:lineRule="auto"/>
        <w:rPr>
          <w:sz w:val="20"/>
          <w:szCs w:val="20"/>
          <w:color w:val="auto"/>
        </w:rPr>
      </w:pPr>
      <w:r>
        <w:rPr>
          <w:rFonts w:ascii="Times New Roman" w:cs="Times New Roman" w:eastAsia="Times New Roman" w:hAnsi="Times New Roman"/>
          <w:sz w:val="16"/>
          <w:szCs w:val="16"/>
          <w:color w:val="auto"/>
        </w:rPr>
        <w:t>Our Data, Distribution, and Services offering addresses customer demand for products and services that are beyond our Content licenses. These products and services include, among other things, the use of our metadata, leveraging our Giphy, Inc. platform, and customized Shutterstock Studios offerings.</w:t>
      </w:r>
    </w:p>
    <w:p>
      <w:pPr>
        <w:spacing w:after="0" w:line="17" w:lineRule="exact"/>
        <w:rPr>
          <w:sz w:val="20"/>
          <w:szCs w:val="20"/>
          <w:color w:val="auto"/>
        </w:rPr>
      </w:pPr>
    </w:p>
    <w:p>
      <w:pPr>
        <w:ind w:right="200" w:firstLine="395"/>
        <w:spacing w:after="0" w:line="256" w:lineRule="auto"/>
        <w:rPr>
          <w:sz w:val="20"/>
          <w:szCs w:val="20"/>
          <w:color w:val="auto"/>
        </w:rPr>
      </w:pPr>
      <w:r>
        <w:rPr>
          <w:rFonts w:ascii="Times New Roman" w:cs="Times New Roman" w:eastAsia="Times New Roman" w:hAnsi="Times New Roman"/>
          <w:sz w:val="18"/>
          <w:szCs w:val="18"/>
          <w:color w:val="auto"/>
        </w:rPr>
        <w:t>We have seen increased demand for access to our metadata for machine learning and generative artificial intelligence model training. We offer ethically sourced and licenseable metadata at industry leading scales and quality. Our metadata customer base ranges from large technology and media companies to smaller start-up organizations.</w:t>
      </w:r>
    </w:p>
    <w:p>
      <w:pPr>
        <w:spacing w:after="0" w:line="75" w:lineRule="exact"/>
        <w:rPr>
          <w:sz w:val="20"/>
          <w:szCs w:val="20"/>
          <w:color w:val="auto"/>
        </w:rPr>
      </w:pPr>
    </w:p>
    <w:p>
      <w:pPr>
        <w:ind w:right="280" w:firstLine="395"/>
        <w:spacing w:after="0" w:line="256" w:lineRule="auto"/>
        <w:rPr>
          <w:sz w:val="20"/>
          <w:szCs w:val="20"/>
          <w:color w:val="auto"/>
        </w:rPr>
      </w:pPr>
      <w:r>
        <w:rPr>
          <w:rFonts w:ascii="Times New Roman" w:cs="Times New Roman" w:eastAsia="Times New Roman" w:hAnsi="Times New Roman"/>
          <w:sz w:val="18"/>
          <w:szCs w:val="18"/>
          <w:color w:val="auto"/>
        </w:rPr>
        <w:t>In 2023, we completed our acquisition of Giphy, Inc. (“Giphy”). Giphy is a content platform that allows users to personalize casual conversations with GIFs, and generates billions of monthly impressions through over 14,000 API partners. We believe customers in all industries will look to use Giphy in marketing campaigns as another advertising outlet.</w:t>
      </w:r>
    </w:p>
    <w:p>
      <w:pPr>
        <w:spacing w:after="0" w:line="75"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Our Data, Distribution, and Services offering also includes high-quality production and custom content at scale provided by Shutterstock Studios (“Studios”). Studios is a cost-effective solution for brands and agencies looking to meet their content needs and create fresh dynamic digital assets. Customers can bring an idea, and our Studios team will provide a 360-degree content creation solution. We offer a whole spectrum of services at pre-production, production, live production and post-production stages.</w:t>
      </w:r>
    </w:p>
    <w:p>
      <w:pPr>
        <w:spacing w:after="0" w:line="116" w:lineRule="exact"/>
        <w:rPr>
          <w:sz w:val="20"/>
          <w:szCs w:val="20"/>
          <w:color w:val="auto"/>
        </w:rPr>
      </w:pPr>
    </w:p>
    <w:p>
      <w:pPr>
        <w:jc w:val="right"/>
        <w:ind w:right="8940"/>
        <w:spacing w:after="0"/>
        <w:rPr>
          <w:sz w:val="20"/>
          <w:szCs w:val="20"/>
          <w:color w:val="auto"/>
        </w:rPr>
      </w:pPr>
      <w:r>
        <w:rPr>
          <w:rFonts w:ascii="Times New Roman" w:cs="Times New Roman" w:eastAsia="Times New Roman" w:hAnsi="Times New Roman"/>
          <w:sz w:val="16"/>
          <w:szCs w:val="16"/>
          <w:b w:val="1"/>
          <w:bCs w:val="1"/>
          <w:color w:val="auto"/>
        </w:rPr>
        <w:t>Acquisition of Envato Pty Ltd.</w:t>
      </w:r>
    </w:p>
    <w:p>
      <w:pPr>
        <w:spacing w:after="0" w:line="158" w:lineRule="exact"/>
        <w:rPr>
          <w:sz w:val="20"/>
          <w:szCs w:val="20"/>
          <w:color w:val="auto"/>
        </w:rPr>
      </w:pPr>
    </w:p>
    <w:p>
      <w:pPr>
        <w:jc w:val="right"/>
        <w:ind w:right="8940"/>
        <w:spacing w:after="0"/>
        <w:rPr>
          <w:sz w:val="20"/>
          <w:szCs w:val="20"/>
          <w:color w:val="auto"/>
        </w:rPr>
      </w:pPr>
      <w:r>
        <w:rPr>
          <w:rFonts w:ascii="Times New Roman" w:cs="Times New Roman" w:eastAsia="Times New Roman" w:hAnsi="Times New Roman"/>
          <w:sz w:val="18"/>
          <w:szCs w:val="18"/>
          <w:i w:val="1"/>
          <w:iCs w:val="1"/>
          <w:color w:val="auto"/>
        </w:rPr>
        <w:t>Share Purchase Agreement</w:t>
      </w:r>
    </w:p>
    <w:p>
      <w:pPr>
        <w:spacing w:after="0" w:line="98" w:lineRule="exact"/>
        <w:rPr>
          <w:sz w:val="20"/>
          <w:szCs w:val="20"/>
          <w:color w:val="auto"/>
        </w:rPr>
      </w:pPr>
    </w:p>
    <w:p>
      <w:pPr>
        <w:ind w:firstLine="395"/>
        <w:spacing w:after="0" w:line="236" w:lineRule="auto"/>
        <w:rPr>
          <w:sz w:val="20"/>
          <w:szCs w:val="20"/>
          <w:color w:val="auto"/>
        </w:rPr>
      </w:pPr>
      <w:r>
        <w:rPr>
          <w:rFonts w:ascii="Times New Roman" w:cs="Times New Roman" w:eastAsia="Times New Roman" w:hAnsi="Times New Roman"/>
          <w:sz w:val="18"/>
          <w:szCs w:val="18"/>
          <w:color w:val="auto"/>
        </w:rPr>
        <w:t>On May 1, 2024, the Company entered into a Share Purchase Agreement (the “Purchase Agreement”) to acquire all of the outstanding shares (the “Acquisition”) of Envato Pty Ltd. (“Envato”). The consideration payable for the Acquisition, after customary working capital and other adjustments, will be approximately $245 million. The purchase price will be funded through a newly established credit facility. Envato is an Australian based company that provides an on-line marketplace for creative digital assets. The Company believes the Acquisition will expand its offerings across customers and products. The acquisition is anticipated to close in the third quarter, subject to regulatory approvals and other customary closing conditions.</w:t>
      </w:r>
    </w:p>
    <w:p>
      <w:pPr>
        <w:spacing w:after="0" w:line="21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Debt Commitment Letter</w:t>
      </w:r>
    </w:p>
    <w:p>
      <w:pPr>
        <w:spacing w:after="0" w:line="98" w:lineRule="exact"/>
        <w:rPr>
          <w:sz w:val="20"/>
          <w:szCs w:val="20"/>
          <w:color w:val="auto"/>
        </w:rPr>
      </w:pPr>
    </w:p>
    <w:p>
      <w:pPr>
        <w:ind w:right="160" w:firstLine="395"/>
        <w:spacing w:after="0" w:line="283" w:lineRule="auto"/>
        <w:rPr>
          <w:sz w:val="20"/>
          <w:szCs w:val="20"/>
          <w:color w:val="auto"/>
        </w:rPr>
      </w:pPr>
      <w:r>
        <w:rPr>
          <w:rFonts w:ascii="Times New Roman" w:cs="Times New Roman" w:eastAsia="Times New Roman" w:hAnsi="Times New Roman"/>
          <w:sz w:val="16"/>
          <w:szCs w:val="16"/>
          <w:color w:val="auto"/>
        </w:rPr>
        <w:t>On May 1, 2024, in connection with the execution of the Purchase Agreement, the Company entered into a commitment letter (the “Debt Commitment Letter”) with Bank of America, N.A., BofA Securities, Inc., Citibank, N.A., Wells Fargo Bank, N.A. and Citizens Bank, N.A. (collectively, the “Commitment</w:t>
      </w:r>
    </w:p>
    <w:p>
      <w:pPr>
        <w:ind w:right="60"/>
        <w:spacing w:after="0" w:line="231" w:lineRule="auto"/>
        <w:rPr>
          <w:sz w:val="20"/>
          <w:szCs w:val="20"/>
          <w:color w:val="auto"/>
        </w:rPr>
      </w:pPr>
      <w:r>
        <w:rPr>
          <w:rFonts w:ascii="Times New Roman" w:cs="Times New Roman" w:eastAsia="Times New Roman" w:hAnsi="Times New Roman"/>
          <w:sz w:val="18"/>
          <w:szCs w:val="18"/>
          <w:color w:val="auto"/>
        </w:rPr>
        <w:t>Parties”). The Debt Commitment Letter provides that the Commitment Parties have agreed to provide the Company with debt financing in connection with the Acquisition comprised of (i) a senior unsecured term loan facility in an aggregate principal amount of $125.0 million and (ii) a senior unsecured revolving credit facility in an aggregate principal amount of $250.0 million. The funding of the debt financing pursuant to the Debt Commitment Letter is contingent on the satisfaction of certain conditions set forth therein, including negotiation and execution of the definitive debt financing agreement contemplated by the Debt Commitment Letter and the Acquisition being consummated substantially contemporaneously with the initial funding of the debt financing. The proceeds from the debt financing will be used by the Company: (i) to finance the consideration, and related transaction costs, due in connection with the Acquisition, (ii) to repay certain existing indebtedness and (iii) for general corporate purposes of the Company and its subsidiaries.</w:t>
      </w:r>
    </w:p>
    <w:p>
      <w:pPr>
        <w:spacing w:after="0" w:line="200" w:lineRule="exact"/>
        <w:rPr>
          <w:sz w:val="20"/>
          <w:szCs w:val="20"/>
          <w:color w:val="auto"/>
        </w:rPr>
      </w:pPr>
    </w:p>
    <w:p>
      <w:pPr>
        <w:spacing w:after="0" w:line="22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150" w:lineRule="exact"/>
        <w:rPr>
          <w:sz w:val="20"/>
          <w:szCs w:val="20"/>
          <w:color w:val="auto"/>
        </w:rPr>
      </w:pPr>
    </w:p>
    <w:p>
      <w:pPr>
        <w:ind w:right="40" w:firstLine="395"/>
        <w:spacing w:after="0" w:line="332" w:lineRule="auto"/>
        <w:rPr>
          <w:sz w:val="20"/>
          <w:szCs w:val="20"/>
          <w:color w:val="auto"/>
        </w:rPr>
      </w:pPr>
      <w:r>
        <w:rPr>
          <w:rFonts w:ascii="Times New Roman" w:cs="Times New Roman" w:eastAsia="Times New Roman" w:hAnsi="Times New Roman"/>
          <w:sz w:val="16"/>
          <w:szCs w:val="16"/>
          <w:color w:val="auto"/>
        </w:rPr>
        <w:t>In addition to key financial metrics, we regularly review a number of key operating metrics to evaluate our business, determine the allocation of resources and make decisions regarding business strategies. We believe that these metrics can be useful for understanding the underlying trends in our business.</w:t>
      </w:r>
    </w:p>
    <w:p>
      <w:pPr>
        <w:spacing w:after="0" w:line="44" w:lineRule="exact"/>
        <w:rPr>
          <w:sz w:val="20"/>
          <w:szCs w:val="20"/>
          <w:color w:val="auto"/>
        </w:rPr>
      </w:pPr>
    </w:p>
    <w:p>
      <w:pPr>
        <w:jc w:val="both"/>
        <w:ind w:right="380" w:firstLine="395"/>
        <w:spacing w:after="0" w:line="256" w:lineRule="auto"/>
        <w:rPr>
          <w:sz w:val="20"/>
          <w:szCs w:val="20"/>
          <w:color w:val="auto"/>
        </w:rPr>
      </w:pPr>
      <w:r>
        <w:rPr>
          <w:rFonts w:ascii="Times New Roman" w:cs="Times New Roman" w:eastAsia="Times New Roman" w:hAnsi="Times New Roman"/>
          <w:sz w:val="18"/>
          <w:szCs w:val="18"/>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Pond5 and Splash News beginning May 2023. These metrics exclude the respective counts and revenues from Giphy and Backgrid.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Subscribers</w:t>
      </w:r>
    </w:p>
    <w:p>
      <w:pPr>
        <w:spacing w:after="0" w:line="113" w:lineRule="exact"/>
        <w:rPr>
          <w:sz w:val="20"/>
          <w:szCs w:val="20"/>
          <w:color w:val="auto"/>
        </w:rPr>
      </w:pPr>
    </w:p>
    <w:p>
      <w:pPr>
        <w:ind w:right="200" w:firstLine="395"/>
        <w:spacing w:after="0" w:line="303" w:lineRule="auto"/>
        <w:rPr>
          <w:sz w:val="20"/>
          <w:szCs w:val="20"/>
          <w:color w:val="auto"/>
        </w:rPr>
      </w:pPr>
      <w:r>
        <w:rPr>
          <w:rFonts w:ascii="Times New Roman" w:cs="Times New Roman" w:eastAsia="Times New Roman" w:hAnsi="Times New Roman"/>
          <w:sz w:val="16"/>
          <w:szCs w:val="16"/>
          <w:color w:val="auto"/>
        </w:rPr>
        <w:t>We define subscribers as those customers who purchase one or more of our monthly recurring products for a continuous period of at least three months, measured as of the end of the reporting period. We believe the number of subscribers is an important metric that provides insight into our monthly recurring business. We believe that an increase in our number of subscribers is an indicator of engagement in our platform and potential for future growth.</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Subscriber Revenue</w:t>
      </w:r>
    </w:p>
    <w:p>
      <w:pPr>
        <w:spacing w:after="0" w:line="113"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We define subscriber revenue as the revenue generated from subscribers during the period. We believe subscriber revenue, together with our number of subscribers, provide insight into the portion of our business driven by our monthly recurring products.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Average Revenue Per Customer</w:t>
      </w:r>
    </w:p>
    <w:p>
      <w:pPr>
        <w:spacing w:after="0" w:line="113" w:lineRule="exact"/>
        <w:rPr>
          <w:sz w:val="20"/>
          <w:szCs w:val="20"/>
          <w:color w:val="auto"/>
        </w:rPr>
      </w:pPr>
    </w:p>
    <w:p>
      <w:pPr>
        <w:jc w:val="both"/>
        <w:ind w:right="100" w:firstLine="395"/>
        <w:spacing w:after="0" w:line="256" w:lineRule="auto"/>
        <w:rPr>
          <w:sz w:val="20"/>
          <w:szCs w:val="20"/>
          <w:color w:val="auto"/>
        </w:rPr>
      </w:pPr>
      <w:r>
        <w:rPr>
          <w:rFonts w:ascii="Times New Roman" w:cs="Times New Roman" w:eastAsia="Times New Roman" w:hAnsi="Times New Roman"/>
          <w:sz w:val="18"/>
          <w:szCs w:val="18"/>
          <w:color w:val="auto"/>
        </w:rPr>
        <w:t>Average revenue per customer is calculated by dividing total revenue for the last twelve-month period by customers. We define customers as total active, paying customers that contributed to total revenue over the last twelve-month period. Changes in our average revenue per customer will be driven by changes in the mix of our subscription-based and transactional products as well as pricing in our transactional business.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Paid Downloads</w:t>
      </w:r>
    </w:p>
    <w:p>
      <w:pPr>
        <w:spacing w:after="0" w:line="113"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We define paid downloads as the number of downloads that our customers make in a given period of our content. Paid downloads exclude content related to our Studios business, downloads of content that are offered to customers for no charge (including our free trials), and metadata delivered through our data deal offering. Measuring the number of paid downloads that our customers make in a given period is important because it is a measure of customer engagement on our platform and triggers the recognition of revenue and contributor royalties.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per Download</w:t>
      </w:r>
    </w:p>
    <w:p>
      <w:pPr>
        <w:spacing w:after="0" w:line="113" w:lineRule="exact"/>
        <w:rPr>
          <w:sz w:val="20"/>
          <w:szCs w:val="20"/>
          <w:color w:val="auto"/>
        </w:rPr>
      </w:pPr>
    </w:p>
    <w:p>
      <w:pPr>
        <w:ind w:firstLine="395"/>
        <w:spacing w:after="0" w:line="249" w:lineRule="auto"/>
        <w:rPr>
          <w:sz w:val="20"/>
          <w:szCs w:val="20"/>
          <w:color w:val="auto"/>
        </w:rPr>
      </w:pPr>
      <w:r>
        <w:rPr>
          <w:rFonts w:ascii="Times New Roman" w:cs="Times New Roman" w:eastAsia="Times New Roman" w:hAnsi="Times New Roman"/>
          <w:sz w:val="18"/>
          <w:szCs w:val="18"/>
          <w:color w:val="auto"/>
        </w:rPr>
        <w:t>We define revenue per download as the amount of revenue recognized in a given period divided by the number of paid downloads in that period excluding revenue from our Studios business, revenue that is not derived from or associated with content licenses and revenue associated with our data deal offering. This metric captures any changes in our pricing, including changes resulting from the impact of competitive pressures, as well as the mix of licensing options that our customers choose, some of which generate more revenue per download than others, and the impact that changes in foreign currency rates have on our pricing. Changes in revenue per download are primarily driven by the introduction of new product offerings, changes in product and sales channel mix and customer utilization of our products.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Content in our Collection</w:t>
      </w:r>
    </w:p>
    <w:p>
      <w:pPr>
        <w:spacing w:after="0" w:line="113"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color w:val="auto"/>
        </w:rPr>
        <w:t>We define content in our collection as the total number of approved images (photographs, vectors and illustrations) and footage (in number of clips) in our library at the end of the period. We exclude content from this collection metric that is not uploaded directly to our site but is available for license by our customers through an application program interface, content from our Studios business and AI generated content. Prior to December 31, 2022, this metric only included approved images and footage clips in our library on shutterstock.com at the end of the period. We believe that our large selection of high-quality content enables us to attract and retain customers and drives our network effect.</w:t>
      </w:r>
    </w:p>
    <w:p>
      <w:pPr>
        <w:spacing w:after="0" w:line="200" w:lineRule="exact"/>
        <w:rPr>
          <w:sz w:val="20"/>
          <w:szCs w:val="20"/>
          <w:color w:val="auto"/>
        </w:rPr>
      </w:pPr>
    </w:p>
    <w:p>
      <w:pPr>
        <w:spacing w:after="0" w:line="31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key operating metrics, which are unaudited, for the three months ended March 31, 2024 and 2023:</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jc w:val="right"/>
              <w:ind w:right="523"/>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66"/>
        </w:trPr>
        <w:tc>
          <w:tcPr>
            <w:tcW w:w="8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2"/>
                <w:szCs w:val="12"/>
                <w:b w:val="1"/>
                <w:bCs w:val="1"/>
                <w:color w:val="auto"/>
              </w:rPr>
              <w:t>2024</w:t>
            </w: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56"/>
        </w:trPr>
        <w:tc>
          <w:tcPr>
            <w:tcW w:w="8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1"/>
        </w:trPr>
        <w:tc>
          <w:tcPr>
            <w:tcW w:w="8340" w:type="dxa"/>
            <w:vAlign w:val="bottom"/>
            <w:shd w:val="clear" w:color="auto" w:fill="CCEEFF"/>
          </w:tcPr>
          <w:p>
            <w:pPr>
              <w:ind w:left="20"/>
              <w:spacing w:after="0" w:line="210" w:lineRule="exact"/>
              <w:rPr>
                <w:sz w:val="20"/>
                <w:szCs w:val="20"/>
                <w:color w:val="auto"/>
              </w:rPr>
            </w:pPr>
            <w:r>
              <w:rPr>
                <w:rFonts w:ascii="Times New Roman" w:cs="Times New Roman" w:eastAsia="Times New Roman" w:hAnsi="Times New Roman"/>
                <w:sz w:val="16"/>
                <w:szCs w:val="16"/>
                <w:color w:val="auto"/>
              </w:rPr>
              <w:t>Subscribers (end of period)</w:t>
            </w:r>
            <w:r>
              <w:rPr>
                <w:rFonts w:ascii="Times New Roman" w:cs="Times New Roman" w:eastAsia="Times New Roman" w:hAnsi="Times New Roman"/>
                <w:sz w:val="20"/>
                <w:szCs w:val="20"/>
                <w:color w:val="auto"/>
                <w:vertAlign w:val="superscript"/>
              </w:rPr>
              <w:t>1</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499,000</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559,000</w:t>
            </w:r>
          </w:p>
        </w:tc>
      </w:tr>
      <w:tr>
        <w:trPr>
          <w:trHeight w:val="211"/>
        </w:trPr>
        <w:tc>
          <w:tcPr>
            <w:tcW w:w="83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Subscriber revenue (in millions)</w:t>
            </w:r>
            <w:r>
              <w:rPr>
                <w:rFonts w:ascii="Times New Roman" w:cs="Times New Roman" w:eastAsia="Times New Roman" w:hAnsi="Times New Roman"/>
                <w:sz w:val="20"/>
                <w:szCs w:val="20"/>
                <w:color w:val="auto"/>
                <w:vertAlign w:val="superscript"/>
              </w:rPr>
              <w:t>1</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83.9</w:t>
            </w:r>
          </w:p>
        </w:tc>
        <w:tc>
          <w:tcPr>
            <w:tcW w:w="4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w:t>
            </w:r>
          </w:p>
        </w:tc>
      </w:tr>
      <w:tr>
        <w:trPr>
          <w:trHeight w:val="92"/>
        </w:trPr>
        <w:tc>
          <w:tcPr>
            <w:tcW w:w="834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r>
      <w:tr>
        <w:trPr>
          <w:trHeight w:val="211"/>
        </w:trPr>
        <w:tc>
          <w:tcPr>
            <w:tcW w:w="8340" w:type="dxa"/>
            <w:vAlign w:val="bottom"/>
          </w:tcPr>
          <w:p>
            <w:pPr>
              <w:ind w:left="20"/>
              <w:spacing w:after="0" w:line="210" w:lineRule="exact"/>
              <w:rPr>
                <w:sz w:val="20"/>
                <w:szCs w:val="20"/>
                <w:color w:val="auto"/>
              </w:rPr>
            </w:pPr>
            <w:r>
              <w:rPr>
                <w:rFonts w:ascii="Times New Roman" w:cs="Times New Roman" w:eastAsia="Times New Roman" w:hAnsi="Times New Roman"/>
                <w:sz w:val="16"/>
                <w:szCs w:val="16"/>
                <w:color w:val="auto"/>
              </w:rPr>
              <w:t>Average revenue per customer (last twelve months)</w:t>
            </w:r>
            <w:r>
              <w:rPr>
                <w:rFonts w:ascii="Times New Roman" w:cs="Times New Roman" w:eastAsia="Times New Roman" w:hAnsi="Times New Roman"/>
                <w:sz w:val="20"/>
                <w:szCs w:val="20"/>
                <w:color w:val="auto"/>
                <w:vertAlign w:val="superscript"/>
              </w:rPr>
              <w:t>1</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418</w:t>
            </w:r>
          </w:p>
        </w:tc>
        <w:tc>
          <w:tcPr>
            <w:tcW w:w="4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r>
      <w:tr>
        <w:trPr>
          <w:trHeight w:val="211"/>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Paid downloads (in millions)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35.0</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r>
      <w:tr>
        <w:trPr>
          <w:trHeight w:val="209"/>
        </w:trPr>
        <w:tc>
          <w:tcPr>
            <w:tcW w:w="8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 per download</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4.97</w:t>
            </w:r>
          </w:p>
        </w:tc>
        <w:tc>
          <w:tcPr>
            <w:tcW w:w="40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w:t>
            </w:r>
          </w:p>
        </w:tc>
      </w:tr>
      <w:tr>
        <w:trPr>
          <w:trHeight w:val="212"/>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 in our collection (end of period, in millions):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9"/>
        </w:trPr>
        <w:tc>
          <w:tcPr>
            <w:tcW w:w="8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Images</w:t>
            </w:r>
          </w:p>
        </w:tc>
        <w:tc>
          <w:tcPr>
            <w:tcW w:w="340" w:type="dxa"/>
            <w:vAlign w:val="bottom"/>
          </w:tcPr>
          <w:p>
            <w:pPr>
              <w:spacing w:after="0"/>
              <w:rPr>
                <w:sz w:val="18"/>
                <w:szCs w:val="18"/>
                <w:color w:val="auto"/>
              </w:rPr>
            </w:pPr>
          </w:p>
        </w:tc>
        <w:tc>
          <w:tcPr>
            <w:tcW w:w="110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832</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w:t>
            </w:r>
          </w:p>
        </w:tc>
      </w:tr>
      <w:tr>
        <w:trPr>
          <w:trHeight w:val="212"/>
        </w:trPr>
        <w:tc>
          <w:tcPr>
            <w:tcW w:w="8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Footage clips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56</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bl>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___________________________________________________</w:t>
      </w:r>
    </w:p>
    <w:p>
      <w:pPr>
        <w:spacing w:after="0" w:line="160" w:lineRule="exact"/>
        <w:rPr>
          <w:sz w:val="20"/>
          <w:szCs w:val="20"/>
          <w:color w:val="auto"/>
        </w:rPr>
      </w:pPr>
    </w:p>
    <w:p>
      <w:pPr>
        <w:ind w:right="340" w:firstLine="5"/>
        <w:spacing w:after="0" w:line="209" w:lineRule="auto"/>
        <w:tabs>
          <w:tab w:leader="none" w:pos="85"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Pond5 and Splash News beginning May 2023. These metrics exclude the respective counts and revenues from our acquisitions of Giphy and Backgrid.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50" w:lineRule="exact"/>
        <w:rPr>
          <w:sz w:val="20"/>
          <w:szCs w:val="20"/>
          <w:color w:val="auto"/>
        </w:rPr>
      </w:pPr>
    </w:p>
    <w:p>
      <w:pPr>
        <w:ind w:firstLine="395"/>
        <w:spacing w:after="0" w:line="247" w:lineRule="auto"/>
        <w:rPr>
          <w:sz w:val="20"/>
          <w:szCs w:val="20"/>
          <w:color w:val="auto"/>
        </w:rPr>
      </w:pPr>
      <w:r>
        <w:rPr>
          <w:rFonts w:ascii="Times New Roman" w:cs="Times New Roman" w:eastAsia="Times New Roman" w:hAnsi="Times New Roman"/>
          <w:sz w:val="18"/>
          <w:szCs w:val="18"/>
          <w:color w:val="auto"/>
        </w:rPr>
        <w:t>Our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or inclusion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the volume of expected unused licenses used in revenue recognition for our subscription-based products, the fair value of acquired goodwill and intangible assets and income tax provisions.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Therefore, we consider these to be our critical accounting estimates. Actual results could differ from those estimates.</w:t>
      </w:r>
    </w:p>
    <w:p>
      <w:pPr>
        <w:spacing w:after="0" w:line="125" w:lineRule="exact"/>
        <w:rPr>
          <w:sz w:val="20"/>
          <w:szCs w:val="20"/>
          <w:color w:val="auto"/>
        </w:rPr>
      </w:pPr>
    </w:p>
    <w:p>
      <w:pPr>
        <w:ind w:right="220" w:firstLine="395"/>
        <w:spacing w:after="0" w:line="268" w:lineRule="auto"/>
        <w:rPr>
          <w:sz w:val="20"/>
          <w:szCs w:val="20"/>
          <w:color w:val="auto"/>
        </w:rPr>
      </w:pPr>
      <w:r>
        <w:rPr>
          <w:rFonts w:ascii="Times New Roman" w:cs="Times New Roman" w:eastAsia="Times New Roman" w:hAnsi="Times New Roman"/>
          <w:sz w:val="18"/>
          <w:szCs w:val="18"/>
          <w:color w:val="auto"/>
        </w:rPr>
        <w:t>A description of our critical accounting policies that involve significant management judgments appears in our 2023 Form 10-K, under “Management’s Discussion and Analysis of Financial Condition and Results of Operations—Critical Accounting Estimates.”</w:t>
      </w:r>
    </w:p>
    <w:p>
      <w:pPr>
        <w:spacing w:after="0" w:line="64" w:lineRule="exact"/>
        <w:rPr>
          <w:sz w:val="20"/>
          <w:szCs w:val="20"/>
          <w:color w:val="auto"/>
        </w:rPr>
      </w:pPr>
    </w:p>
    <w:p>
      <w:pPr>
        <w:jc w:val="both"/>
        <w:ind w:right="20" w:firstLine="395"/>
        <w:spacing w:after="0" w:line="256" w:lineRule="auto"/>
        <w:rPr>
          <w:sz w:val="20"/>
          <w:szCs w:val="20"/>
          <w:color w:val="auto"/>
        </w:rPr>
      </w:pPr>
      <w:r>
        <w:rPr>
          <w:rFonts w:ascii="Times New Roman" w:cs="Times New Roman" w:eastAsia="Times New Roman" w:hAnsi="Times New Roman"/>
          <w:sz w:val="18"/>
          <w:szCs w:val="18"/>
          <w:color w:val="auto"/>
        </w:rPr>
        <w:t>See Note 1 to our Unaudited Consolidated Financial Statements included in Part I, Item 1 of this Quarterly Report on Form 10-Q for a full description of the impact of the adoption of new accounting standards on our financial statements. There have been no material changes to our critical accounting estimates as compared to our critical accounting policies and estimates included in our 2023 Form 10-K.</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distribute our product offerings through two primary channels:</w:t>
      </w:r>
    </w:p>
    <w:p>
      <w:pPr>
        <w:spacing w:after="0" w:line="107" w:lineRule="exact"/>
        <w:rPr>
          <w:sz w:val="20"/>
          <w:szCs w:val="20"/>
          <w:color w:val="auto"/>
        </w:rPr>
      </w:pPr>
    </w:p>
    <w:p>
      <w:pPr>
        <w:ind w:right="80" w:firstLine="395"/>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Content: </w:t>
      </w:r>
      <w:r>
        <w:rPr>
          <w:rFonts w:ascii="Times New Roman" w:cs="Times New Roman" w:eastAsia="Times New Roman" w:hAnsi="Times New Roman"/>
          <w:sz w:val="18"/>
          <w:szCs w:val="18"/>
          <w:color w:val="auto"/>
        </w:rPr>
        <w:t>The majority of our customers license image, video, music and 3D content for commercial purposes either directly through our self-service web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properties or through our dedicated sales teams. Content customers have the flexibility to purchase subscription-based plans that are paid on a monthly or annual basis. Customers are also able to license content on a transactional basis. These customers generally license content under our standard or enhanced licenses, with additional licensing options available to meet customers’ individual needs. Certain content customers also have unique content, licensing and workflow needs. These customers communication with dedicated sales 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82" w:lineRule="exact"/>
        <w:rPr>
          <w:sz w:val="20"/>
          <w:szCs w:val="20"/>
          <w:color w:val="auto"/>
        </w:rPr>
      </w:pPr>
    </w:p>
    <w:p>
      <w:pPr>
        <w:ind w:right="8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Data, Distribution, and Services: </w:t>
      </w:r>
      <w:r>
        <w:rPr>
          <w:rFonts w:ascii="Times New Roman" w:cs="Times New Roman" w:eastAsia="Times New Roman" w:hAnsi="Times New Roman"/>
          <w:sz w:val="18"/>
          <w:szCs w:val="18"/>
          <w:color w:val="auto"/>
        </w:rPr>
        <w:t>Our Data, Distribution, and Services offering addresses customer demand for products and services that are beyond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image, footage music and 3D model licenses. We have seen increased demand for access to our metadata for machine learning and generative artificial intelligence model training. We offer ethically sourced and licenseable metadata at unique scales and quality. Our metadata customer base ranges from large technology and media companies to smaller start-up organizations.</w:t>
      </w:r>
    </w:p>
    <w:p>
      <w:pPr>
        <w:spacing w:after="0" w:line="77" w:lineRule="exact"/>
        <w:rPr>
          <w:sz w:val="20"/>
          <w:szCs w:val="20"/>
          <w:color w:val="auto"/>
        </w:rPr>
      </w:pPr>
    </w:p>
    <w:p>
      <w:pPr>
        <w:ind w:right="320" w:firstLine="395"/>
        <w:spacing w:after="0" w:line="256" w:lineRule="auto"/>
        <w:rPr>
          <w:sz w:val="20"/>
          <w:szCs w:val="20"/>
          <w:color w:val="auto"/>
        </w:rPr>
      </w:pPr>
      <w:r>
        <w:rPr>
          <w:rFonts w:ascii="Times New Roman" w:cs="Times New Roman" w:eastAsia="Times New Roman" w:hAnsi="Times New Roman"/>
          <w:sz w:val="18"/>
          <w:szCs w:val="18"/>
          <w:color w:val="auto"/>
        </w:rPr>
        <w:t>In 2023, we completed our acquisition of Giphy, Inc. (“Giphy”). Giphy is a content platform that allows used to personalize casual conversations with GIFs, and generates billions of monthly impressions through over 14,000 API partners. We believe customers in all industries will look to use Giphy in marketing campaigns as another advertising outlet.</w:t>
      </w:r>
    </w:p>
    <w:p>
      <w:pPr>
        <w:spacing w:after="0" w:line="114"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Our Data, Distribution, and Services offering also includes high-quality production and custom content at scale provided by Shutterstock Studios (“Studios”). Studios is a cost-effective solution for brands and agencies looking to meet their content needs and create fresh dynamic digital assets. Customers can bring an idea, and our Studios team will provide a 360-degree content creation solution. We offer a whole spectrum of services at pre-production, production and post-production stages.</w:t>
      </w:r>
    </w:p>
    <w:p>
      <w:pPr>
        <w:spacing w:after="0" w:line="10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Company’s revenues by distribution channel for the three months ended March 31, 2024 and 2023 are as follows (in thousands):</w:t>
      </w:r>
    </w:p>
    <w:p>
      <w:pPr>
        <w:spacing w:after="0" w:line="50"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4" w:lineRule="exact"/>
        <w:rPr>
          <w:sz w:val="20"/>
          <w:szCs w:val="20"/>
          <w:color w:val="auto"/>
        </w:rPr>
      </w:pPr>
    </w:p>
    <w:p>
      <w:pPr>
        <w:jc w:val="center"/>
        <w:ind w:left="87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34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3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04"/>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w:t>
            </w: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173,830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193,984</w:t>
            </w:r>
          </w:p>
        </w:tc>
      </w:tr>
      <w:tr>
        <w:trPr>
          <w:trHeight w:val="209"/>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40,485</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21,296</w:t>
            </w:r>
          </w:p>
        </w:tc>
      </w:tr>
      <w:tr>
        <w:trPr>
          <w:trHeight w:val="231"/>
        </w:trPr>
        <w:tc>
          <w:tcPr>
            <w:tcW w:w="8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214,315</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215,280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50" w:lineRule="exact"/>
        <w:rPr>
          <w:sz w:val="20"/>
          <w:szCs w:val="20"/>
          <w:color w:val="auto"/>
        </w:rPr>
      </w:pPr>
    </w:p>
    <w:p>
      <w:pPr>
        <w:ind w:right="120"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Cost of Revenue. </w:t>
      </w:r>
      <w:r>
        <w:rPr>
          <w:rFonts w:ascii="Times New Roman" w:cs="Times New Roman" w:eastAsia="Times New Roman" w:hAnsi="Times New Roman"/>
          <w:sz w:val="18"/>
          <w:szCs w:val="18"/>
          <w:color w:val="auto"/>
        </w:rPr>
        <w:t>Cost of revenue consists of royalties paid to contributors, credit card processing fees, content review costs, customer service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infrastructure and hosting costs related to maintaining our creative platform and cloud-based software platform, depreciation and amortization of capitalized internal-use software, purchased content and acquisition-related intangible assets, allocated facility costs and other supporting overhead costs. Cost of revenue also includes employee compensation, including non-cash equity-based compensation, bonuses and benefits associated with the maintenance of our creative platform and cloud-based software platform.</w:t>
      </w:r>
    </w:p>
    <w:p>
      <w:pPr>
        <w:spacing w:after="0" w:line="106" w:lineRule="exact"/>
        <w:rPr>
          <w:sz w:val="20"/>
          <w:szCs w:val="20"/>
          <w:color w:val="auto"/>
        </w:rPr>
      </w:pPr>
    </w:p>
    <w:p>
      <w:pPr>
        <w:ind w:right="2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include third-party marketing, advertising, branding, public relations and sales expenses. Sales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marketing expenses also include associated employee compensation, including non-cash equity-based compensation, bonuses and benefits, and commissions as well as allocated facility and other supporting overhead costs.</w:t>
      </w:r>
    </w:p>
    <w:p>
      <w:pPr>
        <w:spacing w:after="0" w:line="111" w:lineRule="exact"/>
        <w:rPr>
          <w:sz w:val="20"/>
          <w:szCs w:val="20"/>
          <w:color w:val="auto"/>
        </w:rPr>
      </w:pPr>
    </w:p>
    <w:p>
      <w:pPr>
        <w:ind w:right="40" w:firstLine="39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Product development expenses consist of employee compensation, including non-cash equity-based compensation, bonuses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and expenses related to vendors engaged in product management, design, development and testing of our websites and products. Product development costs also includes software and other IT equipment costs, allocated facility expenses and other supporting overhead costs.</w:t>
      </w:r>
    </w:p>
    <w:p>
      <w:pPr>
        <w:spacing w:after="0" w:line="200" w:lineRule="exact"/>
        <w:rPr>
          <w:sz w:val="20"/>
          <w:szCs w:val="20"/>
          <w:color w:val="auto"/>
        </w:rPr>
      </w:pPr>
    </w:p>
    <w:p>
      <w:pPr>
        <w:spacing w:after="0" w:line="348"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include employee compensation, including non-cash equity-based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bonuses and benefits for executive, finance, accounting, legal, human resources, internal information technology, internet security, business intelligence and other administrative personnel. In addition, general and administrative expenses include outside legal, tax and accounting services, bad debt expense, insurance, facilities costs, other supporting overhead costs and depreciation and amortization expense.</w:t>
      </w:r>
    </w:p>
    <w:p>
      <w:pPr>
        <w:spacing w:after="0" w:line="101" w:lineRule="exact"/>
        <w:rPr>
          <w:sz w:val="20"/>
          <w:szCs w:val="20"/>
          <w:color w:val="auto"/>
        </w:rPr>
      </w:pPr>
    </w:p>
    <w:p>
      <w:pPr>
        <w:ind w:right="2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Other income, net consists of non-operating costs such as foreign currency transaction gains and losses, in addition to unrealized gains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losses on investments and interest income and expense.</w:t>
      </w:r>
    </w:p>
    <w:p>
      <w:pPr>
        <w:spacing w:after="0" w:line="98" w:lineRule="exact"/>
        <w:rPr>
          <w:sz w:val="20"/>
          <w:szCs w:val="20"/>
          <w:color w:val="auto"/>
        </w:rPr>
      </w:pPr>
    </w:p>
    <w:p>
      <w:pPr>
        <w:ind w:right="20" w:firstLine="395"/>
        <w:spacing w:after="0" w:line="253"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We compute income taxes using the asset and liability method, under which deferred tax assets and liabilities are determined based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difference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1" w:lineRule="exact"/>
        <w:rPr>
          <w:sz w:val="20"/>
          <w:szCs w:val="20"/>
          <w:color w:val="auto"/>
        </w:rPr>
      </w:pPr>
    </w:p>
    <w:p>
      <w:pPr>
        <w:ind w:right="80" w:firstLine="395"/>
        <w:spacing w:after="0" w:line="263" w:lineRule="auto"/>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 The period-to-period comparisons of results are not necessarily indicative of results for future periods.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2980" w:type="dxa"/>
            <w:vAlign w:val="bottom"/>
            <w:gridSpan w:val="5"/>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2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2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1"/>
        </w:trPr>
        <w:tc>
          <w:tcPr>
            <w:tcW w:w="8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6"/>
                <w:szCs w:val="16"/>
                <w:color w:val="auto"/>
              </w:rPr>
            </w:pPr>
          </w:p>
        </w:tc>
      </w:tr>
      <w:tr>
        <w:trPr>
          <w:trHeight w:val="21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9"/>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860" w:type="dxa"/>
            <w:vAlign w:val="bottom"/>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214,315</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215,280</w:t>
            </w:r>
          </w:p>
        </w:tc>
      </w:tr>
      <w:tr>
        <w:trPr>
          <w:trHeight w:val="212"/>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09"/>
        </w:trPr>
        <w:tc>
          <w:tcPr>
            <w:tcW w:w="8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88,204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78,163</w:t>
            </w:r>
          </w:p>
        </w:tc>
      </w:tr>
      <w:tr>
        <w:trPr>
          <w:trHeight w:val="212"/>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56,236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47,527</w:t>
            </w:r>
          </w:p>
        </w:tc>
      </w:tr>
      <w:tr>
        <w:trPr>
          <w:trHeight w:val="209"/>
        </w:trPr>
        <w:tc>
          <w:tcPr>
            <w:tcW w:w="8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8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15,406</w:t>
            </w:r>
          </w:p>
        </w:tc>
      </w:tr>
      <w:tr>
        <w:trPr>
          <w:trHeight w:val="212"/>
        </w:trPr>
        <w:tc>
          <w:tcPr>
            <w:tcW w:w="8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33,815</w:t>
            </w:r>
          </w:p>
        </w:tc>
      </w:tr>
      <w:tr>
        <w:trPr>
          <w:trHeight w:val="202"/>
        </w:trPr>
        <w:tc>
          <w:tcPr>
            <w:tcW w:w="82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197,569</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174,911</w:t>
            </w:r>
          </w:p>
        </w:tc>
      </w:tr>
      <w:tr>
        <w:trPr>
          <w:trHeight w:val="20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16,746</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40,369</w:t>
            </w:r>
          </w:p>
        </w:tc>
      </w:tr>
      <w:tr>
        <w:trPr>
          <w:trHeight w:val="209"/>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1,045</w:t>
            </w:r>
          </w:p>
        </w:tc>
      </w:tr>
      <w:tr>
        <w:trPr>
          <w:trHeight w:val="206"/>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41,414</w:t>
            </w:r>
          </w:p>
        </w:tc>
      </w:tr>
      <w:tr>
        <w:trPr>
          <w:trHeight w:val="209"/>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8,571</w:t>
            </w:r>
          </w:p>
        </w:tc>
      </w:tr>
      <w:tr>
        <w:trPr>
          <w:trHeight w:val="229"/>
        </w:trPr>
        <w:tc>
          <w:tcPr>
            <w:tcW w:w="8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tcBorders>
              <w:bottom w:val="single" w:sz="8" w:color="auto"/>
            </w:tcBorders>
            <w:shd w:val="clear" w:color="auto" w:fill="CCEEFF"/>
          </w:tcPr>
          <w:p>
            <w:pPr>
              <w:jc w:val="right"/>
              <w:ind w:right="685"/>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16,121</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32,843</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the components of our results of operations for the periods indicated as a percentage of revenue:</w:t>
      </w:r>
    </w:p>
    <w:p>
      <w:pPr>
        <w:spacing w:after="0" w:line="37" w:lineRule="exact"/>
        <w:rPr>
          <w:sz w:val="20"/>
          <w:szCs w:val="20"/>
          <w:color w:val="auto"/>
        </w:rPr>
      </w:pPr>
    </w:p>
    <w:p>
      <w:pPr>
        <w:ind w:left="86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6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7"/>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9"/>
        </w:trPr>
        <w:tc>
          <w:tcPr>
            <w:tcW w:w="9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100 %</w:t>
            </w:r>
          </w:p>
        </w:tc>
      </w:tr>
      <w:tr>
        <w:trPr>
          <w:trHeight w:val="212"/>
        </w:trPr>
        <w:tc>
          <w:tcPr>
            <w:tcW w:w="9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09"/>
        </w:trPr>
        <w:tc>
          <w:tcPr>
            <w:tcW w:w="90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212"/>
        </w:trPr>
        <w:tc>
          <w:tcPr>
            <w:tcW w:w="9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09"/>
        </w:trPr>
        <w:tc>
          <w:tcPr>
            <w:tcW w:w="906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r>
      <w:tr>
        <w:trPr>
          <w:trHeight w:val="212"/>
        </w:trPr>
        <w:tc>
          <w:tcPr>
            <w:tcW w:w="90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r>
      <w:tr>
        <w:trPr>
          <w:trHeight w:val="202"/>
        </w:trPr>
        <w:tc>
          <w:tcPr>
            <w:tcW w:w="80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00" w:type="dxa"/>
            <w:vAlign w:val="bottom"/>
            <w:tcBorders>
              <w:bottom w:val="single" w:sz="8" w:color="CCEEFF"/>
            </w:tcBorders>
          </w:tcPr>
          <w:p>
            <w:pPr>
              <w:spacing w:after="0"/>
              <w:rPr>
                <w:sz w:val="17"/>
                <w:szCs w:val="17"/>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81 %</w:t>
            </w:r>
          </w:p>
        </w:tc>
      </w:tr>
      <w:tr>
        <w:trPr>
          <w:trHeight w:val="206"/>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10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209"/>
        </w:trPr>
        <w:tc>
          <w:tcPr>
            <w:tcW w:w="9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6"/>
        </w:trPr>
        <w:tc>
          <w:tcPr>
            <w:tcW w:w="80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0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r>
      <w:tr>
        <w:trPr>
          <w:trHeight w:val="209"/>
        </w:trPr>
        <w:tc>
          <w:tcPr>
            <w:tcW w:w="90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w:t>
            </w:r>
          </w:p>
        </w:tc>
      </w:tr>
      <w:tr>
        <w:trPr>
          <w:trHeight w:val="229"/>
        </w:trPr>
        <w:tc>
          <w:tcPr>
            <w:tcW w:w="80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10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Note: Due to rounding, percentages may not sum to totals.</w:t>
      </w:r>
    </w:p>
    <w:p>
      <w:pPr>
        <w:spacing w:after="0" w:line="200" w:lineRule="exact"/>
        <w:rPr>
          <w:sz w:val="20"/>
          <w:szCs w:val="20"/>
          <w:color w:val="auto"/>
        </w:rPr>
      </w:pPr>
    </w:p>
    <w:p>
      <w:pPr>
        <w:spacing w:after="0" w:line="354"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2024 and 2023</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periods indicated (in thousands):</w:t>
      </w:r>
    </w:p>
    <w:p>
      <w:pPr>
        <w:spacing w:after="0" w:line="142" w:lineRule="exact"/>
        <w:rPr>
          <w:sz w:val="20"/>
          <w:szCs w:val="20"/>
          <w:color w:val="auto"/>
        </w:rPr>
      </w:pPr>
    </w:p>
    <w:tbl>
      <w:tblPr>
        <w:tblLayout w:type="fixed"/>
        <w:tblInd w:w="40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0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60" w:type="dxa"/>
            <w:vAlign w:val="bottom"/>
          </w:tcPr>
          <w:p>
            <w:pPr>
              <w:spacing w:after="0"/>
              <w:rPr>
                <w:sz w:val="16"/>
                <w:szCs w:val="16"/>
                <w:color w:val="auto"/>
              </w:rPr>
            </w:pPr>
          </w:p>
        </w:tc>
      </w:tr>
      <w:tr>
        <w:trPr>
          <w:trHeight w:val="24"/>
        </w:trPr>
        <w:tc>
          <w:tcPr>
            <w:tcW w:w="5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5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7"/>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09"/>
        </w:trPr>
        <w:tc>
          <w:tcPr>
            <w:tcW w:w="5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214,315</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215,280</w:t>
            </w:r>
          </w:p>
        </w:tc>
        <w:tc>
          <w:tcPr>
            <w:tcW w:w="100" w:type="dxa"/>
            <w:vAlign w:val="bottom"/>
          </w:tcPr>
          <w:p>
            <w:pPr>
              <w:spacing w:after="0"/>
              <w:rPr>
                <w:sz w:val="18"/>
                <w:szCs w:val="18"/>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2"/>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9"/>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of revenue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88,204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78,163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10,041</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47,527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8,709</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9"/>
        </w:trPr>
        <w:tc>
          <w:tcPr>
            <w:tcW w:w="51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Product development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15,406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5,645</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5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32,078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33,815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2"/>
        </w:trPr>
        <w:tc>
          <w:tcPr>
            <w:tcW w:w="514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197,569</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174,911</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22,658</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6"/>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from operations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16,746</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40,369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(23,623)</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9"/>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3,644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1,045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2,599</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6"/>
        </w:trPr>
        <w:tc>
          <w:tcPr>
            <w:tcW w:w="5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20,390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41,414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(21,024)</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9"/>
        </w:trPr>
        <w:tc>
          <w:tcPr>
            <w:tcW w:w="51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4,269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8,571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(4,302)</w:t>
            </w:r>
          </w:p>
        </w:tc>
        <w:tc>
          <w:tcPr>
            <w:tcW w:w="1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29"/>
        </w:trPr>
        <w:tc>
          <w:tcPr>
            <w:tcW w:w="5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16,121</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32,843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(16,722)</w:t>
            </w:r>
          </w:p>
        </w:tc>
        <w:tc>
          <w:tcPr>
            <w:tcW w:w="10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Revenue for the three months ended March 31, 2024 was in-line with revenue for the three months ended March 31, 2023, declining by $1.0 million.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was not impacted on a constant currency basis in the three months ended March 31, 2024, compared to the same period in 2023.</w:t>
      </w:r>
    </w:p>
    <w:p>
      <w:pPr>
        <w:spacing w:after="0" w:line="1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Company’s Content revenues decreased by 10%, to $173.8 million in the three months ended March 31, 2024, compared to the same period in 2023.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decline in our Content revenues was primarily driven by weakness in new customer acquisition.</w:t>
      </w:r>
    </w:p>
    <w:p>
      <w:pPr>
        <w:spacing w:after="0" w:line="131" w:lineRule="exact"/>
        <w:rPr>
          <w:sz w:val="20"/>
          <w:szCs w:val="20"/>
          <w:color w:val="auto"/>
        </w:rPr>
      </w:pPr>
    </w:p>
    <w:p>
      <w:pPr>
        <w:ind w:right="140" w:firstLine="395"/>
        <w:spacing w:after="0" w:line="256" w:lineRule="auto"/>
        <w:rPr>
          <w:sz w:val="20"/>
          <w:szCs w:val="20"/>
          <w:color w:val="auto"/>
        </w:rPr>
      </w:pPr>
      <w:r>
        <w:rPr>
          <w:rFonts w:ascii="Times New Roman" w:cs="Times New Roman" w:eastAsia="Times New Roman" w:hAnsi="Times New Roman"/>
          <w:sz w:val="18"/>
          <w:szCs w:val="18"/>
          <w:color w:val="auto"/>
        </w:rPr>
        <w:t>The Company’s Data, Distribution, and Services revenues increased by 90%, to $40.5 million in the three months ended March 31, 2024, compared to the same period in 2023. The increase in Data, Distribution, and Services revenues was primarily driven by growth in our data offering, which grew 73% in the three months ended March 31, 2024 compared to the same period in 2023.</w:t>
      </w:r>
    </w:p>
    <w:p>
      <w:pPr>
        <w:spacing w:after="0" w:line="101" w:lineRule="exact"/>
        <w:rPr>
          <w:sz w:val="20"/>
          <w:szCs w:val="20"/>
          <w:color w:val="auto"/>
        </w:rPr>
      </w:pPr>
    </w:p>
    <w:p>
      <w:pPr>
        <w:ind w:right="180" w:firstLine="395"/>
        <w:spacing w:after="0" w:line="256" w:lineRule="auto"/>
        <w:rPr>
          <w:sz w:val="20"/>
          <w:szCs w:val="20"/>
          <w:color w:val="auto"/>
        </w:rPr>
      </w:pPr>
      <w:r>
        <w:rPr>
          <w:rFonts w:ascii="Times New Roman" w:cs="Times New Roman" w:eastAsia="Times New Roman" w:hAnsi="Times New Roman"/>
          <w:sz w:val="18"/>
          <w:szCs w:val="18"/>
          <w:color w:val="auto"/>
        </w:rPr>
        <w:t>In the three months ended March 31, 2024 and 2023, we delivered 35.0 million and 42.7 million paid downloads, respectively, and our revenue per download was $4.97 and $4.41 for the three months ended March 31, 2024 and 2023, respectively. During the three months ended March 31, 2024, the decline in paid downloads is attributed to the decline in the Content business.</w:t>
      </w:r>
    </w:p>
    <w:p>
      <w:pPr>
        <w:spacing w:after="0" w:line="114" w:lineRule="exact"/>
        <w:rPr>
          <w:sz w:val="20"/>
          <w:szCs w:val="20"/>
          <w:color w:val="auto"/>
        </w:rPr>
      </w:pPr>
    </w:p>
    <w:p>
      <w:pPr>
        <w:ind w:right="460" w:firstLine="395"/>
        <w:spacing w:after="0" w:line="256" w:lineRule="auto"/>
        <w:rPr>
          <w:sz w:val="20"/>
          <w:szCs w:val="20"/>
          <w:color w:val="auto"/>
        </w:rPr>
      </w:pPr>
      <w:r>
        <w:rPr>
          <w:rFonts w:ascii="Times New Roman" w:cs="Times New Roman" w:eastAsia="Times New Roman" w:hAnsi="Times New Roman"/>
          <w:sz w:val="18"/>
          <w:szCs w:val="18"/>
          <w:color w:val="auto"/>
        </w:rPr>
        <w:t>Changes in our revenue by region were as follows: revenue from North America increased by $11.3 million, or 11%, to $110.4 million, revenue from Europe decreased by $3.6 million, or 6%, to $55.4 million and revenue from outside Europe and North America decreased by $8.6 million, or 15%, to $48.5 million, in the three months ended March 31, 2024 compared to the same period in 2023.</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111" w:lineRule="exact"/>
        <w:rPr>
          <w:sz w:val="20"/>
          <w:szCs w:val="20"/>
          <w:color w:val="auto"/>
        </w:rPr>
      </w:pPr>
    </w:p>
    <w:p>
      <w:pPr>
        <w:ind w:right="240" w:firstLine="395"/>
        <w:spacing w:after="0" w:line="249" w:lineRule="auto"/>
        <w:rPr>
          <w:sz w:val="20"/>
          <w:szCs w:val="20"/>
          <w:color w:val="auto"/>
        </w:rPr>
      </w:pPr>
      <w:r>
        <w:rPr>
          <w:rFonts w:ascii="Times New Roman" w:cs="Times New Roman" w:eastAsia="Times New Roman" w:hAnsi="Times New Roman"/>
          <w:sz w:val="18"/>
          <w:szCs w:val="18"/>
          <w:i w:val="1"/>
          <w:iCs w:val="1"/>
          <w:color w:val="auto"/>
        </w:rPr>
        <w:t>Cost of Revenue</w:t>
      </w:r>
      <w:r>
        <w:rPr>
          <w:rFonts w:ascii="Times New Roman" w:cs="Times New Roman" w:eastAsia="Times New Roman" w:hAnsi="Times New Roman"/>
          <w:sz w:val="18"/>
          <w:szCs w:val="18"/>
          <w:color w:val="auto"/>
        </w:rPr>
        <w:t>. Cost of revenue increased by $10.0 million, or 13% to $88.2 million in the three months ended March 31, 2024 compared to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2023. This increase was primarily driven by: (i) higher costs associated with website hosting, hardware and software licenses; (ii) higher employee-related costs, and; (iii) increased depreciation and amortization expense. These increases relate to expenses associated with the Giphy and Backgrid acquisitions, which are not in the first quarter 2023 expenses. The Giphy employee-related costs were comprised of $2.5 million of recurring Giphy Retention Compensation and $0.7 million of non-recurring Giphy Retention Compensation. We expect that our cost of revenue will continue to fluctuate in-line with changes in revenue.</w:t>
      </w:r>
    </w:p>
    <w:p>
      <w:pPr>
        <w:spacing w:after="0" w:line="200" w:lineRule="exact"/>
        <w:rPr>
          <w:sz w:val="20"/>
          <w:szCs w:val="20"/>
          <w:color w:val="auto"/>
        </w:rPr>
      </w:pPr>
    </w:p>
    <w:p>
      <w:pPr>
        <w:spacing w:after="0" w:line="31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31" w:name="page32"/>
    <w:bookmarkEnd w:id="31"/>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80" w:firstLine="395"/>
        <w:spacing w:after="0" w:line="289" w:lineRule="auto"/>
        <w:rPr>
          <w:sz w:val="20"/>
          <w:szCs w:val="20"/>
          <w:color w:val="auto"/>
        </w:rPr>
      </w:pPr>
      <w:r>
        <w:rPr>
          <w:rFonts w:ascii="Times New Roman" w:cs="Times New Roman" w:eastAsia="Times New Roman" w:hAnsi="Times New Roman"/>
          <w:sz w:val="16"/>
          <w:szCs w:val="16"/>
          <w:i w:val="1"/>
          <w:iCs w:val="1"/>
          <w:color w:val="auto"/>
        </w:rPr>
        <w:t xml:space="preserve">Sales and Marketing. </w:t>
      </w:r>
      <w:r>
        <w:rPr>
          <w:rFonts w:ascii="Times New Roman" w:cs="Times New Roman" w:eastAsia="Times New Roman" w:hAnsi="Times New Roman"/>
          <w:sz w:val="16"/>
          <w:szCs w:val="16"/>
          <w:color w:val="auto"/>
        </w:rPr>
        <w:t>Sales and marketing expenses increased by $8.7 million, or 18%, to $56.2 million in the three months ended March 31, 2024</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compared to the same period in 2023. As a percentage of revenue, sales and marketing expenses increased to 26% for the three months ended March 31, 2024, from 22% for the same period in 2023. This was primarily driven by $5.5 million increase in marketing spend for brand and performance-based marketing. In addition, for the three months ended March 31, 2024, sales and marketing expenses included higher commissions and bonus related expenses. We expect sales and marketing expenses to continue to fluctuate as we optimize our sales channels and invest in new customer acquisition, products and geographies.</w:t>
      </w:r>
    </w:p>
    <w:p>
      <w:pPr>
        <w:spacing w:after="0" w:line="50"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Product Development</w:t>
      </w:r>
      <w:r>
        <w:rPr>
          <w:rFonts w:ascii="Times New Roman" w:cs="Times New Roman" w:eastAsia="Times New Roman" w:hAnsi="Times New Roman"/>
          <w:sz w:val="18"/>
          <w:szCs w:val="18"/>
          <w:color w:val="auto"/>
        </w:rPr>
        <w:t>. Product development expenses increased by $5.6 million, or 37%, to $21.1 million in the three months ended March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2023. The increase in product development was primarily driven by Giphy employee-related costs comprised of $2.7 million of recurring Giphy Retention Compensation and $4.3 million of non-recurring Giphy Retention Compensation, offset by declines in software and outside consultant expenses.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80" w:lineRule="exact"/>
        <w:rPr>
          <w:sz w:val="20"/>
          <w:szCs w:val="20"/>
          <w:color w:val="auto"/>
        </w:rPr>
      </w:pPr>
    </w:p>
    <w:p>
      <w:pPr>
        <w:ind w:firstLine="395"/>
        <w:spacing w:after="0" w:line="250"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decreased by $1.7 million, or 5%, to $32.1 million in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the same period in 2023. This decrease was driven primarily by reductions in compensation related expenses and a recovery in bad debt expense, offset by increases in professional fees associated with the acquisition of Backgrid and Envato, and Giphy employee-related expenses. The recurring Giphy Retention Compensation was $0.6 million and the non-recurring Giphy Retention Compensation was $1.6 million for the three months ended March 31, 2024.</w:t>
      </w:r>
    </w:p>
    <w:p>
      <w:pPr>
        <w:spacing w:after="0" w:line="80" w:lineRule="exact"/>
        <w:rPr>
          <w:sz w:val="20"/>
          <w:szCs w:val="20"/>
          <w:color w:val="auto"/>
        </w:rPr>
      </w:pPr>
    </w:p>
    <w:p>
      <w:pPr>
        <w:ind w:right="60" w:firstLine="395"/>
        <w:spacing w:after="0" w:line="248" w:lineRule="auto"/>
        <w:rPr>
          <w:sz w:val="20"/>
          <w:szCs w:val="20"/>
          <w:color w:val="auto"/>
        </w:rPr>
      </w:pPr>
      <w:r>
        <w:rPr>
          <w:rFonts w:ascii="Times New Roman" w:cs="Times New Roman" w:eastAsia="Times New Roman" w:hAnsi="Times New Roman"/>
          <w:sz w:val="18"/>
          <w:szCs w:val="18"/>
          <w:i w:val="1"/>
          <w:iCs w:val="1"/>
          <w:color w:val="auto"/>
        </w:rPr>
        <w:t xml:space="preserve">Other Income, Net. </w:t>
      </w:r>
      <w:r>
        <w:rPr>
          <w:rFonts w:ascii="Times New Roman" w:cs="Times New Roman" w:eastAsia="Times New Roman" w:hAnsi="Times New Roman"/>
          <w:sz w:val="18"/>
          <w:szCs w:val="18"/>
          <w:color w:val="auto"/>
        </w:rPr>
        <w:t>In the three months ended March 31, 2024, other income, net was primarily driven by $3.8 million of unrealized gains related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in Meitu, Inc. In the first quarter of 2024, we exchanged our investment in ZCool Technologies Limited with Meitu, Inc. for $18.4 million of Meitu common shares, resulting in an investment carrying value increase of $3.4 million, which is recorded in Other income, net in the Consolidated Statement of Operations. In addition, other income, net had $1.0 million of interest income, $0.6 million of unfavorable unrealized foreign currency losses and $0.6 million of interest expense related to our credit facility. During the three months ended March 31, 2023, other income, net substantially consisted of $1.1 million of favorable unrealized foreign currency fluctuations. As we increase the volume of business transacted in foreign currencies resulting from international expansion and as currency rates fluctuate, we expect foreign currency gains and losses to continue to fluctuate.</w:t>
      </w:r>
    </w:p>
    <w:p>
      <w:pPr>
        <w:spacing w:after="0" w:line="82" w:lineRule="exact"/>
        <w:rPr>
          <w:sz w:val="20"/>
          <w:szCs w:val="20"/>
          <w:color w:val="auto"/>
        </w:rPr>
      </w:pPr>
    </w:p>
    <w:p>
      <w:pPr>
        <w:ind w:right="400" w:firstLine="395"/>
        <w:spacing w:after="0" w:line="271"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Income tax expense decreased by $4.3 million for the three months ended March 31, 2024, compared to the same period in 2023.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effective tax rates were 20.9% and 20.7% for the three months ended March 31, 2024 and 2023, respectively.</w:t>
      </w:r>
    </w:p>
    <w:p>
      <w:pPr>
        <w:spacing w:after="0" w:line="61" w:lineRule="exact"/>
        <w:rPr>
          <w:sz w:val="20"/>
          <w:szCs w:val="20"/>
          <w:color w:val="auto"/>
        </w:rPr>
      </w:pPr>
    </w:p>
    <w:p>
      <w:pPr>
        <w:ind w:right="580" w:firstLine="395"/>
        <w:spacing w:after="0" w:line="268" w:lineRule="auto"/>
        <w:rPr>
          <w:sz w:val="20"/>
          <w:szCs w:val="20"/>
          <w:color w:val="auto"/>
        </w:rPr>
      </w:pPr>
      <w:r>
        <w:rPr>
          <w:rFonts w:ascii="Times New Roman" w:cs="Times New Roman" w:eastAsia="Times New Roman" w:hAnsi="Times New Roman"/>
          <w:sz w:val="18"/>
          <w:szCs w:val="18"/>
          <w:color w:val="auto"/>
        </w:rPr>
        <w:t>For the three months ended March 31, 2024, the net effect of discrete items increased the effective tax rate by 1.5%. Excluding discrete items, our effective tax rate would have been 19.4% for the three months ended March 31, 2024.</w:t>
      </w:r>
    </w:p>
    <w:p>
      <w:pPr>
        <w:spacing w:after="0" w:line="64" w:lineRule="exact"/>
        <w:rPr>
          <w:sz w:val="20"/>
          <w:szCs w:val="20"/>
          <w:color w:val="auto"/>
        </w:rPr>
      </w:pPr>
    </w:p>
    <w:p>
      <w:pPr>
        <w:ind w:right="580" w:firstLine="395"/>
        <w:spacing w:after="0" w:line="268" w:lineRule="auto"/>
        <w:rPr>
          <w:sz w:val="20"/>
          <w:szCs w:val="20"/>
          <w:color w:val="auto"/>
        </w:rPr>
      </w:pPr>
      <w:r>
        <w:rPr>
          <w:rFonts w:ascii="Times New Roman" w:cs="Times New Roman" w:eastAsia="Times New Roman" w:hAnsi="Times New Roman"/>
          <w:sz w:val="18"/>
          <w:szCs w:val="18"/>
          <w:color w:val="auto"/>
        </w:rPr>
        <w:t>For the three months ended March 31, 2023, the net effect of discrete items increased the effective tax rate by 0.9%. Excluding discrete items, our effective tax rate would have been 19.8% for the three months ended March 31, 2023.</w:t>
      </w:r>
    </w:p>
    <w:p>
      <w:pPr>
        <w:spacing w:after="0" w:line="104" w:lineRule="exact"/>
        <w:rPr>
          <w:sz w:val="20"/>
          <w:szCs w:val="20"/>
          <w:color w:val="auto"/>
        </w:rPr>
      </w:pPr>
    </w:p>
    <w:p>
      <w:pPr>
        <w:ind w:right="240" w:firstLine="395"/>
        <w:spacing w:after="0" w:line="268" w:lineRule="auto"/>
        <w:rPr>
          <w:sz w:val="20"/>
          <w:szCs w:val="20"/>
          <w:color w:val="auto"/>
        </w:rPr>
      </w:pPr>
      <w:r>
        <w:rPr>
          <w:rFonts w:ascii="Times New Roman" w:cs="Times New Roman" w:eastAsia="Times New Roman" w:hAnsi="Times New Roman"/>
          <w:sz w:val="18"/>
          <w:szCs w:val="18"/>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Quarterly Trends</w:t>
      </w:r>
    </w:p>
    <w:p>
      <w:pPr>
        <w:spacing w:after="0" w:line="152" w:lineRule="exact"/>
        <w:rPr>
          <w:sz w:val="20"/>
          <w:szCs w:val="20"/>
          <w:color w:val="auto"/>
        </w:rPr>
      </w:pPr>
    </w:p>
    <w:p>
      <w:pPr>
        <w:ind w:right="80" w:firstLine="395"/>
        <w:spacing w:after="0" w:line="289" w:lineRule="auto"/>
        <w:rPr>
          <w:sz w:val="20"/>
          <w:szCs w:val="20"/>
          <w:color w:val="auto"/>
        </w:rPr>
      </w:pPr>
      <w:r>
        <w:rPr>
          <w:rFonts w:ascii="Times New Roman" w:cs="Times New Roman" w:eastAsia="Times New Roman" w:hAnsi="Times New Roman"/>
          <w:sz w:val="16"/>
          <w:szCs w:val="16"/>
          <w:color w:val="auto"/>
        </w:rPr>
        <w:t>Our operating results may fluctuate from quarter to quarter as a result of a variety of factors, including the effects of some seasonal trends in customer behavior, timing of acquisitions and the timing of revenue recognition associated with data deal partnerships. For example, we expect that certain customers’ usage may decrease at times during the third quarter of each calendar year due to the summer vacation season and may increase at times during the fourth quarter of each calendar year as demand is generally higher to support marketing campaigns in advance of the fourth quarter holiday season. While we believe seasonal trends have affected and will continue to affect our quarterly results, our growth trajectory may have overshadowed these effects to date.</w:t>
      </w:r>
    </w:p>
    <w:p>
      <w:pPr>
        <w:spacing w:after="0" w:line="90" w:lineRule="exact"/>
        <w:rPr>
          <w:sz w:val="20"/>
          <w:szCs w:val="20"/>
          <w:color w:val="auto"/>
        </w:rPr>
      </w:pPr>
    </w:p>
    <w:p>
      <w:pPr>
        <w:jc w:val="both"/>
        <w:ind w:right="220" w:firstLine="395"/>
        <w:spacing w:after="0" w:line="303" w:lineRule="auto"/>
        <w:rPr>
          <w:sz w:val="20"/>
          <w:szCs w:val="20"/>
          <w:color w:val="auto"/>
        </w:rPr>
      </w:pPr>
      <w:r>
        <w:rPr>
          <w:rFonts w:ascii="Times New Roman" w:cs="Times New Roman" w:eastAsia="Times New Roman" w:hAnsi="Times New Roman"/>
          <w:sz w:val="16"/>
          <w:szCs w:val="16"/>
          <w:color w:val="auto"/>
        </w:rPr>
        <w:t>In addition, expenditures on content by customers tend to be discretionary in nature, reflecting overall economic conditions, the economic prospects of specific industries, budgeting constraints, buying patterns and a variety of other factors, many of which are outside our control. As a result of these and other factors, the results of any prior quarterly or annual periods should not be relied upon as indicators of our future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1" w:lineRule="exact"/>
        <w:rPr>
          <w:sz w:val="20"/>
          <w:szCs w:val="20"/>
          <w:color w:val="auto"/>
        </w:rPr>
      </w:pPr>
    </w:p>
    <w:p>
      <w:pPr>
        <w:jc w:val="both"/>
        <w:ind w:right="360" w:firstLine="395"/>
        <w:spacing w:after="0" w:line="256" w:lineRule="auto"/>
        <w:rPr>
          <w:sz w:val="20"/>
          <w:szCs w:val="20"/>
          <w:color w:val="auto"/>
        </w:rPr>
      </w:pPr>
      <w:r>
        <w:rPr>
          <w:rFonts w:ascii="Times New Roman" w:cs="Times New Roman" w:eastAsia="Times New Roman" w:hAnsi="Times New Roman"/>
          <w:sz w:val="18"/>
          <w:szCs w:val="18"/>
          <w:color w:val="auto"/>
        </w:rPr>
        <w:t>As of March 31, 2024, we had cash and cash equivalents totaling $71.8 million which consisted primarily of bank balances. Since inception, we have financed our operations primarily through cash flows generated from operations. In addition, if necessary, we have the ability to draw on our credit facility, which was obtained on May 6, 2022.</w:t>
      </w:r>
    </w:p>
    <w:p>
      <w:pPr>
        <w:spacing w:after="0" w:line="75"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Historically, our principal uses of cash have included funding our operations, capital expenditures, content acquisitions, business combinations and asset acquisitions that enhance our strategic position, cash dividend payments and share purchases under our share repurchase programs. We plan to finance our operations, capital expenditures and corporate actions largely through cash generated by our operations and our credit facility. Since our results of operations are sensitive to the level of competition we face, increased competition could adversely affect our liquidity and capital resources.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5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We declared and paid cash dividends of $0.30 per share of common stock, or $10.7 million during the three months ended March 31, 2024.</w:t>
      </w:r>
    </w:p>
    <w:p>
      <w:pPr>
        <w:spacing w:after="0" w:line="109" w:lineRule="exact"/>
        <w:rPr>
          <w:sz w:val="20"/>
          <w:szCs w:val="20"/>
          <w:color w:val="auto"/>
        </w:rPr>
      </w:pPr>
    </w:p>
    <w:p>
      <w:pPr>
        <w:ind w:right="120" w:firstLine="395"/>
        <w:spacing w:after="0" w:line="293" w:lineRule="auto"/>
        <w:rPr>
          <w:sz w:val="20"/>
          <w:szCs w:val="20"/>
          <w:color w:val="auto"/>
        </w:rPr>
      </w:pPr>
      <w:r>
        <w:rPr>
          <w:rFonts w:ascii="Times New Roman" w:cs="Times New Roman" w:eastAsia="Times New Roman" w:hAnsi="Times New Roman"/>
          <w:sz w:val="16"/>
          <w:szCs w:val="16"/>
          <w:color w:val="auto"/>
        </w:rPr>
        <w:t>On April 22, 2024, our Board of Directors declared a quarterly cash dividend of $0.30 per share of outstanding common stock payable on June 13, 2024 to stockholders of record at the close of business on May 30, 2024. Future declarations of dividends are subject to the final determination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our Board of Directors may deem relevant.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58" w:lineRule="exact"/>
        <w:rPr>
          <w:sz w:val="20"/>
          <w:szCs w:val="20"/>
          <w:color w:val="auto"/>
        </w:rPr>
      </w:pPr>
    </w:p>
    <w:p>
      <w:pPr>
        <w:ind w:right="780" w:firstLine="395"/>
        <w:spacing w:after="0" w:line="268" w:lineRule="auto"/>
        <w:rPr>
          <w:sz w:val="20"/>
          <w:szCs w:val="20"/>
          <w:color w:val="auto"/>
        </w:rPr>
      </w:pPr>
      <w:r>
        <w:rPr>
          <w:rFonts w:ascii="Times New Roman" w:cs="Times New Roman" w:eastAsia="Times New Roman" w:hAnsi="Times New Roman"/>
          <w:sz w:val="18"/>
          <w:szCs w:val="18"/>
          <w:color w:val="auto"/>
        </w:rPr>
        <w:t>In June 2023, our Board of Directors approved a share repurchase program (the “2023 Share Repurchase Program”), providing authorization to repurchase up to $100 million of our common stock.</w:t>
      </w:r>
    </w:p>
    <w:p>
      <w:pPr>
        <w:spacing w:after="0" w:line="64" w:lineRule="exact"/>
        <w:rPr>
          <w:sz w:val="20"/>
          <w:szCs w:val="20"/>
          <w:color w:val="auto"/>
        </w:rPr>
      </w:pPr>
    </w:p>
    <w:p>
      <w:pPr>
        <w:ind w:right="80" w:firstLine="395"/>
        <w:spacing w:after="0" w:line="252" w:lineRule="auto"/>
        <w:rPr>
          <w:sz w:val="20"/>
          <w:szCs w:val="20"/>
          <w:color w:val="auto"/>
        </w:rPr>
      </w:pPr>
      <w:r>
        <w:rPr>
          <w:rFonts w:ascii="Times New Roman" w:cs="Times New Roman" w:eastAsia="Times New Roman" w:hAnsi="Times New Roman"/>
          <w:sz w:val="18"/>
          <w:szCs w:val="18"/>
          <w:color w:val="auto"/>
        </w:rPr>
        <w:t>We expect to fund future repurchases, if any, through a combination of cash on hand, cash generated by operations and future financing transactions, if appropriate. Accordingly, our 2023 Share Repurchase Program is subject to us having available cash to fund repurchases. Under the share repurchase program, management is authorized to purchase shares of our common stock from time to time through open market purchases or privately negotiated transactions at prevailing prices as permitted by securities laws and other legal requirements, and subject to market conditions and other factors.</w:t>
      </w:r>
    </w:p>
    <w:p>
      <w:pPr>
        <w:spacing w:after="0" w:line="78" w:lineRule="exact"/>
        <w:rPr>
          <w:sz w:val="20"/>
          <w:szCs w:val="20"/>
          <w:color w:val="auto"/>
        </w:rPr>
      </w:pPr>
    </w:p>
    <w:p>
      <w:pPr>
        <w:ind w:right="200" w:firstLine="395"/>
        <w:spacing w:after="0" w:line="256" w:lineRule="auto"/>
        <w:rPr>
          <w:sz w:val="20"/>
          <w:szCs w:val="20"/>
          <w:color w:val="auto"/>
        </w:rPr>
      </w:pPr>
      <w:r>
        <w:rPr>
          <w:rFonts w:ascii="Times New Roman" w:cs="Times New Roman" w:eastAsia="Times New Roman" w:hAnsi="Times New Roman"/>
          <w:sz w:val="18"/>
          <w:szCs w:val="18"/>
          <w:color w:val="auto"/>
        </w:rPr>
        <w:t>As of March 31, 2024, we have repurchased approximately 4.4 million shares of our common stock under the 2023 Share Repurchase Program at an average per-share cost of $51.74. During the three months ended March 31, 2024, we did not repurchase shares of our common stock. As of March 31, 2024, we had $71.8 million of remaining authorization for repurchases under the 2023 Share Repurchase Program.</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58" w:lineRule="exact"/>
        <w:rPr>
          <w:sz w:val="20"/>
          <w:szCs w:val="20"/>
          <w:color w:val="auto"/>
        </w:rPr>
      </w:pPr>
    </w:p>
    <w:p>
      <w:pPr>
        <w:ind w:right="360" w:firstLine="395"/>
        <w:spacing w:after="0" w:line="303" w:lineRule="auto"/>
        <w:rPr>
          <w:sz w:val="20"/>
          <w:szCs w:val="20"/>
          <w:color w:val="auto"/>
        </w:rPr>
      </w:pPr>
      <w:r>
        <w:rPr>
          <w:rFonts w:ascii="Times New Roman" w:cs="Times New Roman" w:eastAsia="Times New Roman" w:hAnsi="Times New Roman"/>
          <w:sz w:val="16"/>
          <w:szCs w:val="16"/>
          <w:color w:val="auto"/>
        </w:rPr>
        <w:t>On May 6, 2022, we entered into a five-year $100 million unsecured revolving loan facility (the “Credit Facility”) with Bank of America, N.A., as Administrative Agent and other lenders. The Credit Facility includes a letter of credit sub-facility and a swingline facility and it also permits, subject to the satisfaction of certain conditions, up to $100 million of additional revolving loan commitments with the consent of the Administrative Agent.</w:t>
      </w:r>
    </w:p>
    <w:p>
      <w:pPr>
        <w:spacing w:after="0" w:line="40"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At our option, revolving loans accrue interest at a per annum rate based on either (i) the base rate plus a margin ranging from 0.125% to 0.500%, determined based on the Company’s consolidated leverage ratio or (ii) the Term Secured Overnight Financing Rate (“SOFR”) (for interest periods of 1, 3 or 6 months) plus a margin ranging from 1.125% to 1.5%, determined based on our consolidated leverage ratio. We are also required to pay an unused commitment fee ranging from 0.150% to 0.225%, determined based on the Company’s consolidated leverage ratio. In connection with the execution of this agreement, we paid debt issuance costs of approximately $0.6 million.</w:t>
      </w:r>
    </w:p>
    <w:p>
      <w:pPr>
        <w:spacing w:after="0" w:line="80" w:lineRule="exact"/>
        <w:rPr>
          <w:sz w:val="20"/>
          <w:szCs w:val="20"/>
          <w:color w:val="auto"/>
        </w:rPr>
      </w:pPr>
    </w:p>
    <w:p>
      <w:pPr>
        <w:ind w:firstLine="395"/>
        <w:spacing w:after="0" w:line="332" w:lineRule="auto"/>
        <w:rPr>
          <w:sz w:val="20"/>
          <w:szCs w:val="20"/>
          <w:color w:val="auto"/>
        </w:rPr>
      </w:pPr>
      <w:r>
        <w:rPr>
          <w:rFonts w:ascii="Times New Roman" w:cs="Times New Roman" w:eastAsia="Times New Roman" w:hAnsi="Times New Roman"/>
          <w:sz w:val="16"/>
          <w:szCs w:val="16"/>
          <w:color w:val="auto"/>
        </w:rPr>
        <w:t>As of March 31, 2024 and December 31, 2023, we had $30 million of outstanding borrowings under the Credit Facility. As of March 31, 2024, we had a remaining borrowing capacity of $67 million, net of standby letters of credit. For the three months ended March 31, 2024, cash interest paid was not significant.</w:t>
      </w:r>
    </w:p>
    <w:p>
      <w:pPr>
        <w:spacing w:after="0" w:line="17" w:lineRule="exact"/>
        <w:rPr>
          <w:sz w:val="20"/>
          <w:szCs w:val="20"/>
          <w:color w:val="auto"/>
        </w:rPr>
      </w:pPr>
    </w:p>
    <w:p>
      <w:pPr>
        <w:ind w:right="60" w:firstLine="395"/>
        <w:spacing w:after="0" w:line="256" w:lineRule="auto"/>
        <w:rPr>
          <w:sz w:val="20"/>
          <w:szCs w:val="20"/>
          <w:color w:val="auto"/>
        </w:rPr>
      </w:pPr>
      <w:r>
        <w:rPr>
          <w:rFonts w:ascii="Times New Roman" w:cs="Times New Roman" w:eastAsia="Times New Roman" w:hAnsi="Times New Roman"/>
          <w:sz w:val="18"/>
          <w:szCs w:val="18"/>
          <w:color w:val="auto"/>
        </w:rPr>
        <w:t>The Credit Facility contains financial covenants and requirements restricting certain of our activities, which are usual and customary for this type of loan. We are also required to maintain compliance with a consolidated leverage ratio and a consolidated interest coverage ratio, in each case, determined in accordance with the terms of the Credit Facility. As of March 31, 2024, we are in compliance with these covenants.</w:t>
      </w:r>
    </w:p>
    <w:p>
      <w:pPr>
        <w:spacing w:after="0" w:line="200" w:lineRule="exact"/>
        <w:rPr>
          <w:sz w:val="20"/>
          <w:szCs w:val="20"/>
          <w:color w:val="auto"/>
        </w:rPr>
      </w:pPr>
    </w:p>
    <w:p>
      <w:pPr>
        <w:spacing w:after="0" w:line="30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113" w:lineRule="exact"/>
        <w:rPr>
          <w:sz w:val="20"/>
          <w:szCs w:val="20"/>
          <w:color w:val="auto"/>
        </w:rPr>
      </w:pPr>
    </w:p>
    <w:p>
      <w:pPr>
        <w:ind w:firstLine="395"/>
        <w:spacing w:after="0" w:line="293" w:lineRule="auto"/>
        <w:rPr>
          <w:sz w:val="20"/>
          <w:szCs w:val="20"/>
          <w:color w:val="auto"/>
        </w:rPr>
      </w:pPr>
      <w:r>
        <w:rPr>
          <w:rFonts w:ascii="Times New Roman" w:cs="Times New Roman" w:eastAsia="Times New Roman" w:hAnsi="Times New Roman"/>
          <w:sz w:val="16"/>
          <w:szCs w:val="16"/>
          <w:color w:val="auto"/>
        </w:rPr>
        <w:t>We believe, based on our current operating plan, that our cash and cash equivalents, and cash from operations, will be sufficient to meet our anticipated cash needs for at least the next 12 months. Our longer-term liquidity is contingent upon future operating performance. Future capital expenditures will generally relate to the functionality of our current platform, the acquisition of additional storage, servers, network connectivity hardware, security apparatus and software, leasehold improvements and furniture and fixtures related to office expansion and relocation, content and general corporate infrastructure.</w:t>
      </w:r>
    </w:p>
    <w:p>
      <w:pPr>
        <w:spacing w:after="0" w:line="49" w:lineRule="exact"/>
        <w:rPr>
          <w:sz w:val="20"/>
          <w:szCs w:val="20"/>
          <w:color w:val="auto"/>
        </w:rPr>
      </w:pPr>
    </w:p>
    <w:p>
      <w:pPr>
        <w:ind w:right="20" w:firstLine="395"/>
        <w:spacing w:after="0" w:line="252" w:lineRule="auto"/>
        <w:rPr>
          <w:sz w:val="20"/>
          <w:szCs w:val="20"/>
          <w:color w:val="auto"/>
        </w:rPr>
      </w:pPr>
      <w:r>
        <w:rPr>
          <w:rFonts w:ascii="Times New Roman" w:cs="Times New Roman" w:eastAsia="Times New Roman" w:hAnsi="Times New Roman"/>
          <w:sz w:val="18"/>
          <w:szCs w:val="18"/>
          <w:color w:val="auto"/>
        </w:rPr>
        <w:t>As of March 31, 2024, we had approximately $74 million in unconditional cash obligations, consisting primarily of purchase obligations related to contracts for cloud-based services, infrastructure and other business services as well as minimum royalty guarantees in connection with certain content licenses, of which the majority is due to be paid within the next two years. In addition, as of March 31, 2024, we had approximately $45 million in operating lease obligations with lease payments extending through 2029.</w:t>
      </w:r>
    </w:p>
    <w:p>
      <w:pPr>
        <w:spacing w:after="0" w:line="78" w:lineRule="exact"/>
        <w:rPr>
          <w:sz w:val="20"/>
          <w:szCs w:val="20"/>
          <w:color w:val="auto"/>
        </w:rPr>
      </w:pPr>
    </w:p>
    <w:p>
      <w:pPr>
        <w:ind w:right="580" w:firstLine="395"/>
        <w:spacing w:after="0" w:line="268" w:lineRule="auto"/>
        <w:rPr>
          <w:sz w:val="20"/>
          <w:szCs w:val="20"/>
          <w:color w:val="auto"/>
        </w:rPr>
      </w:pPr>
      <w:r>
        <w:rPr>
          <w:rFonts w:ascii="Times New Roman" w:cs="Times New Roman" w:eastAsia="Times New Roman" w:hAnsi="Times New Roman"/>
          <w:sz w:val="18"/>
          <w:szCs w:val="18"/>
          <w:color w:val="auto"/>
        </w:rPr>
        <w:t>See Note 14 to our Unaudited Consolidated Financial Statements included in Part I, Item 1 of this Quarterly Report on Form 10-Q for information regarding our existing capital commitments as of March 31,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cash flow data for the three months ended March 31, 2024 and 2023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00" w:type="dxa"/>
            <w:vAlign w:val="bottom"/>
            <w:gridSpan w:val="4"/>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4"/>
        </w:trPr>
        <w:tc>
          <w:tcPr>
            <w:tcW w:w="84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center"/>
              <w:ind w:left="383"/>
              <w:spacing w:after="0"/>
              <w:rPr>
                <w:sz w:val="20"/>
                <w:szCs w:val="20"/>
                <w:color w:val="auto"/>
              </w:rPr>
            </w:pPr>
            <w:r>
              <w:rPr>
                <w:rFonts w:ascii="Times New Roman" w:cs="Times New Roman" w:eastAsia="Times New Roman" w:hAnsi="Times New Roman"/>
                <w:sz w:val="16"/>
                <w:szCs w:val="16"/>
                <w:color w:val="auto"/>
                <w:w w:val="99"/>
              </w:rPr>
              <w:t>66,775</w:t>
            </w:r>
          </w:p>
        </w:tc>
      </w:tr>
      <w:tr>
        <w:trPr>
          <w:trHeight w:val="209"/>
        </w:trPr>
        <w:tc>
          <w:tcPr>
            <w:tcW w:w="8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(16,528)</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center"/>
              <w:ind w:left="363"/>
              <w:spacing w:after="0"/>
              <w:rPr>
                <w:sz w:val="20"/>
                <w:szCs w:val="20"/>
                <w:color w:val="auto"/>
              </w:rPr>
            </w:pPr>
            <w:r>
              <w:rPr>
                <w:rFonts w:ascii="Times New Roman" w:cs="Times New Roman" w:eastAsia="Times New Roman" w:hAnsi="Times New Roman"/>
                <w:sz w:val="16"/>
                <w:szCs w:val="16"/>
                <w:color w:val="auto"/>
                <w:w w:val="98"/>
              </w:rPr>
              <w:t>(15,937)</w:t>
            </w:r>
          </w:p>
        </w:tc>
      </w:tr>
      <w:tr>
        <w:trPr>
          <w:trHeight w:val="212"/>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(18,629)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center"/>
              <w:ind w:left="363"/>
              <w:spacing w:after="0"/>
              <w:rPr>
                <w:sz w:val="20"/>
                <w:szCs w:val="20"/>
                <w:color w:val="auto"/>
              </w:rPr>
            </w:pPr>
            <w:r>
              <w:rPr>
                <w:rFonts w:ascii="Times New Roman" w:cs="Times New Roman" w:eastAsia="Times New Roman" w:hAnsi="Times New Roman"/>
                <w:sz w:val="16"/>
                <w:szCs w:val="16"/>
                <w:color w:val="auto"/>
                <w:w w:val="98"/>
              </w:rPr>
              <w:t>(70,667)</w:t>
            </w:r>
          </w:p>
        </w:tc>
      </w:tr>
    </w:tbl>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58" w:lineRule="exact"/>
        <w:rPr>
          <w:sz w:val="20"/>
          <w:szCs w:val="20"/>
          <w:color w:val="auto"/>
        </w:rPr>
      </w:pPr>
    </w:p>
    <w:p>
      <w:pPr>
        <w:ind w:right="20" w:firstLine="395"/>
        <w:spacing w:after="0" w:line="256" w:lineRule="auto"/>
        <w:rPr>
          <w:sz w:val="20"/>
          <w:szCs w:val="20"/>
          <w:color w:val="auto"/>
        </w:rPr>
      </w:pPr>
      <w:r>
        <w:rPr>
          <w:rFonts w:ascii="Times New Roman" w:cs="Times New Roman" w:eastAsia="Times New Roman" w:hAnsi="Times New Roman"/>
          <w:sz w:val="18"/>
          <w:szCs w:val="18"/>
          <w:color w:val="auto"/>
        </w:rPr>
        <w:t>Our primary source of cash from operating activities is cash collections from our customers. The majority of our revenue is generated from credit card transactions and is typically settled within one to five business days. Our primary uses of cash for operating activities are for the payment of royalties to content contributors, employee-related expenditures and the payment of other operating expenses incurred in the ordinary course of business.</w:t>
      </w:r>
    </w:p>
    <w:p>
      <w:pPr>
        <w:spacing w:after="0" w:line="101" w:lineRule="exact"/>
        <w:rPr>
          <w:sz w:val="20"/>
          <w:szCs w:val="20"/>
          <w:color w:val="auto"/>
        </w:rPr>
      </w:pPr>
    </w:p>
    <w:p>
      <w:pPr>
        <w:ind w:right="260" w:firstLine="395"/>
        <w:spacing w:after="0" w:line="250" w:lineRule="auto"/>
        <w:rPr>
          <w:sz w:val="20"/>
          <w:szCs w:val="20"/>
          <w:color w:val="auto"/>
        </w:rPr>
      </w:pPr>
      <w:r>
        <w:rPr>
          <w:rFonts w:ascii="Times New Roman" w:cs="Times New Roman" w:eastAsia="Times New Roman" w:hAnsi="Times New Roman"/>
          <w:sz w:val="18"/>
          <w:szCs w:val="18"/>
          <w:color w:val="auto"/>
        </w:rPr>
        <w:t>Net cash provided by operating activities was $8.3 million for the three months ended March 31, 2024, compared to Net cash provided by operating activities of $66.8 million for the three months ended March 31, 2023. In the three months ended March 31, 2024, operating cash flows were unfavorably impacted from payments of year-end bonuses and commissions, which are typical first quarter cash outflows. In addition, operating cash flows for the three months ended March 31, 2024 were unfavorably impacted by the recurring and non-recurring payments made to the Giphy workforce, the reimbursement of which is reflected in Investing Activities on the Statement of Cash Flows.</w:t>
      </w:r>
    </w:p>
    <w:p>
      <w:pPr>
        <w:spacing w:after="0" w:line="119" w:lineRule="exact"/>
        <w:rPr>
          <w:sz w:val="20"/>
          <w:szCs w:val="20"/>
          <w:color w:val="auto"/>
        </w:rPr>
      </w:pPr>
    </w:p>
    <w:p>
      <w:pPr>
        <w:jc w:val="both"/>
        <w:ind w:right="480" w:firstLine="395"/>
        <w:spacing w:after="0" w:line="256" w:lineRule="auto"/>
        <w:rPr>
          <w:sz w:val="20"/>
          <w:szCs w:val="20"/>
          <w:color w:val="auto"/>
        </w:rPr>
      </w:pPr>
      <w:r>
        <w:rPr>
          <w:rFonts w:ascii="Times New Roman" w:cs="Times New Roman" w:eastAsia="Times New Roman" w:hAnsi="Times New Roman"/>
          <w:sz w:val="18"/>
          <w:szCs w:val="18"/>
          <w:color w:val="auto"/>
        </w:rPr>
        <w:t>Operating cash flows for the three months ended March 31, 2023 were favorably impacted from an increase in operating income and changes in the timing of cash collections from data deal customers, which had large receivable balances at the end of 2022, and lower payments pertaining to operating expenses, which can cause operating cash flow to fluctuate from period to period.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37" w:lineRule="exact"/>
        <w:rPr>
          <w:sz w:val="20"/>
          <w:szCs w:val="20"/>
          <w:color w:val="auto"/>
        </w:rPr>
      </w:pPr>
    </w:p>
    <w:p>
      <w:pPr>
        <w:ind w:right="140" w:firstLine="395"/>
        <w:spacing w:after="0" w:line="252"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March 31, 2024 was $16.5 million, consisting primarily of (i) $19.5 million used in the acquisition of Backgrid, net of cash acquired, (ii) capital expenditures of $14.5 million for internal-use software and website development costs and purchases of software and equipment, and (iii) $1.0 million paid to acquire the rights to distribute certain digital content into perpetuity. These cash outflows were partially offset by (i) $18.4 million of Giphy Retention Compensation, as reimbursed by the Giphy seller.</w:t>
      </w:r>
    </w:p>
    <w:p>
      <w:pPr>
        <w:spacing w:after="0" w:line="78" w:lineRule="exact"/>
        <w:rPr>
          <w:sz w:val="20"/>
          <w:szCs w:val="20"/>
          <w:color w:val="auto"/>
        </w:rPr>
      </w:pPr>
    </w:p>
    <w:p>
      <w:pPr>
        <w:jc w:val="both"/>
        <w:ind w:right="280" w:firstLine="395"/>
        <w:spacing w:after="0" w:line="256" w:lineRule="auto"/>
        <w:rPr>
          <w:sz w:val="20"/>
          <w:szCs w:val="20"/>
          <w:color w:val="auto"/>
        </w:rPr>
      </w:pPr>
      <w:r>
        <w:rPr>
          <w:rFonts w:ascii="Times New Roman" w:cs="Times New Roman" w:eastAsia="Times New Roman" w:hAnsi="Times New Roman"/>
          <w:sz w:val="18"/>
          <w:szCs w:val="18"/>
          <w:color w:val="auto"/>
        </w:rPr>
        <w:t>Cash used in investing activities in the three months ended March 31, 2023 was $15.9 million, consisting primarily of (i) capital expenditures of $12.4 million for internal-use software and website development costs and purchases of software and equipment, and (ii) $3.5 million paid to acquire the rights to distribute certain digital content in perpetuity.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58" w:lineRule="exact"/>
        <w:rPr>
          <w:sz w:val="20"/>
          <w:szCs w:val="20"/>
          <w:color w:val="auto"/>
        </w:rPr>
      </w:pPr>
    </w:p>
    <w:p>
      <w:pPr>
        <w:ind w:right="220" w:firstLine="395"/>
        <w:spacing w:after="0" w:line="332" w:lineRule="auto"/>
        <w:rPr>
          <w:sz w:val="20"/>
          <w:szCs w:val="20"/>
          <w:color w:val="auto"/>
        </w:rPr>
      </w:pPr>
      <w:r>
        <w:rPr>
          <w:rFonts w:ascii="Times New Roman" w:cs="Times New Roman" w:eastAsia="Times New Roman" w:hAnsi="Times New Roman"/>
          <w:sz w:val="16"/>
          <w:szCs w:val="16"/>
          <w:color w:val="auto"/>
        </w:rPr>
        <w:t>Cash used in financing activities in the three months ended March 31, 2024 was $18.6 million, consisting of (i) $10.7 million, related to the payment of the quarterly cash dividend, and (ii) $8.0 million paid in settlement of tax withholding obligations related to employee stock-based compensation awards.</w:t>
      </w:r>
    </w:p>
    <w:p>
      <w:pPr>
        <w:spacing w:after="0" w:line="200" w:lineRule="exact"/>
        <w:rPr>
          <w:sz w:val="20"/>
          <w:szCs w:val="20"/>
          <w:color w:val="auto"/>
        </w:rPr>
      </w:pPr>
    </w:p>
    <w:p>
      <w:pPr>
        <w:spacing w:after="0" w:line="252"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0" w:firstLine="395"/>
        <w:spacing w:after="0" w:line="256" w:lineRule="auto"/>
        <w:rPr>
          <w:sz w:val="20"/>
          <w:szCs w:val="20"/>
          <w:color w:val="auto"/>
        </w:rPr>
      </w:pPr>
      <w:r>
        <w:rPr>
          <w:rFonts w:ascii="Times New Roman" w:cs="Times New Roman" w:eastAsia="Times New Roman" w:hAnsi="Times New Roman"/>
          <w:sz w:val="18"/>
          <w:szCs w:val="18"/>
          <w:color w:val="auto"/>
        </w:rPr>
        <w:t>Cash used in financing activities in the three months ended March 31, 2023 was $70.7 million, consisting of (i) $50.0 million used for the repayment of our Credit Facility; (ii) $9.7 million related to the payment of the quarterly cash dividend; and (iii) $11.0 million paid in settlement of tax withholding obligations related to employee stock-based compensation awards.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1" w:lineRule="exact"/>
        <w:rPr>
          <w:sz w:val="20"/>
          <w:szCs w:val="20"/>
          <w:color w:val="auto"/>
        </w:rPr>
      </w:pPr>
    </w:p>
    <w:p>
      <w:pPr>
        <w:ind w:right="120" w:firstLine="395"/>
        <w:spacing w:after="0" w:line="249" w:lineRule="auto"/>
        <w:rPr>
          <w:sz w:val="20"/>
          <w:szCs w:val="20"/>
          <w:color w:val="auto"/>
        </w:rPr>
      </w:pPr>
      <w:r>
        <w:rPr>
          <w:rFonts w:ascii="Times New Roman" w:cs="Times New Roman" w:eastAsia="Times New Roman" w:hAnsi="Times New Roman"/>
          <w:sz w:val="18"/>
          <w:szCs w:val="18"/>
          <w:color w:val="auto"/>
        </w:rPr>
        <w:t>To supplement our consolidated financial statements presented in accordance with the accounting principles generally accepted in the United States, or GAAP, our management considers certain financial measures that are not prepared in accordance with GAAP, collectively referred to as non-GAAP financial measures, including adjusted EBITDA, adjusted EBITDA margin, adjusted net income, adjusted net income per diluted common share, revenue growth (including by product offering) on a constant currency basis (expressed as a percentage), and adjusted free cash flow. These non-GAAP financial measures are included solely to provide investors with additional information regarding our financial results and are not based on any standardized methodology prescribed by GAAP and are not necessarily comparable to similarly-titled measures presented by other companies.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8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2800" w:type="dxa"/>
            <w:vAlign w:val="bottom"/>
            <w:tcBorders>
              <w:bottom w:val="single" w:sz="8" w:color="auto"/>
            </w:tcBorders>
            <w:gridSpan w:val="4"/>
            <w:shd w:val="clear" w:color="auto" w:fill="CCEEFF"/>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84"/>
        </w:trPr>
        <w:tc>
          <w:tcPr>
            <w:tcW w:w="80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Financial Measures (in thousands):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09"/>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55,977</w:t>
            </w:r>
          </w:p>
        </w:tc>
        <w:tc>
          <w:tcPr>
            <w:tcW w:w="8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69,764</w:t>
            </w:r>
          </w:p>
        </w:tc>
      </w:tr>
      <w:tr>
        <w:trPr>
          <w:trHeight w:val="21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40,640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47,134</w:t>
            </w:r>
          </w:p>
        </w:tc>
      </w:tr>
      <w:tr>
        <w:trPr>
          <w:trHeight w:val="209"/>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11,246</w:t>
            </w:r>
          </w:p>
        </w:tc>
        <w:tc>
          <w:tcPr>
            <w:tcW w:w="8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50,868</w:t>
            </w:r>
          </w:p>
        </w:tc>
      </w:tr>
      <w:tr>
        <w:trPr>
          <w:trHeight w:val="212"/>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growth on a constant currency basis</w:t>
            </w: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 %</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r>
    </w:tbl>
    <w:p>
      <w:pPr>
        <w:spacing w:after="0" w:line="200" w:lineRule="exact"/>
        <w:rPr>
          <w:sz w:val="20"/>
          <w:szCs w:val="20"/>
          <w:color w:val="auto"/>
        </w:rPr>
      </w:pPr>
    </w:p>
    <w:p>
      <w:pPr>
        <w:spacing w:after="0" w:line="268" w:lineRule="exact"/>
        <w:rPr>
          <w:sz w:val="20"/>
          <w:szCs w:val="20"/>
          <w:color w:val="auto"/>
        </w:rPr>
      </w:pPr>
    </w:p>
    <w:p>
      <w:pPr>
        <w:ind w:firstLine="395"/>
        <w:spacing w:after="0" w:line="248" w:lineRule="auto"/>
        <w:rPr>
          <w:sz w:val="20"/>
          <w:szCs w:val="20"/>
          <w:color w:val="auto"/>
        </w:rPr>
      </w:pPr>
      <w:r>
        <w:rPr>
          <w:rFonts w:ascii="Times New Roman" w:cs="Times New Roman" w:eastAsia="Times New Roman" w:hAnsi="Times New Roman"/>
          <w:sz w:val="18"/>
          <w:szCs w:val="18"/>
          <w:color w:val="auto"/>
        </w:rPr>
        <w:t>These non-GAAP financial measures have not been calculated in accordance with GAAP, should be considered only in addition to results prepared in accordance with GAAP and should not be considered as a substitute for, or superior to, GAAP measures. In addition, adjusted EBITDA, adjusted EBITDA margin, adjusted net income, adjusted net income per diluted common share, revenue growth (including by product offering) on a constant currency basis (expressed as a percentage) and adjusted free cash flow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accordingly, its use can make it difficult to compare our current results with our results from other reporting periods and with the results of other companies.</w:t>
      </w:r>
    </w:p>
    <w:p>
      <w:pPr>
        <w:spacing w:after="0" w:line="82" w:lineRule="exact"/>
        <w:rPr>
          <w:sz w:val="20"/>
          <w:szCs w:val="20"/>
          <w:color w:val="auto"/>
        </w:rPr>
      </w:pPr>
    </w:p>
    <w:p>
      <w:pPr>
        <w:ind w:right="60" w:firstLine="395"/>
        <w:spacing w:after="0" w:line="248" w:lineRule="auto"/>
        <w:rPr>
          <w:sz w:val="20"/>
          <w:szCs w:val="20"/>
          <w:color w:val="auto"/>
        </w:rPr>
      </w:pPr>
      <w:r>
        <w:rPr>
          <w:rFonts w:ascii="Times New Roman" w:cs="Times New Roman" w:eastAsia="Times New Roman" w:hAnsi="Times New Roman"/>
          <w:sz w:val="18"/>
          <w:szCs w:val="18"/>
          <w:color w:val="auto"/>
        </w:rPr>
        <w:t>Our management uses these non-GAAP financial measures, in conjunction with GAAP financial measures, as an integral part of managing the business and to, among other things: (i) monitor and evaluate the performance of our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our management team and, together with other operational objectives, as a measure in evaluating employee compensation and bonuses; (v) analyze and evaluate financial and strategic planning decisions regarding future operating investments; and (vi) plan for and prepare future annual operating budgets and determine appropriate levels of operating investments.</w:t>
      </w:r>
    </w:p>
    <w:p>
      <w:pPr>
        <w:spacing w:after="0" w:line="82" w:lineRule="exact"/>
        <w:rPr>
          <w:sz w:val="20"/>
          <w:szCs w:val="20"/>
          <w:color w:val="auto"/>
        </w:rPr>
      </w:pPr>
    </w:p>
    <w:p>
      <w:pPr>
        <w:ind w:right="60" w:firstLine="395"/>
        <w:spacing w:after="0" w:line="246" w:lineRule="auto"/>
        <w:rPr>
          <w:sz w:val="20"/>
          <w:szCs w:val="20"/>
          <w:color w:val="auto"/>
        </w:rPr>
      </w:pPr>
      <w:r>
        <w:rPr>
          <w:rFonts w:ascii="Times New Roman" w:cs="Times New Roman" w:eastAsia="Times New Roman" w:hAnsi="Times New Roman"/>
          <w:sz w:val="18"/>
          <w:szCs w:val="18"/>
          <w:color w:val="auto"/>
        </w:rPr>
        <w:t>Management believes that adjusted EBITDA, adjusted EBITDA margin, adjusted net income, adjusted net income per diluted common share, revenue growth (including by product offering) on a constant currency basis (expressed as a percentage) and adjusted free cash flow are useful to investors because these measures enable investors to analyze Shutterstock’s operating results on the same basis as that used by management. Additionally, management believes that adjusted EBITDA, adjusted EBITDA margin, adjusted net income and adjusted net income per diluted common share provide useful information to investors about the performance of the Company’s overall business because such measures eliminate the effects of unusual or other infrequent charges that are not directly attributable to Shutterstock’s underlying operating performance and revenue growth (including by product offering) on a constant currency basis (expressed as a percentage), provides useful information to investors by eliminating the effect of foreign currency fluctuations that are not directly attributable to Shutterstock’s operating performance. Management also believes that providing these non-GAAP financial measures enhances the comparability for investors in assessing Shutterstock’s financial reporting. Management believes that adjusted free cash flow is useful for investors because it provides them with an important perspective on the cash available for strategic measures, after making necessary capital investments in internal-use software and website development costs to support the Company’s ongoing business operations and provides them with the same measures that management uses as the basis for making resource</w:t>
      </w:r>
    </w:p>
    <w:p>
      <w:pPr>
        <w:spacing w:after="0" w:line="200" w:lineRule="exact"/>
        <w:rPr>
          <w:sz w:val="20"/>
          <w:szCs w:val="20"/>
          <w:color w:val="auto"/>
        </w:rPr>
      </w:pPr>
    </w:p>
    <w:p>
      <w:pPr>
        <w:spacing w:after="0" w:line="32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allocation decisions.</w:t>
      </w:r>
    </w:p>
    <w:p>
      <w:pPr>
        <w:spacing w:after="0" w:line="148" w:lineRule="exact"/>
        <w:rPr>
          <w:sz w:val="20"/>
          <w:szCs w:val="20"/>
          <w:color w:val="auto"/>
        </w:rPr>
      </w:pPr>
    </w:p>
    <w:p>
      <w:pPr>
        <w:ind w:right="100" w:firstLine="395"/>
        <w:spacing w:after="0" w:line="250" w:lineRule="auto"/>
        <w:rPr>
          <w:sz w:val="20"/>
          <w:szCs w:val="20"/>
          <w:color w:val="auto"/>
        </w:rPr>
      </w:pPr>
      <w:r>
        <w:rPr>
          <w:rFonts w:ascii="Times New Roman" w:cs="Times New Roman" w:eastAsia="Times New Roman" w:hAnsi="Times New Roman"/>
          <w:sz w:val="18"/>
          <w:szCs w:val="18"/>
          <w:color w:val="auto"/>
        </w:rPr>
        <w:t>Our use of non-GAAP financial measures has limitations as an analytical tool, and these measures should not be considered in isolation or as a substitute for an analysis of our results as reported under GAAP, as the excluded items may have significant effects on our operating results and financial condition. Additionally, our methods for measuring non-GAAP financial measures may differ from other companies’ similarly titled measures. When evaluating our performance, these non-GAAP financial measures should be considered alongside other financial performance measures, including various cash flow metrics, net income and our other GAAP results.</w:t>
      </w:r>
    </w:p>
    <w:p>
      <w:pPr>
        <w:spacing w:after="0" w:line="106" w:lineRule="exact"/>
        <w:rPr>
          <w:sz w:val="20"/>
          <w:szCs w:val="20"/>
          <w:color w:val="auto"/>
        </w:rPr>
      </w:pPr>
    </w:p>
    <w:p>
      <w:pPr>
        <w:ind w:right="200" w:firstLine="395"/>
        <w:spacing w:after="0" w:line="293" w:lineRule="auto"/>
        <w:rPr>
          <w:sz w:val="20"/>
          <w:szCs w:val="20"/>
          <w:color w:val="auto"/>
        </w:rPr>
      </w:pPr>
      <w:r>
        <w:rPr>
          <w:rFonts w:ascii="Times New Roman" w:cs="Times New Roman" w:eastAsia="Times New Roman" w:hAnsi="Times New Roman"/>
          <w:sz w:val="16"/>
          <w:szCs w:val="16"/>
          <w:color w:val="auto"/>
        </w:rPr>
        <w:t>Our method for calculating adjusted EBITDA, adjusted EBITDA margin, adjusted net income, adjusted net income per diluted common share, revenue growth (including by product offering) on a constant currency basis (expressed as a percentage) and adjusted free cash flow, as well as a reconciliation of the differences between adjusted EBITDA, adjusted net income, revenue growth (including by product offering) on a constant currency basis (expressed as a percentage) and adjusted free cash flow, and the most comparable financial measures calculated and presented in accordance with GAAP, is presented below.</w:t>
      </w:r>
    </w:p>
    <w:p>
      <w:pPr>
        <w:spacing w:after="0" w:line="49" w:lineRule="exact"/>
        <w:rPr>
          <w:sz w:val="20"/>
          <w:szCs w:val="20"/>
          <w:color w:val="auto"/>
        </w:rPr>
      </w:pPr>
    </w:p>
    <w:p>
      <w:pPr>
        <w:ind w:right="60" w:firstLine="395"/>
        <w:spacing w:after="0" w:line="246" w:lineRule="auto"/>
        <w:rPr>
          <w:sz w:val="20"/>
          <w:szCs w:val="20"/>
          <w:color w:val="auto"/>
        </w:rPr>
      </w:pPr>
      <w:r>
        <w:rPr>
          <w:rFonts w:ascii="Times New Roman" w:cs="Times New Roman" w:eastAsia="Times New Roman" w:hAnsi="Times New Roman"/>
          <w:sz w:val="18"/>
          <w:szCs w:val="18"/>
          <w:color w:val="auto"/>
        </w:rPr>
        <w:t>The expense associated with the Giphy Retention Compensation related to (i) the one-time employment inducement bonuses and (ii) the vesting of the cash value of unvested Meta equity awards held by the employees prior to closing, which are reflected in operating expenses (together, the “Giphy Retention Compensation Expense - non-recurring”), are required payments in accordance with the terms of the acquisition. Meta’s sale of Giphy was directed by the CMA and accordingly, the terms of the acquisition were subject to CMA preapproval. Management considers the operating expense associated with these required payments to be unusual and non-recurring in nature. The Giphy Retention Compensation Expense - non-recurring is not considered ongoing expense necessary to operate the Company’s business. Therefore, such expenses have been included in the below adjustments for calculating adjusted EBITDA, adjusted EBITDA margin, adjusted net income and adjusted net income per diluted common share. For the three months ended March 31, 2024, the Company also incurred $7.1 million, of Giphy Retention Compensation expense related to recurring employee costs, which is included in operating expenses, and are not included in the below adjustments for calculating adjusted EBITDA, adjusted EBITDA margin, adjusted net income and adjusted net income per diluted common share.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 and Adjusted EBITDA Margin</w:t>
      </w:r>
    </w:p>
    <w:p>
      <w:pPr>
        <w:spacing w:after="0" w:line="45" w:lineRule="exact"/>
        <w:rPr>
          <w:sz w:val="20"/>
          <w:szCs w:val="20"/>
          <w:color w:val="auto"/>
        </w:rPr>
      </w:pPr>
    </w:p>
    <w:p>
      <w:pPr>
        <w:ind w:right="380" w:firstLine="395"/>
        <w:spacing w:after="0" w:line="230" w:lineRule="auto"/>
        <w:rPr>
          <w:sz w:val="20"/>
          <w:szCs w:val="20"/>
          <w:color w:val="auto"/>
        </w:rPr>
      </w:pPr>
      <w:r>
        <w:rPr>
          <w:rFonts w:ascii="Times New Roman" w:cs="Times New Roman" w:eastAsia="Times New Roman" w:hAnsi="Times New Roman"/>
          <w:sz w:val="18"/>
          <w:szCs w:val="18"/>
          <w:color w:val="auto"/>
        </w:rPr>
        <w:t>We define adjusted EBITDA as net income adjusted for depreciation and amortization, non-cash equity-based compensation, bargain purchase gain related to the acquisition of Giphy, Giphy Retention Compensation Expense - non-recurring, foreign currency transaction gains and losses, severance costs associated with strategic workforce optimizations, unrealized gains on investments, interest income and expense and income taxes. We define adjusted EBITDA margin as the ratio of adjusted EBITDA to revenue.</w:t>
      </w: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EBITDA for each of the periods indicated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4"/>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9"/>
        </w:trPr>
        <w:tc>
          <w:tcPr>
            <w:tcW w:w="80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1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16,121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32,843</w:t>
            </w:r>
          </w:p>
        </w:tc>
      </w:tr>
      <w:tr>
        <w:trPr>
          <w:trHeight w:val="209"/>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2"/>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21,263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18,896</w:t>
            </w:r>
          </w:p>
        </w:tc>
      </w:tr>
      <w:tr>
        <w:trPr>
          <w:trHeight w:val="209"/>
        </w:trPr>
        <w:tc>
          <w:tcPr>
            <w:tcW w:w="80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360" w:type="dxa"/>
            <w:vAlign w:val="bottom"/>
          </w:tcPr>
          <w:p>
            <w:pPr>
              <w:spacing w:after="0"/>
              <w:rPr>
                <w:sz w:val="18"/>
                <w:szCs w:val="18"/>
                <w:color w:val="auto"/>
              </w:rPr>
            </w:pPr>
          </w:p>
        </w:tc>
        <w:tc>
          <w:tcPr>
            <w:tcW w:w="11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11,150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8,643</w:t>
            </w:r>
          </w:p>
        </w:tc>
      </w:tr>
      <w:tr>
        <w:trPr>
          <w:trHeight w:val="212"/>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Giphy Retention Compensation Expense - non-recurring</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6,829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804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Other adjustments, net</w:t>
            </w:r>
            <w:r>
              <w:rPr>
                <w:rFonts w:ascii="Times New Roman" w:cs="Times New Roman" w:eastAsia="Times New Roman" w:hAnsi="Times New Roman"/>
                <w:sz w:val="20"/>
                <w:szCs w:val="20"/>
                <w:color w:val="auto"/>
                <w:vertAlign w:val="superscript"/>
              </w:rPr>
              <w:t>(1)</w:t>
            </w:r>
          </w:p>
        </w:tc>
        <w:tc>
          <w:tcPr>
            <w:tcW w:w="360" w:type="dxa"/>
            <w:vAlign w:val="bottom"/>
          </w:tcPr>
          <w:p>
            <w:pPr>
              <w:spacing w:after="0"/>
              <w:rPr>
                <w:sz w:val="18"/>
                <w:szCs w:val="18"/>
                <w:color w:val="auto"/>
              </w:rPr>
            </w:pPr>
          </w:p>
        </w:tc>
        <w:tc>
          <w:tcPr>
            <w:tcW w:w="118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(3,655)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811</w:t>
            </w:r>
          </w:p>
        </w:tc>
      </w:tr>
      <w:tr>
        <w:trPr>
          <w:trHeight w:val="211"/>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4,269</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8,571</w:t>
            </w:r>
          </w:p>
        </w:tc>
      </w:tr>
      <w:tr>
        <w:trPr>
          <w:trHeight w:val="204"/>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55,977</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69,764</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9"/>
        </w:trPr>
        <w:tc>
          <w:tcPr>
            <w:tcW w:w="80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09"/>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214,315</w:t>
            </w:r>
          </w:p>
        </w:tc>
        <w:tc>
          <w:tcPr>
            <w:tcW w:w="120" w:type="dxa"/>
            <w:vAlign w:val="bottom"/>
          </w:tcPr>
          <w:p>
            <w:pPr>
              <w:spacing w:after="0"/>
              <w:rPr>
                <w:sz w:val="18"/>
                <w:szCs w:val="18"/>
                <w:color w:val="auto"/>
              </w:rPr>
            </w:pPr>
          </w:p>
        </w:tc>
        <w:tc>
          <w:tcPr>
            <w:tcW w:w="36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215,280</w:t>
            </w:r>
          </w:p>
        </w:tc>
      </w:tr>
      <w:tr>
        <w:trPr>
          <w:trHeight w:val="212"/>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margin</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15.3 %</w:t>
            </w:r>
          </w:p>
        </w:tc>
      </w:tr>
      <w:tr>
        <w:trPr>
          <w:trHeight w:val="207"/>
        </w:trPr>
        <w:tc>
          <w:tcPr>
            <w:tcW w:w="8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26.1 %</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32.4 %</w:t>
            </w:r>
          </w:p>
        </w:tc>
      </w:tr>
    </w:tbl>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w:t>
      </w:r>
    </w:p>
    <w:p>
      <w:pPr>
        <w:spacing w:after="0" w:line="105" w:lineRule="exact"/>
        <w:rPr>
          <w:sz w:val="20"/>
          <w:szCs w:val="20"/>
          <w:color w:val="auto"/>
        </w:rPr>
      </w:pPr>
    </w:p>
    <w:p>
      <w:pPr>
        <w:ind w:left="320" w:right="100" w:hanging="315"/>
        <w:spacing w:after="0" w:line="287" w:lineRule="auto"/>
        <w:tabs>
          <w:tab w:leader="none" w:pos="31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adjustments, net includes unrealized foreign currency transaction gains and losses, severance costs associated with strategic workforce optimizations, unrealized gains on investments, and interest income and expense.</w:t>
      </w:r>
    </w:p>
    <w:p>
      <w:pPr>
        <w:spacing w:after="0" w:line="200" w:lineRule="exact"/>
        <w:rPr>
          <w:sz w:val="20"/>
          <w:szCs w:val="20"/>
          <w:color w:val="auto"/>
        </w:rPr>
      </w:pPr>
    </w:p>
    <w:p>
      <w:pPr>
        <w:spacing w:after="0" w:line="30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Net Income and Adjusted Net Income Per Diluted Common Share</w:t>
      </w:r>
    </w:p>
    <w:p>
      <w:pPr>
        <w:spacing w:after="0" w:line="58" w:lineRule="exact"/>
        <w:rPr>
          <w:sz w:val="20"/>
          <w:szCs w:val="20"/>
          <w:color w:val="auto"/>
        </w:rPr>
      </w:pPr>
    </w:p>
    <w:p>
      <w:pPr>
        <w:ind w:right="120" w:firstLine="395"/>
        <w:spacing w:after="0" w:line="256" w:lineRule="auto"/>
        <w:rPr>
          <w:sz w:val="20"/>
          <w:szCs w:val="20"/>
          <w:color w:val="auto"/>
        </w:rPr>
      </w:pPr>
      <w:r>
        <w:rPr>
          <w:rFonts w:ascii="Times New Roman" w:cs="Times New Roman" w:eastAsia="Times New Roman" w:hAnsi="Times New Roman"/>
          <w:sz w:val="18"/>
          <w:szCs w:val="18"/>
          <w:color w:val="auto"/>
        </w:rPr>
        <w:t xml:space="preserve">We define adjusted net income as net income adjusted for the impact of non-cash equity-based compensation, the amortization of acquisition-related intangible assets, Giphy Retention Compensation Expense - non-recurring, unrealized gains on investments, and the estimated tax impact of such adjustments. We define adjusted net income per diluted common share as </w:t>
      </w:r>
      <w:r>
        <w:rPr>
          <w:rFonts w:ascii="Times New Roman" w:cs="Times New Roman" w:eastAsia="Times New Roman" w:hAnsi="Times New Roman"/>
          <w:sz w:val="16"/>
          <w:szCs w:val="16"/>
          <w:color w:val="auto"/>
        </w:rPr>
        <w:t>adjusted net income divided by weighted average diluted shares.</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reconciliation of net income to adjusted net income for each of the periods indicated (in thousands, except per share data):</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24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6"/>
                <w:szCs w:val="16"/>
                <w:color w:val="auto"/>
              </w:rPr>
            </w:pPr>
          </w:p>
        </w:tc>
      </w:tr>
      <w:tr>
        <w:trPr>
          <w:trHeight w:val="24"/>
        </w:trPr>
        <w:tc>
          <w:tcPr>
            <w:tcW w:w="82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184"/>
        </w:trPr>
        <w:tc>
          <w:tcPr>
            <w:tcW w:w="82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6"/>
                <w:szCs w:val="16"/>
                <w:color w:val="auto"/>
              </w:rPr>
            </w:pPr>
          </w:p>
        </w:tc>
      </w:tr>
      <w:tr>
        <w:trPr>
          <w:trHeight w:val="184"/>
        </w:trPr>
        <w:tc>
          <w:tcPr>
            <w:tcW w:w="8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80" w:type="dxa"/>
            <w:vAlign w:val="bottom"/>
            <w:gridSpan w:val="3"/>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Pr>
          <w:p>
            <w:pPr>
              <w:spacing w:after="0"/>
              <w:rPr>
                <w:sz w:val="16"/>
                <w:szCs w:val="16"/>
                <w:color w:val="auto"/>
              </w:rPr>
            </w:pPr>
          </w:p>
        </w:tc>
      </w:tr>
      <w:tr>
        <w:trPr>
          <w:trHeight w:val="65"/>
        </w:trPr>
        <w:tc>
          <w:tcPr>
            <w:tcW w:w="8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500" w:type="dxa"/>
            <w:vAlign w:val="bottom"/>
          </w:tcPr>
          <w:p>
            <w:pPr>
              <w:spacing w:after="0"/>
              <w:rPr>
                <w:sz w:val="5"/>
                <w:szCs w:val="5"/>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32,843</w:t>
            </w: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 (less) Non-GAAP adjustments:</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2"/>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equity-based compensation</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11,150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8,643</w:t>
            </w:r>
          </w:p>
        </w:tc>
      </w:tr>
      <w:tr>
        <w:trPr>
          <w:trHeight w:val="211"/>
        </w:trPr>
        <w:tc>
          <w:tcPr>
            <w:tcW w:w="826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Tax effect of non-cash equity-based compensation</w:t>
            </w:r>
            <w:r>
              <w:rPr>
                <w:rFonts w:ascii="Times New Roman" w:cs="Times New Roman" w:eastAsia="Times New Roman" w:hAnsi="Times New Roman"/>
                <w:sz w:val="20"/>
                <w:szCs w:val="20"/>
                <w:color w:val="auto"/>
                <w:vertAlign w:val="superscript"/>
              </w:rPr>
              <w:t>(1)</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(2,031)</w:t>
            </w:r>
          </w:p>
        </w:tc>
      </w:tr>
      <w:tr>
        <w:trPr>
          <w:trHeight w:val="211"/>
        </w:trPr>
        <w:tc>
          <w:tcPr>
            <w:tcW w:w="8260" w:type="dxa"/>
            <w:vAlign w:val="bottom"/>
            <w:shd w:val="clear" w:color="auto" w:fill="CCEEFF"/>
          </w:tcPr>
          <w:p>
            <w:pPr>
              <w:ind w:left="140"/>
              <w:spacing w:after="0" w:line="210" w:lineRule="exact"/>
              <w:rPr>
                <w:sz w:val="20"/>
                <w:szCs w:val="20"/>
                <w:color w:val="auto"/>
              </w:rPr>
            </w:pPr>
            <w:r>
              <w:rPr>
                <w:rFonts w:ascii="Times New Roman" w:cs="Times New Roman" w:eastAsia="Times New Roman" w:hAnsi="Times New Roman"/>
                <w:sz w:val="16"/>
                <w:szCs w:val="16"/>
                <w:color w:val="auto"/>
              </w:rPr>
              <w:t>Acquisition-related amortization expense</w:t>
            </w:r>
            <w:r>
              <w:rPr>
                <w:rFonts w:ascii="Times New Roman" w:cs="Times New Roman" w:eastAsia="Times New Roman" w:hAnsi="Times New Roman"/>
                <w:sz w:val="20"/>
                <w:szCs w:val="20"/>
                <w:color w:val="auto"/>
                <w:vertAlign w:val="superscript"/>
              </w:rPr>
              <w:t>(2)</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9,163</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8,158</w:t>
            </w:r>
          </w:p>
        </w:tc>
      </w:tr>
      <w:tr>
        <w:trPr>
          <w:trHeight w:val="211"/>
        </w:trPr>
        <w:tc>
          <w:tcPr>
            <w:tcW w:w="826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Tax effect of acquisition-related amortization expense</w:t>
            </w:r>
            <w:r>
              <w:rPr>
                <w:rFonts w:ascii="Times New Roman" w:cs="Times New Roman" w:eastAsia="Times New Roman" w:hAnsi="Times New Roman"/>
                <w:sz w:val="20"/>
                <w:szCs w:val="20"/>
                <w:color w:val="auto"/>
                <w:vertAlign w:val="superscript"/>
              </w:rPr>
              <w:t>(1)</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(2,153)</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8"/>
              </w:rPr>
              <w:t>(1,917)</w:t>
            </w:r>
          </w:p>
        </w:tc>
      </w:tr>
      <w:tr>
        <w:trPr>
          <w:trHeight w:val="211"/>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Giphy Retention Compensation Expense - non-recurring</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6,829</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 effect of Giphy Retention Compensation Expense - non-recurring</w:t>
            </w:r>
          </w:p>
        </w:tc>
        <w:tc>
          <w:tcPr>
            <w:tcW w:w="9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1,856</w:t>
            </w:r>
          </w:p>
        </w:tc>
      </w:tr>
      <w:tr>
        <w:trPr>
          <w:trHeight w:val="211"/>
        </w:trPr>
        <w:tc>
          <w:tcPr>
            <w:tcW w:w="8260" w:type="dxa"/>
            <w:vAlign w:val="bottom"/>
          </w:tcPr>
          <w:p>
            <w:pPr>
              <w:ind w:left="140"/>
              <w:spacing w:after="0" w:line="210" w:lineRule="exact"/>
              <w:rPr>
                <w:sz w:val="20"/>
                <w:szCs w:val="20"/>
                <w:color w:val="auto"/>
              </w:rPr>
            </w:pPr>
            <w:r>
              <w:rPr>
                <w:rFonts w:ascii="Times New Roman" w:cs="Times New Roman" w:eastAsia="Times New Roman" w:hAnsi="Times New Roman"/>
                <w:sz w:val="16"/>
                <w:szCs w:val="16"/>
                <w:color w:val="auto"/>
              </w:rPr>
              <w:t>Tax effect of other</w:t>
            </w:r>
            <w:r>
              <w:rPr>
                <w:rFonts w:ascii="Times New Roman" w:cs="Times New Roman" w:eastAsia="Times New Roman" w:hAnsi="Times New Roman"/>
                <w:sz w:val="20"/>
                <w:szCs w:val="20"/>
                <w:color w:val="auto"/>
                <w:vertAlign w:val="superscript"/>
              </w:rPr>
              <w:t>(1)</w:t>
            </w:r>
          </w:p>
        </w:tc>
        <w:tc>
          <w:tcPr>
            <w:tcW w:w="9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r>
      <w:tr>
        <w:trPr>
          <w:trHeight w:val="229"/>
        </w:trPr>
        <w:tc>
          <w:tcPr>
            <w:tcW w:w="8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income</w:t>
            </w:r>
          </w:p>
        </w:tc>
        <w:tc>
          <w:tcPr>
            <w:tcW w:w="900" w:type="dxa"/>
            <w:vAlign w:val="bottom"/>
            <w:tcBorders>
              <w:top w:val="single" w:sz="8" w:color="auto"/>
              <w:bottom w:val="single" w:sz="8" w:color="auto"/>
            </w:tcBorders>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47,134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r>
        <w:trPr>
          <w:trHeight w:val="209"/>
        </w:trPr>
        <w:tc>
          <w:tcPr>
            <w:tcW w:w="8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1"/>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diluted common share</w:t>
            </w:r>
          </w:p>
        </w:tc>
        <w:tc>
          <w:tcPr>
            <w:tcW w:w="90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0.90</w:t>
            </w:r>
          </w:p>
        </w:tc>
      </w:tr>
      <w:tr>
        <w:trPr>
          <w:trHeight w:val="24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Adjusted net income per diluted common share</w:t>
            </w:r>
          </w:p>
        </w:tc>
        <w:tc>
          <w:tcPr>
            <w:tcW w:w="900" w:type="dxa"/>
            <w:vAlign w:val="bottom"/>
            <w:tcBorders>
              <w:bottom w:val="single" w:sz="8" w:color="CCEEFF"/>
            </w:tcBorders>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jc w:val="right"/>
              <w:ind w:right="76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1.29</w:t>
            </w:r>
          </w:p>
        </w:tc>
      </w:tr>
      <w:tr>
        <w:trPr>
          <w:trHeight w:val="211"/>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diluted shares</w:t>
            </w: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36,066</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5"/>
              </w:rPr>
              <w:t>36,575</w:t>
            </w:r>
          </w:p>
        </w:tc>
      </w:tr>
      <w:tr>
        <w:trPr>
          <w:trHeight w:val="20"/>
        </w:trPr>
        <w:tc>
          <w:tcPr>
            <w:tcW w:w="8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320" w:hanging="315"/>
        <w:spacing w:after="0"/>
        <w:tabs>
          <w:tab w:leader="none" w:pos="3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Statutory tax rates are used to calculate the tax effect of the adjustments.</w:t>
      </w:r>
    </w:p>
    <w:p>
      <w:pPr>
        <w:spacing w:after="0" w:line="115" w:lineRule="exact"/>
        <w:rPr>
          <w:rFonts w:ascii="Times New Roman" w:cs="Times New Roman" w:eastAsia="Times New Roman" w:hAnsi="Times New Roman"/>
          <w:sz w:val="12"/>
          <w:szCs w:val="12"/>
          <w:color w:val="auto"/>
        </w:rPr>
      </w:pPr>
    </w:p>
    <w:p>
      <w:pPr>
        <w:ind w:left="320" w:right="600" w:hanging="315"/>
        <w:spacing w:after="0" w:line="268" w:lineRule="auto"/>
        <w:tabs>
          <w:tab w:leader="none" w:pos="312"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 these amounts, $8.2 million and $7.5 million are included in cost of revenue for the three months ended March 31, 2024 and 2023, respectively. The remainder of acquisition-related amortization expense is included in general and administrative expense in the Statement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Growth (including by product offering) on a Constant Currency Basis</w:t>
      </w:r>
    </w:p>
    <w:p>
      <w:pPr>
        <w:spacing w:after="0" w:line="58" w:lineRule="exact"/>
        <w:rPr>
          <w:sz w:val="20"/>
          <w:szCs w:val="20"/>
          <w:color w:val="auto"/>
        </w:rPr>
      </w:pPr>
    </w:p>
    <w:p>
      <w:pPr>
        <w:ind w:right="500" w:firstLine="395"/>
        <w:spacing w:after="0" w:line="268" w:lineRule="auto"/>
        <w:rPr>
          <w:sz w:val="20"/>
          <w:szCs w:val="20"/>
          <w:color w:val="auto"/>
        </w:rPr>
      </w:pPr>
      <w:r>
        <w:rPr>
          <w:rFonts w:ascii="Times New Roman" w:cs="Times New Roman" w:eastAsia="Times New Roman" w:hAnsi="Times New Roman"/>
          <w:sz w:val="18"/>
          <w:szCs w:val="18"/>
          <w:color w:val="auto"/>
        </w:rPr>
        <w:t>We define revenue growth (including by product offering) on a constant currency basis (expressed as a percentage) as the increase in current period revenues over prior period revenues, utilizing fixed exchange rates for translating foreign currency revenues for all periods in the comparison.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4"/>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0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9"/>
        </w:trPr>
        <w:tc>
          <w:tcPr>
            <w:tcW w:w="80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1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Reported revenue (in thousands)</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214,315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215,280</w:t>
            </w:r>
          </w:p>
        </w:tc>
      </w:tr>
      <w:tr>
        <w:trPr>
          <w:trHeight w:val="210"/>
        </w:trPr>
        <w:tc>
          <w:tcPr>
            <w:tcW w:w="80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w:t>
            </w:r>
          </w:p>
        </w:tc>
        <w:tc>
          <w:tcPr>
            <w:tcW w:w="36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i w:val="1"/>
                <w:iCs w:val="1"/>
                <w:color w:val="auto"/>
              </w:rPr>
              <w:t>— %</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8 %</w:t>
            </w:r>
          </w:p>
        </w:tc>
      </w:tr>
      <w:tr>
        <w:trPr>
          <w:trHeight w:val="211"/>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Revenue growth on a constant currency basis</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i w:val="1"/>
                <w:iCs w:val="1"/>
                <w:color w:val="auto"/>
              </w:rPr>
              <w:t>— %</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10 %</w:t>
            </w:r>
          </w:p>
        </w:tc>
      </w:tr>
      <w:tr>
        <w:trPr>
          <w:trHeight w:val="158"/>
        </w:trPr>
        <w:tc>
          <w:tcPr>
            <w:tcW w:w="8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1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Content reported revenue (in thousands)</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173,830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193,984</w:t>
            </w:r>
          </w:p>
        </w:tc>
      </w:tr>
      <w:tr>
        <w:trPr>
          <w:trHeight w:val="210"/>
        </w:trPr>
        <w:tc>
          <w:tcPr>
            <w:tcW w:w="80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Content revenue growth</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(1)%</w:t>
            </w:r>
          </w:p>
        </w:tc>
      </w:tr>
      <w:tr>
        <w:trPr>
          <w:trHeight w:val="211"/>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Content revenue growth on a constant currency basis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1 %</w:t>
            </w:r>
          </w:p>
        </w:tc>
      </w:tr>
      <w:tr>
        <w:trPr>
          <w:trHeight w:val="158"/>
        </w:trPr>
        <w:tc>
          <w:tcPr>
            <w:tcW w:w="80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211"/>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Data, Distribution, and Services reported revenue (in thousands)</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40,485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21,296</w:t>
            </w:r>
          </w:p>
        </w:tc>
      </w:tr>
      <w:tr>
        <w:trPr>
          <w:trHeight w:val="210"/>
        </w:trPr>
        <w:tc>
          <w:tcPr>
            <w:tcW w:w="80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Data, Distribution, and Services revenue growth</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90 %</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436 %</w:t>
            </w:r>
          </w:p>
        </w:tc>
      </w:tr>
      <w:tr>
        <w:trPr>
          <w:trHeight w:val="211"/>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Data, Distribution, and Services revenue growth on a constant currency basis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90 %</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437 %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Free Cash Flow</w:t>
      </w:r>
    </w:p>
    <w:p>
      <w:pPr>
        <w:spacing w:after="0" w:line="150" w:lineRule="exact"/>
        <w:rPr>
          <w:sz w:val="20"/>
          <w:szCs w:val="20"/>
          <w:color w:val="auto"/>
        </w:rPr>
      </w:pPr>
    </w:p>
    <w:p>
      <w:pPr>
        <w:ind w:right="300" w:firstLine="395"/>
        <w:spacing w:after="0" w:line="268" w:lineRule="auto"/>
        <w:rPr>
          <w:sz w:val="20"/>
          <w:szCs w:val="20"/>
          <w:color w:val="auto"/>
        </w:rPr>
      </w:pPr>
      <w:r>
        <w:rPr>
          <w:rFonts w:ascii="Times New Roman" w:cs="Times New Roman" w:eastAsia="Times New Roman" w:hAnsi="Times New Roman"/>
          <w:sz w:val="18"/>
          <w:szCs w:val="18"/>
          <w:color w:val="auto"/>
        </w:rPr>
        <w:t>We define adjusted free cash flow as our cash provided by operating activities, adjusted for capital expenditures, content acquisition and cash received related to Giphy Retention Compensation in connection with the acquisition of Giphy.</w:t>
      </w:r>
    </w:p>
    <w:p>
      <w:pPr>
        <w:spacing w:after="0" w:line="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is a reconciliation of net cash provided by operating activities to adjusted free cash flow for each of the periods indicated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60" w:type="dxa"/>
            <w:vAlign w:val="bottom"/>
          </w:tcPr>
          <w:p>
            <w:pPr>
              <w:spacing w:after="0"/>
              <w:rPr>
                <w:sz w:val="16"/>
                <w:szCs w:val="16"/>
                <w:color w:val="auto"/>
              </w:rPr>
            </w:pPr>
          </w:p>
        </w:tc>
        <w:tc>
          <w:tcPr>
            <w:tcW w:w="2980" w:type="dxa"/>
            <w:vAlign w:val="bottom"/>
            <w:gridSpan w:val="5"/>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26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7"/>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information:</w:t>
            </w:r>
          </w:p>
        </w:tc>
        <w:tc>
          <w:tcPr>
            <w:tcW w:w="8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shd w:val="clear" w:color="auto" w:fill="CCEEFF"/>
          </w:tcPr>
          <w:p>
            <w:pPr>
              <w:spacing w:after="0"/>
              <w:rPr>
                <w:sz w:val="17"/>
                <w:szCs w:val="17"/>
                <w:color w:val="auto"/>
              </w:rPr>
            </w:pPr>
          </w:p>
        </w:tc>
      </w:tr>
      <w:tr>
        <w:trPr>
          <w:trHeight w:val="209"/>
        </w:trPr>
        <w:tc>
          <w:tcPr>
            <w:tcW w:w="8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880" w:type="dxa"/>
            <w:vAlign w:val="bottom"/>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8,300</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66,775</w:t>
            </w:r>
          </w:p>
        </w:tc>
      </w:tr>
      <w:tr>
        <w:trPr>
          <w:trHeight w:val="212"/>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88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(16,528)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(15,937)</w:t>
            </w:r>
          </w:p>
        </w:tc>
      </w:tr>
      <w:tr>
        <w:trPr>
          <w:trHeight w:val="209"/>
        </w:trPr>
        <w:tc>
          <w:tcPr>
            <w:tcW w:w="8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880" w:type="dxa"/>
            <w:vAlign w:val="bottom"/>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(18,629)</w:t>
            </w:r>
          </w:p>
        </w:tc>
        <w:tc>
          <w:tcPr>
            <w:tcW w:w="100" w:type="dxa"/>
            <w:vAlign w:val="bottom"/>
          </w:tcPr>
          <w:p>
            <w:pPr>
              <w:spacing w:after="0"/>
              <w:rPr>
                <w:sz w:val="18"/>
                <w:szCs w:val="18"/>
                <w:color w:val="auto"/>
              </w:rPr>
            </w:pP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(70,667)</w:t>
            </w:r>
          </w:p>
        </w:tc>
      </w:tr>
      <w:tr>
        <w:trPr>
          <w:trHeight w:val="265"/>
        </w:trPr>
        <w:tc>
          <w:tcPr>
            <w:tcW w:w="8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88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66,775</w:t>
            </w:r>
          </w:p>
        </w:tc>
      </w:tr>
      <w:tr>
        <w:trPr>
          <w:trHeight w:val="209"/>
        </w:trPr>
        <w:tc>
          <w:tcPr>
            <w:tcW w:w="8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8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5"/>
              </w:rPr>
              <w:t>(14,461)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(12,380)</w:t>
            </w:r>
          </w:p>
        </w:tc>
      </w:tr>
      <w:tr>
        <w:trPr>
          <w:trHeight w:val="212"/>
        </w:trPr>
        <w:tc>
          <w:tcPr>
            <w:tcW w:w="8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Content acquisitions</w:t>
            </w: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(3,527)</w:t>
            </w:r>
          </w:p>
        </w:tc>
      </w:tr>
      <w:tr>
        <w:trPr>
          <w:trHeight w:val="209"/>
        </w:trPr>
        <w:tc>
          <w:tcPr>
            <w:tcW w:w="82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Cash received related to Giphy Retention Compensation</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18,401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1"/>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880" w:type="dxa"/>
            <w:vAlign w:val="bottom"/>
            <w:tcBorders>
              <w:bottom w:val="single" w:sz="8" w:color="auto"/>
            </w:tcBorders>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11,246</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50,868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111"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including risks related to foreign currency exchange rate fluctuation, interest rate fluctuation and inflation.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13" w:lineRule="exact"/>
        <w:rPr>
          <w:sz w:val="20"/>
          <w:szCs w:val="20"/>
          <w:color w:val="auto"/>
        </w:rPr>
      </w:pPr>
    </w:p>
    <w:p>
      <w:pPr>
        <w:ind w:right="60" w:firstLine="395"/>
        <w:spacing w:after="0" w:line="248" w:lineRule="auto"/>
        <w:rPr>
          <w:sz w:val="20"/>
          <w:szCs w:val="20"/>
          <w:color w:val="auto"/>
        </w:rPr>
      </w:pPr>
      <w:r>
        <w:rPr>
          <w:rFonts w:ascii="Times New Roman" w:cs="Times New Roman" w:eastAsia="Times New Roman" w:hAnsi="Times New Roman"/>
          <w:sz w:val="18"/>
          <w:szCs w:val="18"/>
          <w:color w:val="auto"/>
        </w:rPr>
        <w:t>Our sales to international customers are denominated in multiple currencies, including but not limited to the U.S. dollar, the euro, the British pound, the Australian dollar and the Japanese yen. Revenue denominated in foreign currencies as a percentage of total revenue was approximately 28% and 30% for the three months ended March 31, 2024 and 2023, respectively. Changes in exchange rates will affect our revenue and certain operating expenses to the extent that our revenue is generated and expenses are incurred in currencies other than the U.S. dollar. Royalties earned by and paid to contributors are denominated in the U.S. dollar and will not be affected by changes in exchange rates. Based on our foreign currency denominated revenue for the three months ended March 31, 2024, we estimate that a 10% change in the exchange rate of the U.S. dollar against all foreign currency denominated revenues would result in an approximately 3% impact on our revenue.</w:t>
      </w:r>
    </w:p>
    <w:p>
      <w:pPr>
        <w:spacing w:after="0" w:line="121" w:lineRule="exact"/>
        <w:rPr>
          <w:sz w:val="20"/>
          <w:szCs w:val="20"/>
          <w:color w:val="auto"/>
        </w:rPr>
      </w:pPr>
    </w:p>
    <w:p>
      <w:pPr>
        <w:ind w:right="80" w:firstLine="395"/>
        <w:spacing w:after="0" w:line="250" w:lineRule="auto"/>
        <w:rPr>
          <w:sz w:val="20"/>
          <w:szCs w:val="20"/>
          <w:color w:val="auto"/>
        </w:rPr>
      </w:pPr>
      <w:r>
        <w:rPr>
          <w:rFonts w:ascii="Times New Roman" w:cs="Times New Roman" w:eastAsia="Times New Roman" w:hAnsi="Times New Roman"/>
          <w:sz w:val="18"/>
          <w:szCs w:val="18"/>
          <w:color w:val="auto"/>
        </w:rPr>
        <w:t>We have established foreign subsidiaries in various countries and have concluded that the functional currency of these entities is generally the local currency. Business transacted in currencies other than each entity’s functional currency results in transactional gains and losses. Translation adjustments resulting from converting the foreign subsidiaries’ financial statements into U.S. dollars are recorded as a component of accumulated other comprehensive loss in stockholders’ equity. We do not currently enter into derivatives or other financial instruments in order to hedge our foreign currency exchange risk, but we may do so in the future.</w:t>
      </w:r>
    </w:p>
    <w:p>
      <w:pPr>
        <w:spacing w:after="0" w:line="10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historical revenue by currency is as follows (in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66"/>
        </w:trPr>
        <w:tc>
          <w:tcPr>
            <w:tcW w:w="7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2024</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w w:val="91"/>
              </w:rPr>
              <w:t>2023</w:t>
            </w:r>
          </w:p>
        </w:tc>
        <w:tc>
          <w:tcPr>
            <w:tcW w:w="800" w:type="dxa"/>
            <w:vAlign w:val="bottom"/>
            <w:tcBorders>
              <w:bottom w:val="single" w:sz="8" w:color="auto"/>
            </w:tcBorders>
          </w:tcPr>
          <w:p>
            <w:pPr>
              <w:spacing w:after="0"/>
              <w:rPr>
                <w:sz w:val="14"/>
                <w:szCs w:val="14"/>
                <w:color w:val="auto"/>
              </w:rPr>
            </w:pPr>
          </w:p>
        </w:tc>
      </w:tr>
      <w:tr>
        <w:trPr>
          <w:trHeight w:val="123"/>
        </w:trPr>
        <w:tc>
          <w:tcPr>
            <w:tcW w:w="7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52"/>
              <w:spacing w:after="0" w:line="123" w:lineRule="exact"/>
              <w:rPr>
                <w:sz w:val="20"/>
                <w:szCs w:val="20"/>
                <w:color w:val="auto"/>
              </w:rPr>
            </w:pPr>
            <w:r>
              <w:rPr>
                <w:rFonts w:ascii="Times New Roman" w:cs="Times New Roman" w:eastAsia="Times New Roman" w:hAnsi="Times New Roman"/>
                <w:sz w:val="12"/>
                <w:szCs w:val="12"/>
                <w:b w:val="1"/>
                <w:bCs w:val="1"/>
                <w:color w:val="auto"/>
                <w:w w:val="99"/>
              </w:rPr>
              <w:t>Originating</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90"/>
              <w:spacing w:after="0" w:line="123" w:lineRule="exact"/>
              <w:rPr>
                <w:sz w:val="20"/>
                <w:szCs w:val="20"/>
                <w:color w:val="auto"/>
              </w:rPr>
            </w:pPr>
            <w:r>
              <w:rPr>
                <w:rFonts w:ascii="Times New Roman" w:cs="Times New Roman" w:eastAsia="Times New Roman" w:hAnsi="Times New Roman"/>
                <w:sz w:val="12"/>
                <w:szCs w:val="12"/>
                <w:b w:val="1"/>
                <w:bCs w:val="1"/>
                <w:color w:val="auto"/>
              </w:rPr>
              <w:t>Originating</w:t>
            </w:r>
          </w:p>
        </w:tc>
      </w:tr>
      <w:tr>
        <w:trPr>
          <w:trHeight w:val="171"/>
        </w:trPr>
        <w:tc>
          <w:tcPr>
            <w:tcW w:w="7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Currency</w:t>
            </w:r>
          </w:p>
        </w:tc>
        <w:tc>
          <w:tcPr>
            <w:tcW w:w="120" w:type="dxa"/>
            <w:vAlign w:val="bottom"/>
          </w:tcPr>
          <w:p>
            <w:pPr>
              <w:spacing w:after="0"/>
              <w:rPr>
                <w:sz w:val="14"/>
                <w:szCs w:val="14"/>
                <w:color w:val="auto"/>
              </w:rPr>
            </w:pPr>
          </w:p>
        </w:tc>
        <w:tc>
          <w:tcPr>
            <w:tcW w:w="740" w:type="dxa"/>
            <w:vAlign w:val="bottom"/>
          </w:tcPr>
          <w:p>
            <w:pPr>
              <w:jc w:val="right"/>
              <w:ind w:right="4"/>
              <w:spacing w:after="0"/>
              <w:rPr>
                <w:sz w:val="20"/>
                <w:szCs w:val="20"/>
                <w:color w:val="auto"/>
              </w:rPr>
            </w:pPr>
            <w:r>
              <w:rPr>
                <w:rFonts w:ascii="Times New Roman" w:cs="Times New Roman" w:eastAsia="Times New Roman" w:hAnsi="Times New Roman"/>
                <w:sz w:val="12"/>
                <w:szCs w:val="12"/>
                <w:b w:val="1"/>
                <w:bCs w:val="1"/>
                <w:color w:val="auto"/>
              </w:rPr>
              <w:t>U.S. Dollars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30"/>
              <w:spacing w:after="0"/>
              <w:rPr>
                <w:sz w:val="20"/>
                <w:szCs w:val="20"/>
                <w:color w:val="auto"/>
              </w:rPr>
            </w:pPr>
            <w:r>
              <w:rPr>
                <w:rFonts w:ascii="Times New Roman" w:cs="Times New Roman" w:eastAsia="Times New Roman" w:hAnsi="Times New Roman"/>
                <w:sz w:val="12"/>
                <w:szCs w:val="12"/>
                <w:b w:val="1"/>
                <w:bCs w:val="1"/>
                <w:color w:val="auto"/>
              </w:rPr>
              <w:t>Currency</w:t>
            </w:r>
          </w:p>
        </w:tc>
      </w:tr>
      <w:tr>
        <w:trPr>
          <w:trHeight w:val="209"/>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Euro</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33,280</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30,709</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35,975</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33,634</w:t>
            </w:r>
          </w:p>
        </w:tc>
      </w:tr>
      <w:tr>
        <w:trPr>
          <w:trHeight w:val="212"/>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British pounds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14,321</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14,068</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11,437</w:t>
            </w:r>
          </w:p>
        </w:tc>
      </w:tr>
      <w:tr>
        <w:trPr>
          <w:trHeight w:val="211"/>
        </w:trPr>
        <w:tc>
          <w:tcPr>
            <w:tcW w:w="7260" w:type="dxa"/>
            <w:vAlign w:val="bottom"/>
            <w:tcBorders>
              <w:bottom w:val="single" w:sz="8" w:color="CCEEFF"/>
            </w:tcBorders>
          </w:tcPr>
          <w:p>
            <w:pPr>
              <w:ind w:left="20"/>
              <w:spacing w:after="0" w:line="210" w:lineRule="exact"/>
              <w:rPr>
                <w:sz w:val="20"/>
                <w:szCs w:val="20"/>
                <w:color w:val="auto"/>
              </w:rPr>
            </w:pPr>
            <w:r>
              <w:rPr>
                <w:rFonts w:ascii="Times New Roman" w:cs="Times New Roman" w:eastAsia="Times New Roman" w:hAnsi="Times New Roman"/>
                <w:sz w:val="16"/>
                <w:szCs w:val="16"/>
                <w:color w:val="auto"/>
              </w:rPr>
              <w:t>All other non-U.S. currencies</w:t>
            </w:r>
            <w:r>
              <w:rPr>
                <w:rFonts w:ascii="Times New Roman" w:cs="Times New Roman" w:eastAsia="Times New Roman" w:hAnsi="Times New Roman"/>
                <w:sz w:val="20"/>
                <w:szCs w:val="20"/>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13,183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14,371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r>
      <w:tr>
        <w:trPr>
          <w:trHeight w:val="204"/>
        </w:trPr>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foreign currency</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60,784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64,414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61"/>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U.S. dollar</w:t>
            </w: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153,531</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150,866</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r>
      <w:tr>
        <w:trPr>
          <w:trHeight w:val="231"/>
        </w:trPr>
        <w:tc>
          <w:tcPr>
            <w:tcW w:w="7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214,315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215,280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188" w:lineRule="exact"/>
        <w:rPr>
          <w:sz w:val="20"/>
          <w:szCs w:val="20"/>
          <w:color w:val="auto"/>
        </w:rPr>
      </w:pPr>
    </w:p>
    <w:p>
      <w:pPr>
        <w:ind w:left="320" w:hanging="315"/>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 single currency which exceeded 5% of total revenue for any of the periods presented.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 Risk</w:t>
      </w:r>
    </w:p>
    <w:p>
      <w:pPr>
        <w:spacing w:after="0" w:line="113" w:lineRule="exact"/>
        <w:rPr>
          <w:sz w:val="20"/>
          <w:szCs w:val="20"/>
          <w:color w:val="auto"/>
        </w:rPr>
      </w:pPr>
    </w:p>
    <w:p>
      <w:pPr>
        <w:jc w:val="both"/>
        <w:ind w:right="380" w:firstLine="395"/>
        <w:spacing w:after="0" w:line="256" w:lineRule="auto"/>
        <w:rPr>
          <w:sz w:val="20"/>
          <w:szCs w:val="20"/>
          <w:color w:val="auto"/>
        </w:rPr>
      </w:pPr>
      <w:r>
        <w:rPr>
          <w:rFonts w:ascii="Times New Roman" w:cs="Times New Roman" w:eastAsia="Times New Roman" w:hAnsi="Times New Roman"/>
          <w:sz w:val="18"/>
          <w:szCs w:val="18"/>
          <w:color w:val="auto"/>
        </w:rPr>
        <w:t>Our cash and cash equivalents consist of cash and money market accounts. The primary objective of our investment activities is to preserve principal while maximizing income without significantly increasing risk. The fair value of our cash and cash equivalents is not particularly sensitive to interest rate changes.</w:t>
      </w:r>
    </w:p>
    <w:p>
      <w:pPr>
        <w:spacing w:after="0" w:line="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Amounts borrowed under our Credit Facility accrue interest at a per annum rate based on either (i) the base rate plus a margin ranging from 0.125% to</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0.500%, determined based on our consolidated leverage ratio or (ii) the Term Secured Overnight Financing Rate (for interest periods of 1, 3 or 6 months) plus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margin ranging from 1.125% to 1.5%, determined based on our consolidated leverage ratio. A hypothetical 10% change in interest rates would not have 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impact on our interest expense as of March 31, 2024.</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13" w:lineRule="exact"/>
        <w:rPr>
          <w:sz w:val="20"/>
          <w:szCs w:val="20"/>
          <w:color w:val="auto"/>
        </w:rPr>
      </w:pPr>
    </w:p>
    <w:p>
      <w:pPr>
        <w:ind w:right="100" w:firstLine="395"/>
        <w:spacing w:after="0" w:line="25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1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3" w:lineRule="exact"/>
        <w:rPr>
          <w:sz w:val="20"/>
          <w:szCs w:val="20"/>
          <w:color w:val="auto"/>
        </w:rPr>
      </w:pPr>
    </w:p>
    <w:p>
      <w:pPr>
        <w:ind w:firstLine="395"/>
        <w:spacing w:after="0" w:line="282" w:lineRule="auto"/>
        <w:rPr>
          <w:sz w:val="20"/>
          <w:szCs w:val="20"/>
          <w:color w:val="auto"/>
        </w:rPr>
      </w:pPr>
      <w:r>
        <w:rPr>
          <w:rFonts w:ascii="Times New Roman" w:cs="Times New Roman" w:eastAsia="Times New Roman" w:hAnsi="Times New Roman"/>
          <w:sz w:val="16"/>
          <w:szCs w:val="16"/>
          <w:color w:val="auto"/>
        </w:rPr>
        <w:t>Our management, with the participation of our Chief Executive Officer and our Chief Financial Officer, evaluated the effectiveness of our disclosure controls and procedures as of March 31, 2024.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However, any controls and procedures, no matter how well designed and operated, can provide only reasonable assurance of achieving their objective.</w:t>
      </w:r>
    </w:p>
    <w:p>
      <w:pPr>
        <w:spacing w:after="0" w:line="60" w:lineRule="exact"/>
        <w:rPr>
          <w:sz w:val="20"/>
          <w:szCs w:val="20"/>
          <w:color w:val="auto"/>
        </w:rPr>
      </w:pPr>
    </w:p>
    <w:p>
      <w:pPr>
        <w:ind w:right="660" w:firstLine="395"/>
        <w:spacing w:after="0" w:line="268"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March 31, 2024, our Chief Executive Officer and Chief Financial Officer concluded that, as of such date, our disclosure controls and procedures were effective at the reasonable assurance level.</w:t>
      </w:r>
    </w:p>
    <w:p>
      <w:pPr>
        <w:spacing w:after="0" w:line="6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3" w:lineRule="exact"/>
        <w:rPr>
          <w:sz w:val="20"/>
          <w:szCs w:val="20"/>
          <w:color w:val="auto"/>
        </w:rPr>
      </w:pPr>
    </w:p>
    <w:p>
      <w:pPr>
        <w:ind w:right="380" w:firstLine="395"/>
        <w:spacing w:after="0" w:line="25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0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150" w:lineRule="exact"/>
        <w:rPr>
          <w:sz w:val="20"/>
          <w:szCs w:val="20"/>
          <w:color w:val="auto"/>
        </w:rPr>
      </w:pPr>
    </w:p>
    <w:p>
      <w:pPr>
        <w:ind w:right="260" w:firstLine="395"/>
        <w:spacing w:after="0" w:line="286" w:lineRule="auto"/>
        <w:rPr>
          <w:sz w:val="20"/>
          <w:szCs w:val="20"/>
          <w:color w:val="auto"/>
        </w:rPr>
      </w:pPr>
      <w:r>
        <w:rPr>
          <w:rFonts w:ascii="Times New Roman" w:cs="Times New Roman" w:eastAsia="Times New Roman" w:hAnsi="Times New Roman"/>
          <w:sz w:val="16"/>
          <w:szCs w:val="16"/>
          <w:color w:val="auto"/>
        </w:rPr>
        <w:t>Although we are not currently a party to any material active litigation, from time to time, third parties assert claims against us regarding intellectual property rights, employment matters, privacy issues and other matters arising during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111" w:lineRule="exact"/>
        <w:rPr>
          <w:sz w:val="20"/>
          <w:szCs w:val="20"/>
          <w:color w:val="auto"/>
        </w:rPr>
      </w:pPr>
    </w:p>
    <w:p>
      <w:pPr>
        <w:ind w:right="400" w:firstLine="395"/>
        <w:spacing w:after="0" w:line="293" w:lineRule="auto"/>
        <w:rPr>
          <w:sz w:val="20"/>
          <w:szCs w:val="20"/>
          <w:color w:val="auto"/>
        </w:rPr>
      </w:pPr>
      <w:r>
        <w:rPr>
          <w:rFonts w:ascii="Times New Roman" w:cs="Times New Roman" w:eastAsia="Times New Roman" w:hAnsi="Times New Roman"/>
          <w:sz w:val="16"/>
          <w:szCs w:val="16"/>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you should carefully consider the factors discussed in Part I, “Item 1A. Risk Factors” in our 2023 Form 10-K, which could materially affect our business, financial condition or future results. During the three months ended March 31, 2024, there were no material changes to these risk factors as described in our 2023 Form 10-K.</w:t>
      </w:r>
    </w:p>
    <w:p>
      <w:pPr>
        <w:spacing w:after="0" w:line="38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10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 Insider Trading Arrangements</w:t>
      </w:r>
    </w:p>
    <w:p>
      <w:pPr>
        <w:spacing w:after="0" w:line="346" w:lineRule="exact"/>
        <w:rPr>
          <w:sz w:val="20"/>
          <w:szCs w:val="20"/>
          <w:color w:val="auto"/>
        </w:rPr>
      </w:pPr>
    </w:p>
    <w:p>
      <w:pPr>
        <w:ind w:firstLine="395"/>
        <w:spacing w:after="0" w:line="256" w:lineRule="auto"/>
        <w:rPr>
          <w:sz w:val="20"/>
          <w:szCs w:val="20"/>
          <w:color w:val="auto"/>
        </w:rPr>
      </w:pPr>
      <w:r>
        <w:rPr>
          <w:rFonts w:ascii="Times New Roman" w:cs="Times New Roman" w:eastAsia="Times New Roman" w:hAnsi="Times New Roman"/>
          <w:sz w:val="18"/>
          <w:szCs w:val="18"/>
          <w:color w:val="auto"/>
        </w:rPr>
        <w:t>During the quarter ended March 31, 2024, none of our directors or officers (as defined in Section 16 of the Securities Exchange Act of 1934, as amended), adopted or terminated a “Rule 10b5-1 trading arrangement” or a “non-Rule 10b5-1 trading arrangement” (each as defined in Item 408(a) and (c), respectively, of Regulation S-K).</w:t>
      </w:r>
    </w:p>
    <w:p>
      <w:pPr>
        <w:spacing w:after="0" w:line="309"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6"/>
          <w:szCs w:val="16"/>
          <w:b w:val="1"/>
          <w:bCs w:val="1"/>
          <w:color w:val="auto"/>
        </w:rPr>
        <w:t>Exhibits.</w:t>
      </w:r>
    </w:p>
    <w:p>
      <w:pPr>
        <w:spacing w:after="0" w:line="1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See the Exhibit Index, which immediately precedes the signature page of this Quarterly Report on Form 10-Q, which is incorporated herein by reference.</w:t>
      </w:r>
    </w:p>
    <w:p>
      <w:pPr>
        <w:spacing w:after="0" w:line="200" w:lineRule="exact"/>
        <w:rPr>
          <w:sz w:val="20"/>
          <w:szCs w:val="20"/>
          <w:color w:val="auto"/>
        </w:rPr>
      </w:pPr>
    </w:p>
    <w:p>
      <w:pPr>
        <w:spacing w:after="0" w:line="366"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134620</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880" w:type="dxa"/>
            <w:vAlign w:val="bottom"/>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201"/>
        </w:trPr>
        <w:tc>
          <w:tcPr>
            <w:tcW w:w="9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9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880" w:type="dxa"/>
            <w:vAlign w:val="bottom"/>
            <w:gridSpan w:val="4"/>
          </w:tcPr>
          <w:p>
            <w:pPr>
              <w:ind w:left="14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195"/>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w:t>
            </w:r>
          </w:p>
        </w:tc>
        <w:tc>
          <w:tcPr>
            <w:tcW w:w="30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w w:val="98"/>
              </w:rPr>
              <w:t>Shutterstock, Inc. Director Compensation Policy</w:t>
            </w:r>
          </w:p>
        </w:tc>
        <w:tc>
          <w:tcPr>
            <w:tcW w:w="6880" w:type="dxa"/>
            <w:vAlign w:val="bottom"/>
            <w:gridSpan w:val="4"/>
          </w:tcPr>
          <w:p>
            <w:pPr>
              <w:spacing w:after="0"/>
              <w:rPr>
                <w:sz w:val="16"/>
                <w:szCs w:val="16"/>
                <w:color w:val="auto"/>
              </w:rPr>
            </w:pPr>
          </w:p>
        </w:tc>
      </w:tr>
      <w:tr>
        <w:trPr>
          <w:trHeight w:val="19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31.1#</w:t>
            </w:r>
          </w:p>
        </w:tc>
        <w:tc>
          <w:tcPr>
            <w:tcW w:w="99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w w:val="98"/>
              </w:rPr>
              <w:t>Certification of Chief Executive Officer pursuant to Exchange Act Rules 13a-14(a) and 15d-14(a), as adopted pursuant to Section 302 of the Sarbanes-Oxley</w:t>
            </w:r>
          </w:p>
        </w:tc>
      </w:tr>
      <w:tr>
        <w:trPr>
          <w:trHeight w:val="138"/>
        </w:trPr>
        <w:tc>
          <w:tcPr>
            <w:tcW w:w="960" w:type="dxa"/>
            <w:vAlign w:val="bottom"/>
          </w:tcPr>
          <w:p>
            <w:pPr>
              <w:spacing w:after="0"/>
              <w:rPr>
                <w:sz w:val="11"/>
                <w:szCs w:val="11"/>
                <w:color w:val="auto"/>
              </w:rPr>
            </w:pPr>
          </w:p>
        </w:tc>
        <w:tc>
          <w:tcPr>
            <w:tcW w:w="760" w:type="dxa"/>
            <w:vAlign w:val="bottom"/>
            <w:tcBorders>
              <w:top w:val="single" w:sz="8" w:color="0000FF"/>
              <w:bottom w:val="single" w:sz="8" w:color="0000FF"/>
            </w:tcBorders>
          </w:tcPr>
          <w:p>
            <w:pPr>
              <w:spacing w:after="0" w:line="138" w:lineRule="exact"/>
              <w:rPr>
                <w:sz w:val="20"/>
                <w:szCs w:val="20"/>
                <w:color w:val="auto"/>
              </w:rPr>
            </w:pPr>
            <w:r>
              <w:rPr>
                <w:rFonts w:ascii="Times New Roman" w:cs="Times New Roman" w:eastAsia="Times New Roman" w:hAnsi="Times New Roman"/>
                <w:sz w:val="15"/>
                <w:szCs w:val="15"/>
                <w:color w:val="0000FF"/>
              </w:rPr>
              <w:t>Act of 2002</w:t>
            </w:r>
          </w:p>
        </w:tc>
        <w:tc>
          <w:tcPr>
            <w:tcW w:w="9160" w:type="dxa"/>
            <w:vAlign w:val="bottom"/>
            <w:tcBorders>
              <w:top w:val="single" w:sz="8" w:color="0000FF"/>
            </w:tcBorders>
            <w:gridSpan w:val="4"/>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99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w w:val="99"/>
              </w:rPr>
              <w:t>Certification of Chief Financial Officer pursuant to Exchange Act Rules 13a-14(a) and 15d-14(a), as adopted pursuant to Section 302 of the Sarbanes-Oxley</w:t>
            </w:r>
          </w:p>
        </w:tc>
      </w:tr>
      <w:tr>
        <w:trPr>
          <w:trHeight w:val="138"/>
        </w:trPr>
        <w:tc>
          <w:tcPr>
            <w:tcW w:w="960" w:type="dxa"/>
            <w:vAlign w:val="bottom"/>
          </w:tcPr>
          <w:p>
            <w:pPr>
              <w:spacing w:after="0"/>
              <w:rPr>
                <w:sz w:val="11"/>
                <w:szCs w:val="11"/>
                <w:color w:val="auto"/>
              </w:rPr>
            </w:pPr>
          </w:p>
        </w:tc>
        <w:tc>
          <w:tcPr>
            <w:tcW w:w="760" w:type="dxa"/>
            <w:vAlign w:val="bottom"/>
            <w:tcBorders>
              <w:top w:val="single" w:sz="8" w:color="0000FF"/>
              <w:bottom w:val="single" w:sz="8" w:color="0000FF"/>
            </w:tcBorders>
          </w:tcPr>
          <w:p>
            <w:pPr>
              <w:spacing w:after="0" w:line="138" w:lineRule="exact"/>
              <w:rPr>
                <w:sz w:val="20"/>
                <w:szCs w:val="20"/>
                <w:color w:val="auto"/>
              </w:rPr>
            </w:pPr>
            <w:r>
              <w:rPr>
                <w:rFonts w:ascii="Times New Roman" w:cs="Times New Roman" w:eastAsia="Times New Roman" w:hAnsi="Times New Roman"/>
                <w:sz w:val="15"/>
                <w:szCs w:val="15"/>
                <w:color w:val="0000FF"/>
              </w:rPr>
              <w:t>Act of 2002</w:t>
            </w:r>
          </w:p>
        </w:tc>
        <w:tc>
          <w:tcPr>
            <w:tcW w:w="9120" w:type="dxa"/>
            <w:vAlign w:val="bottom"/>
            <w:tcBorders>
              <w:top w:val="single" w:sz="8" w:color="0000FF"/>
            </w:tcBorders>
            <w:gridSpan w:val="3"/>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9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32#</w:t>
            </w:r>
          </w:p>
        </w:tc>
        <w:tc>
          <w:tcPr>
            <w:tcW w:w="9960" w:type="dxa"/>
            <w:vAlign w:val="bottom"/>
            <w:gridSpan w:val="7"/>
          </w:tcPr>
          <w:p>
            <w:pPr>
              <w:spacing w:after="0"/>
              <w:rPr>
                <w:sz w:val="20"/>
                <w:szCs w:val="20"/>
                <w:color w:val="auto"/>
              </w:rPr>
            </w:pPr>
            <w:r>
              <w:rPr>
                <w:rFonts w:ascii="Times New Roman" w:cs="Times New Roman" w:eastAsia="Times New Roman" w:hAnsi="Times New Roman"/>
                <w:sz w:val="16"/>
                <w:szCs w:val="16"/>
                <w:color w:val="0000FF"/>
                <w:w w:val="98"/>
              </w:rPr>
              <w:t>Certification of Chief Executive Officer and Chief Financial Officer pursuant to 18 U.S.C. Section 1350, as adopted pursuant to Section 906 of the Sarbanes-</w:t>
            </w:r>
          </w:p>
        </w:tc>
      </w:tr>
      <w:tr>
        <w:trPr>
          <w:trHeight w:val="138"/>
        </w:trPr>
        <w:tc>
          <w:tcPr>
            <w:tcW w:w="960" w:type="dxa"/>
            <w:vAlign w:val="bottom"/>
          </w:tcPr>
          <w:p>
            <w:pPr>
              <w:spacing w:after="0"/>
              <w:rPr>
                <w:sz w:val="11"/>
                <w:szCs w:val="11"/>
                <w:color w:val="auto"/>
              </w:rPr>
            </w:pPr>
          </w:p>
        </w:tc>
        <w:tc>
          <w:tcPr>
            <w:tcW w:w="9940" w:type="dxa"/>
            <w:vAlign w:val="bottom"/>
            <w:tcBorders>
              <w:top w:val="single" w:sz="8" w:color="0000FF"/>
            </w:tcBorders>
            <w:gridSpan w:val="6"/>
          </w:tcPr>
          <w:p>
            <w:pPr>
              <w:spacing w:after="0" w:line="138" w:lineRule="exact"/>
              <w:rPr>
                <w:sz w:val="20"/>
                <w:szCs w:val="20"/>
                <w:color w:val="auto"/>
              </w:rPr>
            </w:pPr>
            <w:r>
              <w:rPr>
                <w:rFonts w:ascii="Times New Roman" w:cs="Times New Roman" w:eastAsia="Times New Roman" w:hAnsi="Times New Roman"/>
                <w:sz w:val="15"/>
                <w:szCs w:val="15"/>
                <w:color w:val="0000FF"/>
              </w:rPr>
              <w:t>Oxley Act of 2002</w:t>
            </w:r>
          </w:p>
        </w:tc>
        <w:tc>
          <w:tcPr>
            <w:tcW w:w="20" w:type="dxa"/>
            <w:vAlign w:val="bottom"/>
          </w:tcPr>
          <w:p>
            <w:pPr>
              <w:spacing w:after="0"/>
              <w:rPr>
                <w:sz w:val="11"/>
                <w:szCs w:val="11"/>
                <w:color w:val="auto"/>
              </w:rPr>
            </w:pPr>
          </w:p>
        </w:tc>
      </w:tr>
      <w:tr>
        <w:trPr>
          <w:trHeight w:val="20"/>
        </w:trPr>
        <w:tc>
          <w:tcPr>
            <w:tcW w:w="96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8780" w:type="dxa"/>
            <w:vAlign w:val="bottom"/>
            <w:gridSpan w:val="5"/>
          </w:tcPr>
          <w:p>
            <w:pPr>
              <w:spacing w:after="0" w:line="20" w:lineRule="exact"/>
              <w:rPr>
                <w:sz w:val="1"/>
                <w:szCs w:val="1"/>
                <w:color w:val="auto"/>
              </w:rPr>
            </w:pPr>
          </w:p>
        </w:tc>
      </w:tr>
      <w:tr>
        <w:trPr>
          <w:trHeight w:val="177"/>
        </w:trPr>
        <w:tc>
          <w:tcPr>
            <w:tcW w:w="960" w:type="dxa"/>
            <w:vAlign w:val="bottom"/>
          </w:tcPr>
          <w:p>
            <w:pPr>
              <w:spacing w:after="0" w:line="178" w:lineRule="exact"/>
              <w:rPr>
                <w:sz w:val="20"/>
                <w:szCs w:val="20"/>
                <w:color w:val="auto"/>
              </w:rPr>
            </w:pPr>
            <w:r>
              <w:rPr>
                <w:rFonts w:ascii="Times New Roman" w:cs="Times New Roman" w:eastAsia="Times New Roman" w:hAnsi="Times New Roman"/>
                <w:sz w:val="16"/>
                <w:szCs w:val="16"/>
                <w:color w:val="auto"/>
              </w:rPr>
              <w:t>101.INS</w:t>
            </w:r>
          </w:p>
        </w:tc>
        <w:tc>
          <w:tcPr>
            <w:tcW w:w="9960" w:type="dxa"/>
            <w:vAlign w:val="bottom"/>
            <w:gridSpan w:val="7"/>
          </w:tcPr>
          <w:p>
            <w:pPr>
              <w:spacing w:after="0" w:line="178" w:lineRule="exact"/>
              <w:rPr>
                <w:sz w:val="20"/>
                <w:szCs w:val="20"/>
                <w:color w:val="auto"/>
              </w:rPr>
            </w:pPr>
            <w:r>
              <w:rPr>
                <w:rFonts w:ascii="Times New Roman" w:cs="Times New Roman" w:eastAsia="Times New Roman" w:hAnsi="Times New Roman"/>
                <w:sz w:val="16"/>
                <w:szCs w:val="16"/>
                <w:color w:val="auto"/>
                <w:w w:val="98"/>
              </w:rPr>
              <w:t>XBRL Instance Document - the instance document does not appear in the Interactive Data File because its XBRL tags are embedded within the Inline XBRL</w:t>
            </w:r>
          </w:p>
        </w:tc>
      </w:tr>
      <w:tr>
        <w:trPr>
          <w:trHeight w:val="207"/>
        </w:trPr>
        <w:tc>
          <w:tcPr>
            <w:tcW w:w="960" w:type="dxa"/>
            <w:vAlign w:val="bottom"/>
          </w:tcPr>
          <w:p>
            <w:pPr>
              <w:spacing w:after="0"/>
              <w:rPr>
                <w:sz w:val="17"/>
                <w:szCs w:val="17"/>
                <w:color w:val="auto"/>
              </w:rPr>
            </w:pPr>
          </w:p>
        </w:tc>
        <w:tc>
          <w:tcPr>
            <w:tcW w:w="99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document.</w:t>
            </w:r>
          </w:p>
        </w:tc>
      </w:tr>
      <w:tr>
        <w:trPr>
          <w:trHeight w:val="210"/>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99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99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99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99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11"/>
        </w:trPr>
        <w:tc>
          <w:tcPr>
            <w:tcW w:w="96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996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spacing w:after="0" w:line="4" w:lineRule="exact"/>
        <w:rPr>
          <w:sz w:val="20"/>
          <w:szCs w:val="20"/>
          <w:color w:val="auto"/>
        </w:rPr>
      </w:pPr>
    </w:p>
    <w:p>
      <w:pPr>
        <w:ind w:left="960" w:hanging="958"/>
        <w:spacing w:after="0"/>
        <w:tabs>
          <w:tab w:leader="none" w:pos="9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(formatted as Inline XBRL and contained in Exhibit 101)</w:t>
      </w:r>
    </w:p>
    <w:p>
      <w:pPr>
        <w:spacing w:after="0" w:line="101" w:lineRule="exact"/>
        <w:rPr>
          <w:rFonts w:ascii="Times New Roman" w:cs="Times New Roman" w:eastAsia="Times New Roman" w:hAnsi="Times New Roman"/>
          <w:sz w:val="16"/>
          <w:szCs w:val="16"/>
          <w:color w:val="auto"/>
        </w:rPr>
      </w:pPr>
    </w:p>
    <w:p>
      <w:pPr>
        <w:ind w:left="3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______________________________________</w:t>
      </w:r>
    </w:p>
    <w:p>
      <w:pPr>
        <w:spacing w:after="0" w:line="104" w:lineRule="exact"/>
        <w:rPr>
          <w:rFonts w:ascii="Times New Roman" w:cs="Times New Roman" w:eastAsia="Times New Roman" w:hAnsi="Times New Roman"/>
          <w:sz w:val="16"/>
          <w:szCs w:val="16"/>
          <w:color w:val="auto"/>
        </w:rPr>
      </w:pPr>
    </w:p>
    <w:p>
      <w:pPr>
        <w:ind w:left="3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134620</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00"/>
          </w:cols>
          <w:pgMar w:left="400" w:top="121" w:right="599" w:bottom="1440" w:gutter="0" w:footer="0" w:header="0"/>
        </w:sectPr>
      </w:pPr>
    </w:p>
    <w:bookmarkStart w:id="42" w:name="page43"/>
    <w:bookmarkEnd w:id="42"/>
    <w:p>
      <w:pPr>
        <w:ind w:left="40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48" w:lineRule="exact"/>
        <w:rPr>
          <w:sz w:val="20"/>
          <w:szCs w:val="20"/>
          <w:color w:val="auto"/>
        </w:rPr>
      </w:pPr>
    </w:p>
    <w:p>
      <w:pPr>
        <w:ind w:right="800" w:firstLine="395"/>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3360" w:type="dxa"/>
            <w:vAlign w:val="bottom"/>
          </w:tcPr>
          <w:p>
            <w:pPr>
              <w:spacing w:after="0"/>
              <w:rPr>
                <w:sz w:val="18"/>
                <w:szCs w:val="18"/>
                <w:color w:val="auto"/>
              </w:rPr>
            </w:pPr>
          </w:p>
        </w:tc>
        <w:tc>
          <w:tcPr>
            <w:tcW w:w="7840" w:type="dxa"/>
            <w:vAlign w:val="bottom"/>
            <w:gridSpan w:val="2"/>
          </w:tcPr>
          <w:p>
            <w:pPr>
              <w:ind w:left="2080"/>
              <w:spacing w:after="0"/>
              <w:rPr>
                <w:sz w:val="20"/>
                <w:szCs w:val="20"/>
                <w:color w:val="auto"/>
              </w:rPr>
            </w:pPr>
            <w:r>
              <w:rPr>
                <w:rFonts w:ascii="Times New Roman" w:cs="Times New Roman" w:eastAsia="Times New Roman" w:hAnsi="Times New Roman"/>
                <w:sz w:val="16"/>
                <w:szCs w:val="16"/>
                <w:b w:val="1"/>
                <w:bCs w:val="1"/>
                <w:color w:val="auto"/>
              </w:rPr>
              <w:t>SHUTTERSTOCK, INC.</w:t>
            </w:r>
          </w:p>
        </w:tc>
      </w:tr>
      <w:tr>
        <w:trPr>
          <w:trHeight w:val="42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Dated: May 2, 2024</w:t>
            </w:r>
          </w:p>
        </w:tc>
        <w:tc>
          <w:tcPr>
            <w:tcW w:w="272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Jarrod Yahes</w:t>
            </w:r>
          </w:p>
        </w:tc>
      </w:tr>
      <w:tr>
        <w:trPr>
          <w:trHeight w:val="202"/>
        </w:trPr>
        <w:tc>
          <w:tcPr>
            <w:tcW w:w="33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Jarrod Yahes</w:t>
            </w:r>
          </w:p>
        </w:tc>
      </w:tr>
      <w:tr>
        <w:trPr>
          <w:trHeight w:val="210"/>
        </w:trPr>
        <w:tc>
          <w:tcPr>
            <w:tcW w:w="3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r>
      <w:tr>
        <w:trPr>
          <w:trHeight w:val="211"/>
        </w:trPr>
        <w:tc>
          <w:tcPr>
            <w:tcW w:w="3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r>
      <w:tr>
        <w:trPr>
          <w:trHeight w:val="423"/>
        </w:trPr>
        <w:tc>
          <w:tcPr>
            <w:tcW w:w="3360" w:type="dxa"/>
            <w:vAlign w:val="bottom"/>
          </w:tcPr>
          <w:p>
            <w:pPr>
              <w:spacing w:after="0"/>
              <w:rPr>
                <w:sz w:val="20"/>
                <w:szCs w:val="20"/>
                <w:color w:val="auto"/>
              </w:rPr>
            </w:pPr>
            <w:r>
              <w:rPr>
                <w:rFonts w:ascii="Times New Roman" w:cs="Times New Roman" w:eastAsia="Times New Roman" w:hAnsi="Times New Roman"/>
                <w:sz w:val="16"/>
                <w:szCs w:val="16"/>
                <w:color w:val="auto"/>
              </w:rPr>
              <w:t>Dated: May 2, 2024</w:t>
            </w:r>
          </w:p>
        </w:tc>
        <w:tc>
          <w:tcPr>
            <w:tcW w:w="272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By:</w:t>
            </w:r>
          </w:p>
        </w:tc>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Steven Ciardiello</w:t>
            </w:r>
          </w:p>
        </w:tc>
      </w:tr>
      <w:tr>
        <w:trPr>
          <w:trHeight w:val="202"/>
        </w:trPr>
        <w:tc>
          <w:tcPr>
            <w:tcW w:w="33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Steven Ciardiello</w:t>
            </w:r>
          </w:p>
        </w:tc>
      </w:tr>
      <w:tr>
        <w:trPr>
          <w:trHeight w:val="210"/>
        </w:trPr>
        <w:tc>
          <w:tcPr>
            <w:tcW w:w="3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Accounting Officer</w:t>
            </w:r>
          </w:p>
        </w:tc>
      </w:tr>
      <w:tr>
        <w:trPr>
          <w:trHeight w:val="211"/>
        </w:trPr>
        <w:tc>
          <w:tcPr>
            <w:tcW w:w="33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20"/>
          </w:cols>
          <w:pgMar w:left="320" w:top="121" w:right="35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SHUTTERSTOCK, INC.</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 POLICY</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on February 20, 2024)</w:t>
      </w:r>
    </w:p>
    <w:p>
      <w:pPr>
        <w:spacing w:after="0" w:line="278" w:lineRule="exact"/>
        <w:rPr>
          <w:sz w:val="20"/>
          <w:szCs w:val="20"/>
          <w:color w:val="auto"/>
        </w:rPr>
      </w:pPr>
    </w:p>
    <w:p>
      <w:pPr>
        <w:ind w:right="260" w:firstLine="632"/>
        <w:spacing w:after="0" w:line="303" w:lineRule="auto"/>
        <w:rPr>
          <w:sz w:val="20"/>
          <w:szCs w:val="20"/>
          <w:color w:val="auto"/>
        </w:rPr>
      </w:pPr>
      <w:r>
        <w:rPr>
          <w:rFonts w:ascii="Times New Roman" w:cs="Times New Roman" w:eastAsia="Times New Roman" w:hAnsi="Times New Roman"/>
          <w:sz w:val="18"/>
          <w:szCs w:val="18"/>
          <w:color w:val="auto"/>
        </w:rPr>
        <w:t>Independent directors of Shutterstock,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receive the compensation for their service as a member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the Company. This Policy shall remain in effect until it is revised or rescinded by further action of the Board.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will pay director fees only to those members of our Board who are independent under the listing standards of the New York Stock Exchange.</w:t>
      </w:r>
    </w:p>
    <w:p>
      <w:pPr>
        <w:spacing w:after="0" w:line="280" w:lineRule="exact"/>
        <w:rPr>
          <w:sz w:val="20"/>
          <w:szCs w:val="20"/>
          <w:color w:val="auto"/>
        </w:rPr>
      </w:pPr>
    </w:p>
    <w:p>
      <w:pPr>
        <w:ind w:right="80" w:firstLine="632"/>
        <w:spacing w:after="0" w:line="294" w:lineRule="auto"/>
        <w:rPr>
          <w:sz w:val="20"/>
          <w:szCs w:val="20"/>
          <w:color w:val="auto"/>
        </w:rPr>
      </w:pPr>
      <w:r>
        <w:rPr>
          <w:rFonts w:ascii="Times New Roman" w:cs="Times New Roman" w:eastAsia="Times New Roman" w:hAnsi="Times New Roman"/>
          <w:sz w:val="18"/>
          <w:szCs w:val="18"/>
          <w:color w:val="auto"/>
        </w:rPr>
        <w:t>Our goal is to provide compensation for our independent directors in a manner that enables us to attract and retain outstanding director candidates and reflects the substantial time commitment necessary to oversee the Company’s affairs. We also seek to align the interests of our directors and our stockholders and we have chosen to do so by compensating our directors with a mix of cash and equity-based compensation.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Fees and Retainers</w:t>
      </w:r>
    </w:p>
    <w:p>
      <w:pPr>
        <w:spacing w:after="0" w:line="2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Board Members</w:t>
      </w:r>
    </w:p>
    <w:p>
      <w:pPr>
        <w:spacing w:after="0" w:line="2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Each independent director shall be entitled to an annual cash retainer of $50,000 (the “</w:t>
      </w:r>
      <w:r>
        <w:rPr>
          <w:rFonts w:ascii="Times New Roman" w:cs="Times New Roman" w:eastAsia="Times New Roman" w:hAnsi="Times New Roman"/>
          <w:sz w:val="18"/>
          <w:szCs w:val="18"/>
          <w:b w:val="1"/>
          <w:bCs w:val="1"/>
          <w:i w:val="1"/>
          <w:iCs w:val="1"/>
          <w:color w:val="auto"/>
        </w:rPr>
        <w:t>Annual Cash Retainers</w:t>
      </w:r>
      <w:r>
        <w:rPr>
          <w:rFonts w:ascii="Times New Roman" w:cs="Times New Roman" w:eastAsia="Times New Roman" w:hAnsi="Times New Roman"/>
          <w:sz w:val="18"/>
          <w:szCs w:val="18"/>
          <w:color w:val="auto"/>
        </w:rPr>
        <w:t>”) as set forth below.</w:t>
      </w:r>
    </w:p>
    <w:p>
      <w:pPr>
        <w:spacing w:after="0" w:line="2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Committee Chairs and Lead Independent Director</w:t>
      </w:r>
    </w:p>
    <w:p>
      <w:pPr>
        <w:spacing w:after="0" w:line="282" w:lineRule="exact"/>
        <w:rPr>
          <w:sz w:val="20"/>
          <w:szCs w:val="20"/>
          <w:color w:val="auto"/>
        </w:rPr>
      </w:pPr>
    </w:p>
    <w:p>
      <w:pPr>
        <w:ind w:right="80" w:firstLine="632"/>
        <w:spacing w:after="0" w:line="294" w:lineRule="auto"/>
        <w:rPr>
          <w:sz w:val="20"/>
          <w:szCs w:val="20"/>
          <w:color w:val="auto"/>
        </w:rPr>
      </w:pPr>
      <w:r>
        <w:rPr>
          <w:rFonts w:ascii="Times New Roman" w:cs="Times New Roman" w:eastAsia="Times New Roman" w:hAnsi="Times New Roman"/>
          <w:sz w:val="18"/>
          <w:szCs w:val="18"/>
          <w:color w:val="auto"/>
        </w:rPr>
        <w:t>In addition to the Annual Cash Retainer, an independent director who serves as member or chairperson of the Company’s Audit, Compensation or Nominating and Corporate Governance Committee shall be entitled to an additional annual cash retainer (collectively, the “</w:t>
      </w:r>
      <w:r>
        <w:rPr>
          <w:rFonts w:ascii="Times New Roman" w:cs="Times New Roman" w:eastAsia="Times New Roman" w:hAnsi="Times New Roman"/>
          <w:sz w:val="18"/>
          <w:szCs w:val="18"/>
          <w:b w:val="1"/>
          <w:bCs w:val="1"/>
          <w:i w:val="1"/>
          <w:iCs w:val="1"/>
          <w:color w:val="auto"/>
        </w:rPr>
        <w:t>Committee Cash Retainers</w:t>
      </w:r>
      <w:r>
        <w:rPr>
          <w:rFonts w:ascii="Times New Roman" w:cs="Times New Roman" w:eastAsia="Times New Roman" w:hAnsi="Times New Roman"/>
          <w:sz w:val="18"/>
          <w:szCs w:val="18"/>
          <w:color w:val="auto"/>
        </w:rPr>
        <w:t>”) as set forth below.</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Chairperson</w:t>
            </w:r>
          </w:p>
        </w:tc>
        <w:tc>
          <w:tcPr>
            <w:tcW w:w="320" w:type="dxa"/>
            <w:vAlign w:val="bottom"/>
          </w:tcPr>
          <w:p>
            <w:pPr>
              <w:spacing w:after="0"/>
              <w:rPr>
                <w:sz w:val="16"/>
                <w:szCs w:val="16"/>
                <w:color w:val="auto"/>
              </w:rPr>
            </w:pPr>
          </w:p>
        </w:tc>
        <w:tc>
          <w:tcPr>
            <w:tcW w:w="172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Other Members</w:t>
            </w:r>
          </w:p>
        </w:tc>
      </w:tr>
      <w:tr>
        <w:trPr>
          <w:trHeight w:val="37"/>
        </w:trPr>
        <w:tc>
          <w:tcPr>
            <w:tcW w:w="69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r>
      <w:tr>
        <w:trPr>
          <w:trHeight w:val="243"/>
        </w:trPr>
        <w:tc>
          <w:tcPr>
            <w:tcW w:w="69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69"/>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Committee:</w:t>
            </w: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63"/>
        </w:trPr>
        <w:tc>
          <w:tcPr>
            <w:tcW w:w="6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69"/>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Committee:</w:t>
            </w:r>
          </w:p>
        </w:tc>
        <w:tc>
          <w:tcPr>
            <w:tcW w:w="38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63"/>
        </w:trPr>
        <w:tc>
          <w:tcPr>
            <w:tcW w:w="69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4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40"/>
        </w:trPr>
        <w:tc>
          <w:tcPr>
            <w:tcW w:w="692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c>
          <w:tcPr>
            <w:tcW w:w="166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260" w:firstLine="632"/>
        <w:spacing w:after="0" w:line="314" w:lineRule="auto"/>
        <w:rPr>
          <w:sz w:val="20"/>
          <w:szCs w:val="20"/>
          <w:color w:val="auto"/>
        </w:rPr>
      </w:pPr>
      <w:r>
        <w:rPr>
          <w:rFonts w:ascii="Times New Roman" w:cs="Times New Roman" w:eastAsia="Times New Roman" w:hAnsi="Times New Roman"/>
          <w:sz w:val="18"/>
          <w:szCs w:val="18"/>
          <w:color w:val="auto"/>
        </w:rPr>
        <w:t>In addition to the Annual Cash Retainer, the independent director who serves as the Lead Independent Director or Presiding Director, as applicable, shall be entitled to an additional annual cash retainer (the “</w:t>
      </w:r>
      <w:r>
        <w:rPr>
          <w:rFonts w:ascii="Times New Roman" w:cs="Times New Roman" w:eastAsia="Times New Roman" w:hAnsi="Times New Roman"/>
          <w:sz w:val="18"/>
          <w:szCs w:val="18"/>
          <w:b w:val="1"/>
          <w:bCs w:val="1"/>
          <w:i w:val="1"/>
          <w:iCs w:val="1"/>
          <w:color w:val="auto"/>
        </w:rPr>
        <w:t>Lead Director Retainer</w:t>
      </w:r>
      <w:r>
        <w:rPr>
          <w:rFonts w:ascii="Times New Roman" w:cs="Times New Roman" w:eastAsia="Times New Roman" w:hAnsi="Times New Roman"/>
          <w:sz w:val="18"/>
          <w:szCs w:val="18"/>
          <w:color w:val="auto"/>
        </w:rPr>
        <w:t>”) in the amount of $20,000.</w:t>
      </w:r>
    </w:p>
    <w:p>
      <w:pPr>
        <w:sectPr>
          <w:pgSz w:w="11900" w:h="16838" w:orient="portrait"/>
          <w:cols w:equalWidth="0" w:num="1">
            <w:col w:w="11240"/>
          </w:cols>
          <w:pgMar w:left="320" w:top="1027" w:right="339" w:bottom="1440" w:gutter="0" w:footer="0" w:header="0"/>
        </w:sectPr>
      </w:pPr>
    </w:p>
    <w:bookmarkStart w:id="44" w:name="page45"/>
    <w:bookmarkEnd w:id="44"/>
    <w:p>
      <w:pPr>
        <w:ind w:left="640"/>
        <w:spacing w:after="0"/>
        <w:rPr>
          <w:sz w:val="20"/>
          <w:szCs w:val="20"/>
          <w:color w:val="auto"/>
        </w:rPr>
      </w:pPr>
      <w:r>
        <w:rPr>
          <w:rFonts w:ascii="Times New Roman" w:cs="Times New Roman" w:eastAsia="Times New Roman" w:hAnsi="Times New Roman"/>
          <w:sz w:val="18"/>
          <w:szCs w:val="18"/>
          <w:i w:val="1"/>
          <w:iCs w:val="1"/>
          <w:color w:val="auto"/>
        </w:rPr>
        <w:t>Payment of Cash Retainers</w:t>
      </w:r>
    </w:p>
    <w:p>
      <w:pPr>
        <w:spacing w:after="0" w:line="282" w:lineRule="exact"/>
        <w:rPr>
          <w:sz w:val="20"/>
          <w:szCs w:val="20"/>
          <w:color w:val="auto"/>
        </w:rPr>
      </w:pPr>
    </w:p>
    <w:p>
      <w:pPr>
        <w:ind w:firstLine="632"/>
        <w:spacing w:after="0" w:line="287" w:lineRule="auto"/>
        <w:rPr>
          <w:sz w:val="20"/>
          <w:szCs w:val="20"/>
          <w:color w:val="auto"/>
        </w:rPr>
      </w:pPr>
      <w:r>
        <w:rPr>
          <w:rFonts w:ascii="Times New Roman" w:cs="Times New Roman" w:eastAsia="Times New Roman" w:hAnsi="Times New Roman"/>
          <w:sz w:val="18"/>
          <w:szCs w:val="18"/>
          <w:color w:val="auto"/>
        </w:rPr>
        <w:t>The Company shall pay the Annual Cash Retainers, the Committee Cash Retainers and the Lead Director Retainer on a quarterly basis in arrears, subject to the director’s continued service to the Company as an independent director, member or chairperson of the Audit, Compensation or Nominating and Corporate Governance Committee, as applicable, or lead independent director or presiding director, as applicable, on the first day of the preceding quarter. Such cash amounts shall be prorated in the case of service for less than the entire quarter.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Awards and Equity Retainers</w:t>
      </w:r>
    </w:p>
    <w:p>
      <w:pPr>
        <w:spacing w:after="0" w:line="2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Initial Equity Retainer for New Directors</w:t>
      </w:r>
    </w:p>
    <w:p>
      <w:pPr>
        <w:spacing w:after="0" w:line="295" w:lineRule="exact"/>
        <w:rPr>
          <w:sz w:val="20"/>
          <w:szCs w:val="20"/>
          <w:color w:val="auto"/>
        </w:rPr>
      </w:pPr>
    </w:p>
    <w:p>
      <w:pPr>
        <w:ind w:right="80" w:firstLine="632"/>
        <w:spacing w:after="0" w:line="285" w:lineRule="auto"/>
        <w:rPr>
          <w:sz w:val="20"/>
          <w:szCs w:val="20"/>
          <w:color w:val="auto"/>
        </w:rPr>
      </w:pPr>
      <w:r>
        <w:rPr>
          <w:rFonts w:ascii="Times New Roman" w:cs="Times New Roman" w:eastAsia="Times New Roman" w:hAnsi="Times New Roman"/>
          <w:sz w:val="18"/>
          <w:szCs w:val="18"/>
          <w:color w:val="auto"/>
        </w:rPr>
        <w:t>On the date a new independent director becomes a member of the Board, each such independent director shall automatically receive an award of restricted stock units with a cash value of $175,000 (an “</w:t>
      </w:r>
      <w:r>
        <w:rPr>
          <w:rFonts w:ascii="Times New Roman" w:cs="Times New Roman" w:eastAsia="Times New Roman" w:hAnsi="Times New Roman"/>
          <w:sz w:val="18"/>
          <w:szCs w:val="18"/>
          <w:b w:val="1"/>
          <w:bCs w:val="1"/>
          <w:i w:val="1"/>
          <w:iCs w:val="1"/>
          <w:color w:val="auto"/>
        </w:rPr>
        <w:t>Initial Equity Retainer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value of the Initial Equity Retainer will be reduced pro rata for each full month since the date of the last annual meeting of the Company’s stockholders during which such individual did not serve as a member of the Board. The Initial Equity Retainer shall vest as to all of such shares on the earlier of (i) the one year anniversary of the date of grant and (ii) the date immediately preceding the date of the next annual meeting of the Company’s stockholders, subject in each case, to the independent director’s continued service to the Company through the vesting date.</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Annual Equity Retainer for Continuing Board Members</w:t>
      </w:r>
    </w:p>
    <w:p>
      <w:pPr>
        <w:spacing w:after="0" w:line="282" w:lineRule="exact"/>
        <w:rPr>
          <w:sz w:val="20"/>
          <w:szCs w:val="20"/>
          <w:color w:val="auto"/>
        </w:rPr>
      </w:pPr>
    </w:p>
    <w:p>
      <w:pPr>
        <w:ind w:right="40" w:firstLine="632"/>
        <w:spacing w:after="0" w:line="320" w:lineRule="auto"/>
        <w:rPr>
          <w:sz w:val="20"/>
          <w:szCs w:val="20"/>
          <w:color w:val="auto"/>
        </w:rPr>
      </w:pPr>
      <w:r>
        <w:rPr>
          <w:rFonts w:ascii="Times New Roman" w:cs="Times New Roman" w:eastAsia="Times New Roman" w:hAnsi="Times New Roman"/>
          <w:sz w:val="16"/>
          <w:szCs w:val="16"/>
          <w:color w:val="auto"/>
        </w:rPr>
        <w:t>Each continuing independent director shall automatically receive an annual equity retainer in the form of an award of restricted stock units with a cash value of $175,000 (an “</w:t>
      </w:r>
      <w:r>
        <w:rPr>
          <w:rFonts w:ascii="Times New Roman" w:cs="Times New Roman" w:eastAsia="Times New Roman" w:hAnsi="Times New Roman"/>
          <w:sz w:val="16"/>
          <w:szCs w:val="16"/>
          <w:b w:val="1"/>
          <w:bCs w:val="1"/>
          <w:i w:val="1"/>
          <w:iCs w:val="1"/>
          <w:color w:val="auto"/>
        </w:rPr>
        <w:t>Annual Equity Retainer</w:t>
      </w:r>
      <w:r>
        <w:rPr>
          <w:rFonts w:ascii="Times New Roman" w:cs="Times New Roman" w:eastAsia="Times New Roman" w:hAnsi="Times New Roman"/>
          <w:sz w:val="16"/>
          <w:szCs w:val="16"/>
          <w:color w:val="auto"/>
        </w:rPr>
        <w:t>”), with the grant date of such award to be the date of each Company annual meeting of stockholders. The Annual Equity Retainer for such independent directors shall vest as to all of such shares on the earlier of (i) the one year anniversary of the date of grant and</w:t>
      </w:r>
    </w:p>
    <w:p>
      <w:pPr>
        <w:spacing w:after="0" w:line="1" w:lineRule="exact"/>
        <w:rPr>
          <w:sz w:val="20"/>
          <w:szCs w:val="20"/>
          <w:color w:val="auto"/>
        </w:rPr>
      </w:pPr>
    </w:p>
    <w:p>
      <w:pPr>
        <w:ind w:right="480" w:firstLine="5"/>
        <w:spacing w:after="0" w:line="299" w:lineRule="auto"/>
        <w:tabs>
          <w:tab w:leader="none" w:pos="25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immediately preceding the date of the next annual meeting of the Company’s stockholders, subject in each case, to the independent director’s continued service to the Company through the vesting date.</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Provisions Applicable to All Equity Awards</w:t>
      </w:r>
    </w:p>
    <w:p>
      <w:pPr>
        <w:spacing w:after="0" w:line="295" w:lineRule="exact"/>
        <w:rPr>
          <w:sz w:val="20"/>
          <w:szCs w:val="20"/>
          <w:color w:val="auto"/>
        </w:rPr>
      </w:pPr>
    </w:p>
    <w:p>
      <w:pPr>
        <w:ind w:firstLine="632"/>
        <w:spacing w:after="0" w:line="286" w:lineRule="auto"/>
        <w:rPr>
          <w:sz w:val="20"/>
          <w:szCs w:val="20"/>
          <w:color w:val="auto"/>
        </w:rPr>
      </w:pPr>
      <w:r>
        <w:rPr>
          <w:rFonts w:ascii="Times New Roman" w:cs="Times New Roman" w:eastAsia="Times New Roman" w:hAnsi="Times New Roman"/>
          <w:sz w:val="18"/>
          <w:szCs w:val="18"/>
          <w:color w:val="auto"/>
        </w:rPr>
        <w:t>The number of restricted stock units subject to an Initial Equity Retainer or an Annual Equity Retainer shall be determined by dividing (x) the cash value of the award by (y) the average of the Company’s closing price for a share of common stock on each trading day during the thirty (30) trading days period ending on the date immediately prior to the grant date, rounded down to the nearest whole number of shares. The Initial Equity Retainers and the Annual Equity Retainers shall be subject to the terms and conditions of the Company’s 2012 Omnibus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the terms of the Restricted Stock Unit Agreements entered into between the Company and each director in connection with such awards. Furthermore, the vesting of all Initial Equity Retainers and Annual Equity Retainers shall be accelerated in full immediately prior to (and contingent upon) the effectiveness of a Change of Control (as defined in the Plan).</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Directors’ Deferred Compensation</w:t>
      </w:r>
    </w:p>
    <w:p>
      <w:pPr>
        <w:spacing w:after="0" w:line="282" w:lineRule="exact"/>
        <w:rPr>
          <w:sz w:val="20"/>
          <w:szCs w:val="20"/>
          <w:color w:val="auto"/>
        </w:rPr>
      </w:pPr>
    </w:p>
    <w:p>
      <w:pPr>
        <w:ind w:right="180" w:firstLine="632"/>
        <w:spacing w:after="0" w:line="294" w:lineRule="auto"/>
        <w:rPr>
          <w:sz w:val="20"/>
          <w:szCs w:val="20"/>
          <w:color w:val="auto"/>
        </w:rPr>
      </w:pPr>
      <w:r>
        <w:rPr>
          <w:rFonts w:ascii="Times New Roman" w:cs="Times New Roman" w:eastAsia="Times New Roman" w:hAnsi="Times New Roman"/>
          <w:sz w:val="18"/>
          <w:szCs w:val="18"/>
          <w:color w:val="auto"/>
        </w:rPr>
        <w:t>In its discretion, the Company may structure the Initial Equity Retainer and/or the Annual Equity Retainer to include, or allow the director to elect, a deferred settlement of the shares subject to such award until the earlier of one or more of the following events: (i) a fixed date in the future; (ii) a separation from service as a member of the Board; or (iii) a Change of Control (as defined in the Plan).</w:t>
      </w:r>
    </w:p>
    <w:p>
      <w:pPr>
        <w:sectPr>
          <w:pgSz w:w="11900" w:h="16838" w:orient="portrait"/>
          <w:cols w:equalWidth="0" w:num="1">
            <w:col w:w="11240"/>
          </w:cols>
          <w:pgMar w:left="320" w:top="102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auto"/>
        </w:rPr>
        <w:t>Expense Reimbursement</w:t>
      </w:r>
    </w:p>
    <w:p>
      <w:pPr>
        <w:spacing w:after="0" w:line="282" w:lineRule="exact"/>
        <w:rPr>
          <w:sz w:val="20"/>
          <w:szCs w:val="20"/>
          <w:color w:val="auto"/>
        </w:rPr>
      </w:pPr>
    </w:p>
    <w:p>
      <w:pPr>
        <w:ind w:firstLine="632"/>
        <w:spacing w:after="0" w:line="287" w:lineRule="auto"/>
        <w:rPr>
          <w:sz w:val="20"/>
          <w:szCs w:val="20"/>
          <w:color w:val="auto"/>
        </w:rPr>
      </w:pPr>
      <w:r>
        <w:rPr>
          <w:rFonts w:ascii="Times New Roman" w:cs="Times New Roman" w:eastAsia="Times New Roman" w:hAnsi="Times New Roman"/>
          <w:sz w:val="18"/>
          <w:szCs w:val="18"/>
          <w:color w:val="auto"/>
        </w:rPr>
        <w:t>All independent directors shall be entitled to reimbursement from the Company for their reasonable travel (including airfare and ground transportation), lodging and meal expenses incident to meetings of the Board or committees thereof or in connection with other Board related business. The Company shall make expense reimbursements to all directors within a reasonable amount of time following submission by the director of reasonable written substantiation for the expenses.</w:t>
      </w:r>
    </w:p>
    <w:p>
      <w:pPr>
        <w:sectPr>
          <w:pgSz w:w="11900" w:h="16838" w:orient="portrait"/>
          <w:cols w:equalWidth="0" w:num="1">
            <w:col w:w="10980"/>
          </w:cols>
          <w:pgMar w:left="320" w:top="1027" w:right="59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AS ADOPTED PURSUANT TO SECTION 302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Paul Hennessy, certify that:</w:t>
      </w:r>
    </w:p>
    <w:p>
      <w:pPr>
        <w:spacing w:after="0" w:line="198" w:lineRule="exact"/>
        <w:rPr>
          <w:sz w:val="20"/>
          <w:szCs w:val="20"/>
          <w:color w:val="auto"/>
        </w:rPr>
      </w:pPr>
    </w:p>
    <w:p>
      <w:pPr>
        <w:ind w:left="840" w:hanging="519"/>
        <w:spacing w:after="0"/>
        <w:tabs>
          <w:tab w:leader="none" w:pos="8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Shutterstock, Inc.;</w:t>
      </w:r>
    </w:p>
    <w:p>
      <w:pPr>
        <w:spacing w:after="0" w:line="197" w:lineRule="exact"/>
        <w:rPr>
          <w:rFonts w:ascii="Times New Roman" w:cs="Times New Roman" w:eastAsia="Times New Roman" w:hAnsi="Times New Roman"/>
          <w:sz w:val="16"/>
          <w:szCs w:val="16"/>
          <w:color w:val="auto"/>
        </w:rPr>
      </w:pPr>
    </w:p>
    <w:p>
      <w:pPr>
        <w:ind w:left="320" w:right="100" w:firstLine="1"/>
        <w:spacing w:after="0" w:line="269" w:lineRule="auto"/>
        <w:tabs>
          <w:tab w:leader="none" w:pos="83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Times New Roman" w:cs="Times New Roman" w:eastAsia="Times New Roman" w:hAnsi="Times New Roman"/>
          <w:sz w:val="16"/>
          <w:szCs w:val="16"/>
          <w:color w:val="auto"/>
        </w:rPr>
      </w:pPr>
    </w:p>
    <w:p>
      <w:pPr>
        <w:ind w:left="320" w:right="600" w:firstLine="1"/>
        <w:spacing w:after="0" w:line="269" w:lineRule="auto"/>
        <w:tabs>
          <w:tab w:leader="none" w:pos="833"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Times New Roman" w:cs="Times New Roman" w:eastAsia="Times New Roman" w:hAnsi="Times New Roman"/>
          <w:sz w:val="16"/>
          <w:szCs w:val="16"/>
          <w:color w:val="auto"/>
        </w:rPr>
      </w:pPr>
    </w:p>
    <w:p>
      <w:pPr>
        <w:ind w:left="320" w:right="460" w:firstLine="1"/>
        <w:spacing w:after="0" w:line="322" w:lineRule="auto"/>
        <w:tabs>
          <w:tab w:leader="none" w:pos="830"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Times New Roman" w:cs="Times New Roman" w:eastAsia="Times New Roman" w:hAnsi="Times New Roman"/>
          <w:sz w:val="15"/>
          <w:szCs w:val="15"/>
          <w:color w:val="auto"/>
        </w:rPr>
      </w:pPr>
    </w:p>
    <w:p>
      <w:pPr>
        <w:ind w:left="640" w:right="20" w:hanging="3"/>
        <w:spacing w:after="0" w:line="263" w:lineRule="auto"/>
        <w:tabs>
          <w:tab w:leader="none" w:pos="1144"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6"/>
          <w:szCs w:val="16"/>
          <w:color w:val="auto"/>
        </w:rPr>
      </w:pPr>
    </w:p>
    <w:p>
      <w:pPr>
        <w:jc w:val="both"/>
        <w:ind w:left="640" w:right="500" w:hanging="3"/>
        <w:spacing w:after="0" w:line="263" w:lineRule="auto"/>
        <w:tabs>
          <w:tab w:leader="none" w:pos="1153"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Times New Roman" w:cs="Times New Roman" w:eastAsia="Times New Roman" w:hAnsi="Times New Roman"/>
          <w:sz w:val="16"/>
          <w:szCs w:val="16"/>
          <w:color w:val="auto"/>
        </w:rPr>
      </w:pPr>
    </w:p>
    <w:p>
      <w:pPr>
        <w:ind w:left="640" w:right="320" w:hanging="3"/>
        <w:spacing w:after="0" w:line="269" w:lineRule="auto"/>
        <w:tabs>
          <w:tab w:leader="none" w:pos="1144"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6"/>
          <w:szCs w:val="16"/>
          <w:color w:val="auto"/>
        </w:rPr>
      </w:pPr>
    </w:p>
    <w:p>
      <w:pPr>
        <w:ind w:left="640" w:right="260" w:hanging="3"/>
        <w:spacing w:after="0" w:line="263" w:lineRule="auto"/>
        <w:tabs>
          <w:tab w:leader="none" w:pos="1153"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6"/>
          <w:szCs w:val="16"/>
          <w:color w:val="auto"/>
        </w:rPr>
      </w:pPr>
    </w:p>
    <w:p>
      <w:pPr>
        <w:ind w:left="320" w:right="380" w:firstLine="1"/>
        <w:spacing w:after="0" w:line="287" w:lineRule="auto"/>
        <w:tabs>
          <w:tab w:leader="none" w:pos="83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Times New Roman" w:cs="Times New Roman" w:eastAsia="Times New Roman" w:hAnsi="Times New Roman"/>
          <w:sz w:val="16"/>
          <w:szCs w:val="16"/>
          <w:color w:val="auto"/>
        </w:rPr>
      </w:pPr>
    </w:p>
    <w:p>
      <w:pPr>
        <w:ind w:left="640" w:right="500" w:hanging="3"/>
        <w:spacing w:after="0" w:line="287" w:lineRule="auto"/>
        <w:tabs>
          <w:tab w:leader="none" w:pos="1136"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16"/>
          <w:szCs w:val="16"/>
          <w:color w:val="auto"/>
        </w:rPr>
      </w:pPr>
    </w:p>
    <w:p>
      <w:pPr>
        <w:ind w:left="640" w:right="100" w:hanging="3"/>
        <w:spacing w:after="0" w:line="269" w:lineRule="auto"/>
        <w:tabs>
          <w:tab w:leader="none" w:pos="1145"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May 2, 2024</w:t>
      </w:r>
      <w:r>
        <w:rPr>
          <w:sz w:val="20"/>
          <w:szCs w:val="20"/>
          <w:color w:val="auto"/>
        </w:rPr>
        <w:tab/>
      </w:r>
      <w:r>
        <w:rPr>
          <w:rFonts w:ascii="Times New Roman" w:cs="Times New Roman" w:eastAsia="Times New Roman" w:hAnsi="Times New Roman"/>
          <w:sz w:val="16"/>
          <w:szCs w:val="16"/>
          <w:color w:val="auto"/>
        </w:rPr>
        <w:t>By:</w:t>
        <w:tab/>
        <w:t>/s/ Paul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Paul Hennessy</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ectPr>
          <w:pgSz w:w="11900" w:h="16838" w:orient="portrait"/>
          <w:cols w:equalWidth="0" w:num="1">
            <w:col w:w="11240"/>
          </w:cols>
          <w:pgMar w:left="320" w:top="874"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RULE 13a-14(a) OR 15d-14(a) OF</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SECURITIES EXCHANGE ACT OF 1934, AS ADOPTED PURSUANT TO SECTION 302</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Jarrod Yahes, certify that:</w:t>
      </w:r>
    </w:p>
    <w:p>
      <w:pPr>
        <w:spacing w:after="0" w:line="198" w:lineRule="exact"/>
        <w:rPr>
          <w:sz w:val="20"/>
          <w:szCs w:val="20"/>
          <w:color w:val="auto"/>
        </w:rPr>
      </w:pPr>
    </w:p>
    <w:p>
      <w:pPr>
        <w:ind w:left="840" w:hanging="519"/>
        <w:spacing w:after="0"/>
        <w:tabs>
          <w:tab w:leader="none" w:pos="84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Shutterstock, Inc.;</w:t>
      </w:r>
    </w:p>
    <w:p>
      <w:pPr>
        <w:spacing w:after="0" w:line="197" w:lineRule="exact"/>
        <w:rPr>
          <w:rFonts w:ascii="Times New Roman" w:cs="Times New Roman" w:eastAsia="Times New Roman" w:hAnsi="Times New Roman"/>
          <w:sz w:val="16"/>
          <w:szCs w:val="16"/>
          <w:color w:val="auto"/>
        </w:rPr>
      </w:pPr>
    </w:p>
    <w:p>
      <w:pPr>
        <w:ind w:left="320" w:right="100" w:firstLine="1"/>
        <w:spacing w:after="0" w:line="269" w:lineRule="auto"/>
        <w:tabs>
          <w:tab w:leader="none" w:pos="833"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3" w:lineRule="exact"/>
        <w:rPr>
          <w:rFonts w:ascii="Times New Roman" w:cs="Times New Roman" w:eastAsia="Times New Roman" w:hAnsi="Times New Roman"/>
          <w:sz w:val="16"/>
          <w:szCs w:val="16"/>
          <w:color w:val="auto"/>
        </w:rPr>
      </w:pPr>
    </w:p>
    <w:p>
      <w:pPr>
        <w:ind w:left="320" w:right="600" w:firstLine="1"/>
        <w:spacing w:after="0" w:line="269" w:lineRule="auto"/>
        <w:tabs>
          <w:tab w:leader="none" w:pos="833"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3" w:lineRule="exact"/>
        <w:rPr>
          <w:rFonts w:ascii="Times New Roman" w:cs="Times New Roman" w:eastAsia="Times New Roman" w:hAnsi="Times New Roman"/>
          <w:sz w:val="16"/>
          <w:szCs w:val="16"/>
          <w:color w:val="auto"/>
        </w:rPr>
      </w:pPr>
    </w:p>
    <w:p>
      <w:pPr>
        <w:ind w:left="320" w:right="460" w:firstLine="1"/>
        <w:spacing w:after="0" w:line="322" w:lineRule="auto"/>
        <w:tabs>
          <w:tab w:leader="none" w:pos="83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2" w:lineRule="exact"/>
        <w:rPr>
          <w:rFonts w:ascii="Times New Roman" w:cs="Times New Roman" w:eastAsia="Times New Roman" w:hAnsi="Times New Roman"/>
          <w:sz w:val="15"/>
          <w:szCs w:val="15"/>
          <w:color w:val="auto"/>
        </w:rPr>
      </w:pPr>
    </w:p>
    <w:p>
      <w:pPr>
        <w:ind w:left="640" w:right="20" w:hanging="3"/>
        <w:spacing w:after="0" w:line="263" w:lineRule="auto"/>
        <w:tabs>
          <w:tab w:leader="none" w:pos="1144"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8" w:lineRule="exact"/>
        <w:rPr>
          <w:rFonts w:ascii="Times New Roman" w:cs="Times New Roman" w:eastAsia="Times New Roman" w:hAnsi="Times New Roman"/>
          <w:sz w:val="16"/>
          <w:szCs w:val="16"/>
          <w:color w:val="auto"/>
        </w:rPr>
      </w:pPr>
    </w:p>
    <w:p>
      <w:pPr>
        <w:jc w:val="both"/>
        <w:ind w:left="640" w:right="500" w:hanging="3"/>
        <w:spacing w:after="0" w:line="263" w:lineRule="auto"/>
        <w:tabs>
          <w:tab w:leader="none" w:pos="1153"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Times New Roman" w:cs="Times New Roman" w:eastAsia="Times New Roman" w:hAnsi="Times New Roman"/>
          <w:sz w:val="16"/>
          <w:szCs w:val="16"/>
          <w:color w:val="auto"/>
        </w:rPr>
      </w:pPr>
    </w:p>
    <w:p>
      <w:pPr>
        <w:ind w:left="640" w:right="320" w:hanging="3"/>
        <w:spacing w:after="0" w:line="269" w:lineRule="auto"/>
        <w:tabs>
          <w:tab w:leader="none" w:pos="1144"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3" w:lineRule="exact"/>
        <w:rPr>
          <w:rFonts w:ascii="Times New Roman" w:cs="Times New Roman" w:eastAsia="Times New Roman" w:hAnsi="Times New Roman"/>
          <w:sz w:val="16"/>
          <w:szCs w:val="16"/>
          <w:color w:val="auto"/>
        </w:rPr>
      </w:pPr>
    </w:p>
    <w:p>
      <w:pPr>
        <w:ind w:left="640" w:right="260" w:hanging="3"/>
        <w:spacing w:after="0" w:line="263" w:lineRule="auto"/>
        <w:tabs>
          <w:tab w:leader="none" w:pos="1153"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6"/>
          <w:szCs w:val="16"/>
          <w:color w:val="auto"/>
        </w:rPr>
      </w:pPr>
    </w:p>
    <w:p>
      <w:pPr>
        <w:ind w:left="320" w:right="380" w:firstLine="1"/>
        <w:spacing w:after="0" w:line="287" w:lineRule="auto"/>
        <w:tabs>
          <w:tab w:leader="none" w:pos="83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5" w:lineRule="exact"/>
        <w:rPr>
          <w:rFonts w:ascii="Times New Roman" w:cs="Times New Roman" w:eastAsia="Times New Roman" w:hAnsi="Times New Roman"/>
          <w:sz w:val="16"/>
          <w:szCs w:val="16"/>
          <w:color w:val="auto"/>
        </w:rPr>
      </w:pPr>
    </w:p>
    <w:p>
      <w:pPr>
        <w:ind w:left="640" w:right="500" w:hanging="3"/>
        <w:spacing w:after="0" w:line="287" w:lineRule="auto"/>
        <w:tabs>
          <w:tab w:leader="none" w:pos="1136"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8" w:lineRule="exact"/>
        <w:rPr>
          <w:rFonts w:ascii="Times New Roman" w:cs="Times New Roman" w:eastAsia="Times New Roman" w:hAnsi="Times New Roman"/>
          <w:sz w:val="16"/>
          <w:szCs w:val="16"/>
          <w:color w:val="auto"/>
        </w:rPr>
      </w:pPr>
    </w:p>
    <w:p>
      <w:pPr>
        <w:ind w:left="640" w:right="100" w:hanging="3"/>
        <w:spacing w:after="0" w:line="269" w:lineRule="auto"/>
        <w:tabs>
          <w:tab w:leader="none" w:pos="1145"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40"/>
        <w:spacing w:after="0"/>
        <w:tabs>
          <w:tab w:leader="none" w:pos="5760" w:val="left"/>
          <w:tab w:leader="none" w:pos="6220" w:val="left"/>
        </w:tabs>
        <w:rPr>
          <w:sz w:val="20"/>
          <w:szCs w:val="20"/>
          <w:color w:val="auto"/>
        </w:rPr>
      </w:pPr>
      <w:r>
        <w:rPr>
          <w:rFonts w:ascii="Times New Roman" w:cs="Times New Roman" w:eastAsia="Times New Roman" w:hAnsi="Times New Roman"/>
          <w:sz w:val="16"/>
          <w:szCs w:val="16"/>
          <w:color w:val="auto"/>
        </w:rPr>
        <w:t>Date: May 2,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3947160</wp:posOffset>
            </wp:positionH>
            <wp:positionV relativeFrom="paragraph">
              <wp:posOffset>17145</wp:posOffset>
            </wp:positionV>
            <wp:extent cx="318325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2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Jarrod Yahes</w:t>
      </w:r>
    </w:p>
    <w:p>
      <w:pPr>
        <w:spacing w:after="0" w:line="2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5"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p>
      <w:pPr>
        <w:sectPr>
          <w:pgSz w:w="11900" w:h="16838" w:orient="portrait"/>
          <w:cols w:equalWidth="0" w:num="1">
            <w:col w:w="11240"/>
          </w:cols>
          <w:pgMar w:left="320" w:top="874"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 18 U.S.C. SECTION 1350,</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 SECTION 906 OF THE SARBANES-OXLEY ACT OF 2002</w:t>
      </w:r>
    </w:p>
    <w:p>
      <w:pPr>
        <w:spacing w:after="0" w:line="180"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5"/>
          <w:szCs w:val="15"/>
          <w:color w:val="auto"/>
        </w:rPr>
        <w:t>In connection with the Quarterly Report on Form 10-Q of Shutterstock, Inc., for the quarterly period ended March 31, 2024 as filed with the Securities and Exchange Commission on the date hereof (the “Report”), I, Paul Hennessy, as Chief Executive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88"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May 2, 2024</w:t>
      </w:r>
      <w:r>
        <w:rPr>
          <w:sz w:val="20"/>
          <w:szCs w:val="20"/>
          <w:color w:val="auto"/>
        </w:rPr>
        <w:tab/>
      </w:r>
      <w:r>
        <w:rPr>
          <w:rFonts w:ascii="Times New Roman" w:cs="Times New Roman" w:eastAsia="Times New Roman" w:hAnsi="Times New Roman"/>
          <w:sz w:val="16"/>
          <w:szCs w:val="16"/>
          <w:color w:val="auto"/>
        </w:rPr>
        <w:t>By:</w:t>
        <w:tab/>
        <w:t>/s/ Paul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Paul Hennessy</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p>
      <w:pPr>
        <w:spacing w:after="0" w:line="292"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5"/>
          <w:szCs w:val="15"/>
          <w:color w:val="auto"/>
        </w:rPr>
        <w:t>In connection with the Quarterly Report on Form 10-Q of Shutterstock, Inc., for the quarterly period ended March 31, 2024 as filed with the Securities and Exchange Commission on the date hereof (the “Report”), I, Jarrod Yahes, as Chief Financial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88" w:lineRule="exact"/>
        <w:rPr>
          <w:sz w:val="20"/>
          <w:szCs w:val="20"/>
          <w:color w:val="auto"/>
        </w:rPr>
      </w:pPr>
    </w:p>
    <w:p>
      <w:pPr>
        <w:ind w:left="40"/>
        <w:spacing w:after="0"/>
        <w:tabs>
          <w:tab w:leader="none" w:pos="5660" w:val="left"/>
          <w:tab w:leader="none" w:pos="6100" w:val="left"/>
        </w:tabs>
        <w:rPr>
          <w:sz w:val="20"/>
          <w:szCs w:val="20"/>
          <w:color w:val="auto"/>
        </w:rPr>
      </w:pPr>
      <w:r>
        <w:rPr>
          <w:rFonts w:ascii="Times New Roman" w:cs="Times New Roman" w:eastAsia="Times New Roman" w:hAnsi="Times New Roman"/>
          <w:sz w:val="16"/>
          <w:szCs w:val="16"/>
          <w:color w:val="auto"/>
        </w:rPr>
        <w:t>Date: May 2,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17145</wp:posOffset>
            </wp:positionV>
            <wp:extent cx="32505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Jarrod Yahes</w:t>
      </w:r>
    </w:p>
    <w:p>
      <w:pPr>
        <w:spacing w:after="0" w:line="27"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5"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sectPr>
      <w:pgSz w:w="11900" w:h="16838" w:orient="portrait"/>
      <w:cols w:equalWidth="0" w:num="1">
        <w:col w:w="11240"/>
      </w:cols>
      <w:pgMar w:left="320" w:top="8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04"/>
    </w:lvl>
  </w:abstractNum>
  <w:abstractNum w:abstractNumId="12">
    <w:nsid w:val="DED7263"/>
    <w:multiLevelType w:val="hybridMultilevel"/>
    <w:lvl w:ilvl="0">
      <w:lvlJc w:val="left"/>
      <w:lvlText w:val="(%1)"/>
      <w:numFmt w:val="lowerRoman"/>
      <w:start w:val="2"/>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2024-05-02T15:57:33Z</dcterms:created>
  <dcterms:modified xsi:type="dcterms:W3CDTF">2024-05-02T15:57:33Z</dcterms:modified>
</cp:coreProperties>
</file>