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-125095</wp:posOffset>
            </wp:positionV>
            <wp:extent cx="5486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7" w:lineRule="exact"/>
        <w:rPr>
          <w:sz w:val="24"/>
          <w:szCs w:val="24"/>
          <w:color w:val="auto"/>
        </w:rPr>
      </w:pPr>
    </w:p>
    <w:p>
      <w:pPr>
        <w:jc w:val="center"/>
        <w:ind w:left="4260" w:right="2000" w:hanging="2255"/>
        <w:spacing w:after="0" w:line="232" w:lineRule="auto"/>
        <w:tabs>
          <w:tab w:leader="none" w:pos="2211"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2025</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or</w:t>
      </w:r>
    </w:p>
    <w:p>
      <w:pPr>
        <w:spacing w:after="0" w:line="38" w:lineRule="exact"/>
        <w:rPr>
          <w:sz w:val="24"/>
          <w:szCs w:val="24"/>
          <w:color w:val="auto"/>
        </w:rPr>
      </w:pPr>
    </w:p>
    <w:p>
      <w:pPr>
        <w:jc w:val="center"/>
        <w:ind w:left="4360" w:right="1840" w:hanging="2503"/>
        <w:spacing w:after="0" w:line="232" w:lineRule="auto"/>
        <w:tabs>
          <w:tab w:leader="none" w:pos="2064"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20"/>
          <w:szCs w:val="20"/>
          <w:color w:val="auto"/>
        </w:rPr>
      </w:pPr>
    </w:p>
    <w:p>
      <w:pPr>
        <w:ind w:left="4480"/>
        <w:spacing w:after="0"/>
        <w:rPr>
          <w:rFonts w:ascii="MS PGothic" w:cs="MS PGothic" w:eastAsia="MS PGothic" w:hAnsi="MS PGothic"/>
          <w:sz w:val="20"/>
          <w:szCs w:val="20"/>
          <w:color w:val="auto"/>
        </w:rPr>
      </w:pPr>
      <w:r>
        <w:rPr>
          <w:rFonts w:ascii="Times New Roman" w:cs="Times New Roman" w:eastAsia="Times New Roman" w:hAnsi="Times New Roman"/>
          <w:sz w:val="14"/>
          <w:szCs w:val="14"/>
          <w:b w:val="1"/>
          <w:bCs w:val="1"/>
          <w:color w:val="auto"/>
        </w:rPr>
        <w:t>Commission File Number: 001-35669</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828040</wp:posOffset>
            </wp:positionH>
            <wp:positionV relativeFrom="paragraph">
              <wp:posOffset>-242570</wp:posOffset>
            </wp:positionV>
            <wp:extent cx="5486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460" w:type="dxa"/>
            <w:vAlign w:val="bottom"/>
          </w:tcPr>
          <w:p>
            <w:pPr>
              <w:jc w:val="center"/>
              <w:ind w:left="211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000" w:type="dxa"/>
            <w:vAlign w:val="bottom"/>
          </w:tcPr>
          <w:p>
            <w:pPr>
              <w:spacing w:after="0"/>
              <w:rPr>
                <w:sz w:val="14"/>
                <w:szCs w:val="14"/>
                <w:color w:val="auto"/>
              </w:rPr>
            </w:pPr>
          </w:p>
        </w:tc>
        <w:tc>
          <w:tcPr>
            <w:tcW w:w="3780" w:type="dxa"/>
            <w:vAlign w:val="bottom"/>
          </w:tcPr>
          <w:p>
            <w:pPr>
              <w:jc w:val="right"/>
              <w:ind w:right="2437"/>
              <w:spacing w:after="0"/>
              <w:rPr>
                <w:sz w:val="20"/>
                <w:szCs w:val="20"/>
                <w:color w:val="auto"/>
              </w:rPr>
            </w:pPr>
            <w:r>
              <w:rPr>
                <w:rFonts w:ascii="Times New Roman" w:cs="Times New Roman" w:eastAsia="Times New Roman" w:hAnsi="Times New Roman"/>
                <w:sz w:val="13"/>
                <w:szCs w:val="13"/>
                <w:b w:val="1"/>
                <w:bCs w:val="1"/>
                <w:color w:val="auto"/>
              </w:rPr>
              <w:t>80-0812659</w:t>
            </w:r>
          </w:p>
        </w:tc>
      </w:tr>
      <w:tr>
        <w:trPr>
          <w:trHeight w:val="338"/>
        </w:trPr>
        <w:tc>
          <w:tcPr>
            <w:tcW w:w="7460" w:type="dxa"/>
            <w:vAlign w:val="bottom"/>
            <w:gridSpan w:val="2"/>
          </w:tcPr>
          <w:p>
            <w:pPr>
              <w:jc w:val="center"/>
              <w:ind w:right="1750"/>
              <w:spacing w:after="0"/>
              <w:rPr>
                <w:sz w:val="20"/>
                <w:szCs w:val="20"/>
                <w:color w:val="auto"/>
              </w:rPr>
            </w:pPr>
            <w:r>
              <w:rPr>
                <w:rFonts w:ascii="Times New Roman" w:cs="Times New Roman" w:eastAsia="Times New Roman" w:hAnsi="Times New Roman"/>
                <w:sz w:val="13"/>
                <w:szCs w:val="13"/>
                <w:color w:val="auto"/>
                <w:w w:val="96"/>
              </w:rPr>
              <w:t>(State or other jurisdiction of incorporation or organization)</w:t>
            </w:r>
          </w:p>
        </w:tc>
        <w:tc>
          <w:tcPr>
            <w:tcW w:w="3780" w:type="dxa"/>
            <w:vAlign w:val="bottom"/>
          </w:tcPr>
          <w:p>
            <w:pPr>
              <w:jc w:val="center"/>
              <w:ind w:right="1777"/>
              <w:spacing w:after="0"/>
              <w:rPr>
                <w:sz w:val="20"/>
                <w:szCs w:val="20"/>
                <w:color w:val="auto"/>
              </w:rPr>
            </w:pPr>
            <w:r>
              <w:rPr>
                <w:rFonts w:ascii="Times New Roman" w:cs="Times New Roman" w:eastAsia="Times New Roman" w:hAnsi="Times New Roman"/>
                <w:sz w:val="13"/>
                <w:szCs w:val="13"/>
                <w:color w:val="auto"/>
                <w:w w:val="96"/>
              </w:rPr>
              <w:t>(I.R.S. Employer Identification No.)</w:t>
            </w:r>
          </w:p>
        </w:tc>
      </w:tr>
      <w:tr>
        <w:trPr>
          <w:trHeight w:val="315"/>
        </w:trPr>
        <w:tc>
          <w:tcPr>
            <w:tcW w:w="3460" w:type="dxa"/>
            <w:vAlign w:val="bottom"/>
          </w:tcPr>
          <w:p>
            <w:pPr>
              <w:spacing w:after="0"/>
              <w:rPr>
                <w:sz w:val="24"/>
                <w:szCs w:val="24"/>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350 Fifth Avenue, 20th Floor</w:t>
            </w:r>
          </w:p>
        </w:tc>
        <w:tc>
          <w:tcPr>
            <w:tcW w:w="3780" w:type="dxa"/>
            <w:vAlign w:val="bottom"/>
          </w:tcPr>
          <w:p>
            <w:pPr>
              <w:spacing w:after="0"/>
              <w:rPr>
                <w:sz w:val="24"/>
                <w:szCs w:val="24"/>
                <w:color w:val="auto"/>
              </w:rPr>
            </w:pPr>
          </w:p>
        </w:tc>
      </w:tr>
      <w:tr>
        <w:trPr>
          <w:trHeight w:val="151"/>
        </w:trPr>
        <w:tc>
          <w:tcPr>
            <w:tcW w:w="3460" w:type="dxa"/>
            <w:vAlign w:val="bottom"/>
          </w:tcPr>
          <w:p>
            <w:pPr>
              <w:spacing w:after="0"/>
              <w:rPr>
                <w:sz w:val="13"/>
                <w:szCs w:val="13"/>
                <w:color w:val="auto"/>
              </w:rPr>
            </w:pPr>
          </w:p>
        </w:tc>
        <w:tc>
          <w:tcPr>
            <w:tcW w:w="4000" w:type="dxa"/>
            <w:vAlign w:val="bottom"/>
          </w:tcPr>
          <w:p>
            <w:pPr>
              <w:jc w:val="center"/>
              <w:ind w:left="250"/>
              <w:spacing w:after="0" w:line="151" w:lineRule="exact"/>
              <w:rPr>
                <w:sz w:val="20"/>
                <w:szCs w:val="20"/>
                <w:color w:val="auto"/>
              </w:rPr>
            </w:pPr>
            <w:r>
              <w:rPr>
                <w:rFonts w:ascii="Times New Roman" w:cs="Times New Roman" w:eastAsia="Times New Roman" w:hAnsi="Times New Roman"/>
                <w:sz w:val="14"/>
                <w:szCs w:val="14"/>
                <w:b w:val="1"/>
                <w:bCs w:val="1"/>
                <w:color w:val="auto"/>
              </w:rPr>
              <w:t>New York, NY 10118</w:t>
            </w:r>
          </w:p>
        </w:tc>
        <w:tc>
          <w:tcPr>
            <w:tcW w:w="3780" w:type="dxa"/>
            <w:vAlign w:val="bottom"/>
          </w:tcPr>
          <w:p>
            <w:pPr>
              <w:spacing w:after="0"/>
              <w:rPr>
                <w:sz w:val="13"/>
                <w:szCs w:val="13"/>
                <w:color w:val="auto"/>
              </w:rPr>
            </w:pPr>
          </w:p>
        </w:tc>
      </w:tr>
      <w:tr>
        <w:trPr>
          <w:trHeight w:val="175"/>
        </w:trPr>
        <w:tc>
          <w:tcPr>
            <w:tcW w:w="3460" w:type="dxa"/>
            <w:vAlign w:val="bottom"/>
          </w:tcPr>
          <w:p>
            <w:pPr>
              <w:spacing w:after="0"/>
              <w:rPr>
                <w:sz w:val="15"/>
                <w:szCs w:val="15"/>
                <w:color w:val="auto"/>
              </w:rPr>
            </w:pPr>
          </w:p>
        </w:tc>
        <w:tc>
          <w:tcPr>
            <w:tcW w:w="4000" w:type="dxa"/>
            <w:vAlign w:val="bottom"/>
          </w:tcPr>
          <w:p>
            <w:pPr>
              <w:jc w:val="center"/>
              <w:ind w:left="270"/>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3780" w:type="dxa"/>
            <w:vAlign w:val="bottom"/>
          </w:tcPr>
          <w:p>
            <w:pPr>
              <w:spacing w:after="0"/>
              <w:rPr>
                <w:sz w:val="15"/>
                <w:szCs w:val="15"/>
                <w:color w:val="auto"/>
              </w:rPr>
            </w:pPr>
          </w:p>
        </w:tc>
      </w:tr>
      <w:tr>
        <w:trPr>
          <w:trHeight w:val="175"/>
        </w:trPr>
        <w:tc>
          <w:tcPr>
            <w:tcW w:w="3460" w:type="dxa"/>
            <w:vAlign w:val="bottom"/>
          </w:tcPr>
          <w:p>
            <w:pPr>
              <w:spacing w:after="0"/>
              <w:rPr>
                <w:sz w:val="15"/>
                <w:szCs w:val="15"/>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646 710-3417</w:t>
            </w:r>
          </w:p>
        </w:tc>
        <w:tc>
          <w:tcPr>
            <w:tcW w:w="3780" w:type="dxa"/>
            <w:vAlign w:val="bottom"/>
          </w:tcPr>
          <w:p>
            <w:pPr>
              <w:spacing w:after="0"/>
              <w:rPr>
                <w:sz w:val="15"/>
                <w:szCs w:val="15"/>
                <w:color w:val="auto"/>
              </w:rPr>
            </w:pPr>
          </w:p>
        </w:tc>
      </w:tr>
      <w:tr>
        <w:trPr>
          <w:trHeight w:val="188"/>
        </w:trPr>
        <w:tc>
          <w:tcPr>
            <w:tcW w:w="3460" w:type="dxa"/>
            <w:vAlign w:val="bottom"/>
          </w:tcPr>
          <w:p>
            <w:pPr>
              <w:spacing w:after="0"/>
              <w:rPr>
                <w:sz w:val="16"/>
                <w:szCs w:val="16"/>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80" w:type="dxa"/>
            <w:vAlign w:val="bottom"/>
          </w:tcPr>
          <w:p>
            <w:pPr>
              <w:spacing w:after="0"/>
              <w:rPr>
                <w:sz w:val="16"/>
                <w:szCs w:val="16"/>
                <w:color w:val="auto"/>
              </w:rPr>
            </w:pPr>
          </w:p>
        </w:tc>
      </w:tr>
      <w:tr>
        <w:trPr>
          <w:trHeight w:val="338"/>
        </w:trPr>
        <w:tc>
          <w:tcPr>
            <w:tcW w:w="3460" w:type="dxa"/>
            <w:vAlign w:val="bottom"/>
          </w:tcPr>
          <w:p>
            <w:pPr>
              <w:spacing w:after="0"/>
              <w:rPr>
                <w:sz w:val="24"/>
                <w:szCs w:val="24"/>
                <w:color w:val="auto"/>
              </w:rPr>
            </w:pPr>
          </w:p>
        </w:tc>
        <w:tc>
          <w:tcPr>
            <w:tcW w:w="400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80" w:type="dxa"/>
            <w:vAlign w:val="bottom"/>
          </w:tcPr>
          <w:p>
            <w:pPr>
              <w:spacing w:after="0"/>
              <w:rPr>
                <w:sz w:val="24"/>
                <w:szCs w:val="24"/>
                <w:color w:val="auto"/>
              </w:rPr>
            </w:pPr>
          </w:p>
        </w:tc>
      </w:tr>
      <w:tr>
        <w:trPr>
          <w:trHeight w:val="480"/>
        </w:trPr>
        <w:tc>
          <w:tcPr>
            <w:tcW w:w="3460" w:type="dxa"/>
            <w:vAlign w:val="bottom"/>
          </w:tcPr>
          <w:p>
            <w:pPr>
              <w:jc w:val="center"/>
              <w:ind w:left="21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4000" w:type="dxa"/>
            <w:vAlign w:val="bottom"/>
          </w:tcPr>
          <w:p>
            <w:pPr>
              <w:jc w:val="center"/>
              <w:ind w:left="23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78"/>
        </w:trPr>
        <w:tc>
          <w:tcPr>
            <w:tcW w:w="346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r>
      <w:tr>
        <w:trPr>
          <w:trHeight w:val="158"/>
        </w:trPr>
        <w:tc>
          <w:tcPr>
            <w:tcW w:w="3460" w:type="dxa"/>
            <w:vAlign w:val="bottom"/>
          </w:tcPr>
          <w:p>
            <w:pPr>
              <w:jc w:val="center"/>
              <w:ind w:left="237"/>
              <w:spacing w:after="0"/>
              <w:rPr>
                <w:sz w:val="20"/>
                <w:szCs w:val="20"/>
                <w:color w:val="auto"/>
              </w:rPr>
            </w:pPr>
            <w:r>
              <w:rPr>
                <w:rFonts w:ascii="Times New Roman" w:cs="Times New Roman" w:eastAsia="Times New Roman" w:hAnsi="Times New Roman"/>
                <w:sz w:val="13"/>
                <w:szCs w:val="13"/>
                <w:color w:val="auto"/>
                <w:w w:val="96"/>
              </w:rPr>
              <w:t>Common Stock, $0.01 par value per share</w:t>
            </w:r>
          </w:p>
        </w:tc>
        <w:tc>
          <w:tcPr>
            <w:tcW w:w="4000" w:type="dxa"/>
            <w:vAlign w:val="bottom"/>
          </w:tcPr>
          <w:p>
            <w:pPr>
              <w:jc w:val="center"/>
              <w:ind w:left="230"/>
              <w:spacing w:after="0"/>
              <w:rPr>
                <w:sz w:val="20"/>
                <w:szCs w:val="20"/>
                <w:color w:val="auto"/>
              </w:rPr>
            </w:pPr>
            <w:r>
              <w:rPr>
                <w:rFonts w:ascii="Times New Roman" w:cs="Times New Roman" w:eastAsia="Times New Roman" w:hAnsi="Times New Roman"/>
                <w:sz w:val="13"/>
                <w:szCs w:val="13"/>
                <w:color w:val="auto"/>
                <w:w w:val="94"/>
              </w:rPr>
              <w:t>SSTK</w:t>
            </w:r>
          </w:p>
        </w:tc>
        <w:tc>
          <w:tcPr>
            <w:tcW w:w="3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New York Stock Exchange</w:t>
            </w:r>
          </w:p>
        </w:tc>
      </w:tr>
    </w:tbl>
    <w:p>
      <w:pPr>
        <w:spacing w:after="0" w:line="200" w:lineRule="exact"/>
        <w:rPr>
          <w:sz w:val="24"/>
          <w:szCs w:val="24"/>
          <w:color w:val="auto"/>
        </w:rPr>
      </w:pPr>
    </w:p>
    <w:p>
      <w:pPr>
        <w:spacing w:after="0" w:line="25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262" w:lineRule="exact"/>
        <w:rPr>
          <w:sz w:val="24"/>
          <w:szCs w:val="24"/>
          <w:color w:val="auto"/>
        </w:rPr>
      </w:pPr>
    </w:p>
    <w:p>
      <w:pPr>
        <w:ind w:right="356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40"/>
        <w:spacing w:after="0" w:line="29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760" w:type="dxa"/>
        <w:tblCellMar>
          <w:top w:w="0" w:type="dxa"/>
          <w:left w:w="0" w:type="dxa"/>
          <w:bottom w:w="0" w:type="dxa"/>
          <w:right w:w="0" w:type="dxa"/>
        </w:tblCellMar>
      </w:tblPr>
      <w:tr>
        <w:trPr>
          <w:trHeight w:val="242"/>
        </w:trPr>
        <w:tc>
          <w:tcPr>
            <w:tcW w:w="23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Large accelerated filer</w:t>
            </w:r>
          </w:p>
        </w:tc>
        <w:tc>
          <w:tcPr>
            <w:tcW w:w="216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5"/>
        </w:trPr>
        <w:tc>
          <w:tcPr>
            <w:tcW w:w="2340" w:type="dxa"/>
            <w:vAlign w:val="bottom"/>
          </w:tcPr>
          <w:p>
            <w:pPr>
              <w:jc w:val="center"/>
              <w:ind w:right="968"/>
              <w:spacing w:after="0"/>
              <w:rPr>
                <w:sz w:val="20"/>
                <w:szCs w:val="20"/>
                <w:color w:val="auto"/>
              </w:rPr>
            </w:pPr>
            <w:r>
              <w:rPr>
                <w:rFonts w:ascii="Times New Roman" w:cs="Times New Roman" w:eastAsia="Times New Roman" w:hAnsi="Times New Roman"/>
                <w:sz w:val="14"/>
                <w:szCs w:val="14"/>
                <w:color w:val="auto"/>
              </w:rPr>
              <w:t>Non-accelerated filer</w:t>
            </w:r>
          </w:p>
        </w:tc>
        <w:tc>
          <w:tcPr>
            <w:tcW w:w="216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64"/>
        </w:trPr>
        <w:tc>
          <w:tcPr>
            <w:tcW w:w="2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49"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its voting and non-voting common stock held by non-affiliates was $453,516,595, based on the last reported sale price of the registrant’s common stock on that date.</w:t>
      </w:r>
    </w:p>
    <w:p>
      <w:pPr>
        <w:spacing w:after="0"/>
        <w:rPr>
          <w:sz w:val="20"/>
          <w:szCs w:val="20"/>
          <w:color w:val="auto"/>
        </w:rPr>
      </w:pPr>
      <w:r>
        <w:rPr>
          <w:rFonts w:ascii="Times New Roman" w:cs="Times New Roman" w:eastAsia="Times New Roman" w:hAnsi="Times New Roman"/>
          <w:sz w:val="14"/>
          <w:szCs w:val="14"/>
          <w:color w:val="auto"/>
        </w:rPr>
        <w:t>On February 13, 2026, 35,546,755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1306195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7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Shutterstock, Inc. (the “Company”) is filing this Amendment No. 1 on Form 10-K/A (this “Amendment”) to the Company’s Annual Report on Form 10-K for the fiscal year ended December 31, 2025 (the “Original Form 10-K”), which the Company filed with the Securities and Exchange Commission (the “SEC”) on February 17, 2026. This Amendment is being filed solely to include the information required by Part III of Form 10-K. This information was previously omitted from the Original Form 10-K in reliance on General Instruction G(3) to Form 10-K, which permits the information in Part III to be incorporated in the Form 10-K by reference from the Company’s definitive proxy statement if such statement is filed no later than 120 days after the Company’s fiscal year-end.</w:t>
      </w:r>
    </w:p>
    <w:p>
      <w:pPr>
        <w:spacing w:after="0" w:line="13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Pursuant to Rule 12b-15 under the Securities Exchange Act of 1934, as amended (the “Exchange Act”), this Amendment also contains new certifications pursuant to Section 302 of the Sarbanes-Oxley Act of 2002, which are being filed as exhibits to this Amendment under Item 15 of Part IV. Because no financial statements have been included in this Form 10-K/A and this Form 10-K/A does not contain or amend any disclosure with respect to Items 307 and 308 of Regulation S-K, paragraphs 3, 4, and 5 of the certifications have been omitted.</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no other portion of the Original Form 10-K is amended hereby, and the Original Form 10-K continues to speak as of the date of the original filing of the Original Form 10-K. Accordingly, this Amendment should be read in conjunction with the Original Form 10-K and the Company’s filings made with the SEC subsequent to the date of the Original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PART III</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25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Item 11. Executive Compensation.</w:t>
            </w:r>
          </w:p>
        </w:tc>
        <w:tc>
          <w:tcPr>
            <w:tcW w:w="2280" w:type="dxa"/>
            <w:vAlign w:val="bottom"/>
            <w:gridSpan w:val="4"/>
          </w:tcPr>
          <w:p>
            <w:pPr>
              <w:spacing w:after="0"/>
              <w:rPr>
                <w:sz w:val="24"/>
                <w:szCs w:val="24"/>
                <w:color w:val="auto"/>
              </w:rPr>
            </w:pPr>
          </w:p>
        </w:tc>
        <w:tc>
          <w:tcPr>
            <w:tcW w:w="6240" w:type="dxa"/>
            <w:vAlign w:val="bottom"/>
            <w:gridSpan w:val="3"/>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12.</w:t>
            </w:r>
          </w:p>
        </w:tc>
        <w:tc>
          <w:tcPr>
            <w:tcW w:w="104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13.</w:t>
            </w:r>
          </w:p>
        </w:tc>
        <w:tc>
          <w:tcPr>
            <w:tcW w:w="7360" w:type="dxa"/>
            <w:vAlign w:val="bottom"/>
            <w:tcBorders>
              <w:top w:val="single" w:sz="8" w:color="0000FF"/>
            </w:tcBorders>
            <w:gridSpan w:val="10"/>
          </w:tcPr>
          <w:p>
            <w:pPr>
              <w:ind w:left="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304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14.</w:t>
            </w:r>
          </w:p>
        </w:tc>
        <w:tc>
          <w:tcPr>
            <w:tcW w:w="2940" w:type="dxa"/>
            <w:vAlign w:val="bottom"/>
            <w:tcBorders>
              <w:top w:val="single" w:sz="8" w:color="0000FF"/>
              <w:bottom w:val="single" w:sz="8" w:color="0000FF"/>
            </w:tcBorders>
            <w:gridSpan w:val="6"/>
          </w:tcPr>
          <w:p>
            <w:pPr>
              <w:ind w:left="40"/>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tcBorders>
              <w:top w:val="single" w:sz="8" w:color="0000FF"/>
            </w:tcBorders>
            <w:gridSpan w:val="3"/>
          </w:tcPr>
          <w:p>
            <w:pPr>
              <w:spacing w:after="0"/>
              <w:rPr>
                <w:sz w:val="24"/>
                <w:szCs w:val="24"/>
                <w:color w:val="auto"/>
              </w:rPr>
            </w:pPr>
          </w:p>
        </w:tc>
        <w:tc>
          <w:tcPr>
            <w:tcW w:w="4880" w:type="dxa"/>
            <w:vAlign w:val="bottom"/>
            <w:gridSpan w:val="2"/>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30</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10340" w:type="dxa"/>
            <w:vAlign w:val="bottom"/>
            <w:gridSpan w:val="9"/>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Item 15.</w:t>
            </w:r>
          </w:p>
        </w:tc>
        <w:tc>
          <w:tcPr>
            <w:tcW w:w="3240" w:type="dxa"/>
            <w:vAlign w:val="bottom"/>
            <w:tcBorders>
              <w:bottom w:val="single" w:sz="8" w:color="0000FF"/>
            </w:tcBorders>
            <w:gridSpan w:val="7"/>
          </w:tcPr>
          <w:p>
            <w:pPr>
              <w:ind w:left="40"/>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7160" w:type="dxa"/>
            <w:vAlign w:val="bottom"/>
            <w:gridSpan w:val="4"/>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760" w:type="dxa"/>
            <w:vAlign w:val="bottom"/>
            <w:gridSpan w:val="6"/>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0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ANNEX A - Non-GAAP Financial Measures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04"/>
        </w:trPr>
        <w:tc>
          <w:tcPr>
            <w:tcW w:w="2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140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and Executive Officers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names of our directors and executive officers and their ages, positions and biographies as of March 31, 2026 are set forth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Age</w:t>
            </w: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62"/>
        </w:trPr>
        <w:tc>
          <w:tcPr>
            <w:tcW w:w="17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spacing w:after="0"/>
              <w:rPr>
                <w:sz w:val="14"/>
                <w:szCs w:val="14"/>
                <w:color w:val="auto"/>
              </w:rPr>
            </w:pPr>
          </w:p>
        </w:tc>
      </w:tr>
      <w:tr>
        <w:trPr>
          <w:trHeight w:val="228"/>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Jonathan Oringer</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Founder and Executive Chairman of the Board</w:t>
            </w:r>
          </w:p>
        </w:tc>
      </w:tr>
      <w:tr>
        <w:trPr>
          <w:trHeight w:val="387"/>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Rachna Bhasin</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Deirdre Bigley</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405"/>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Thomas R. Evans</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Paul J. Hennessy</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378"/>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Rikki Powell</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92"/>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Jaime Teevan</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392"/>
        </w:trPr>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Alfonse Upshaw</w:t>
            </w:r>
          </w:p>
        </w:tc>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96"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Jonathan Oringer </w:t>
      </w:r>
      <w:r>
        <w:rPr>
          <w:rFonts w:ascii="Times New Roman" w:cs="Times New Roman" w:eastAsia="Times New Roman" w:hAnsi="Times New Roman"/>
          <w:sz w:val="18"/>
          <w:szCs w:val="18"/>
          <w:color w:val="auto"/>
        </w:rPr>
        <w:t>has served as our Executive Chairman of the Board since April 2020. Prior to assuming the role of Executive Chairman, Mr. Oringer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Executive Officer since the founding of the Company in 2003. Prior to founding Shutterstock, Mr. Oringer served as a director of several private companies. Mr. Oringer has served on the Columbia Engineering Board of Visitors from 2019 to June 2025. Mr. Oringer holds a B.S. in computer science and mathematics from State University of New York at Stony Brook and an M.S. in computer science from Columbia University.</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Rachna Bhasin </w:t>
      </w:r>
      <w:r>
        <w:rPr>
          <w:rFonts w:ascii="Times New Roman" w:cs="Times New Roman" w:eastAsia="Times New Roman" w:hAnsi="Times New Roman"/>
          <w:sz w:val="17"/>
          <w:szCs w:val="17"/>
          <w:color w:val="auto"/>
        </w:rPr>
        <w:t>has served as a member of our Board since August 2019. Ms. Bhasin is the Founder/CEO of EQ Partners, a strategic advisory, consulting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investment company serving early-stage companies in the areas of technology and media. Ms. Bhasin was Chief Business Officer of Magic Leap, Inc., a spatial computing company, from October 2015 through January 2019 and prior to that, served as SVP, Corporate Strategy and Business Development at SiriusXM Radio, Inc. from November 2010 through October 2015. Ms. Bhasin also held positions at Dell, Inc., where she led the company’s consumer strategic partnership and personalization, and at EMI Music North America as Vice President of Business Development. Since March 2016, Ms. Bhasin has served as an Independent Director for Ryman Hospitality Properties (NYSE: RHP), a hotel, resort, entertainment and media company, where she serves on the Human Resources Committee and Chairs the Risk Committee. She is a member of the Board of Directors of Audiomack, a private company providing a music streaming and audio distribution platform, and is a Senior Advisor to Alignment Growth Capital, a fund that invests globally in growth-stage companies across media, entertainment and gaming. She joined the Board of Directors of Lotus House Sundari Foundation, Inc., a nonprofit organization that provides shelter and resources to homeless women and children, in December 2024. Ms. Bhasin joined the board of Valocity, a global technology company that provides digital solutions for the property valuation and mortgage lending industries, in May 2025. Ms. Bhasin served as an Independent Director for PropertyGuru (NYSE: PGRU), a South East Asian Property Platform, where she served on the Audit Committee, from August 2021 through December 2024 and on the Special Committee as it was taken private. Ms. Bhasin also served as a member of the Board of Directors for Newlab, who help commercialize and scale the critical technologies needed to decarbonize the economy, from June 2023 to December 2024. Ms. Bhasin holds a Bachelor of Commerce and Administration with Honors from the Victoria University of Wellington in New Zealand and an M.B.A. from Harvard Business School.</w:t>
      </w:r>
    </w:p>
    <w:p>
      <w:pPr>
        <w:spacing w:after="0" w:line="12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Deirdre Bigley </w:t>
      </w:r>
      <w:r>
        <w:rPr>
          <w:rFonts w:ascii="Times New Roman" w:cs="Times New Roman" w:eastAsia="Times New Roman" w:hAnsi="Times New Roman"/>
          <w:sz w:val="17"/>
          <w:szCs w:val="17"/>
          <w:color w:val="auto"/>
        </w:rPr>
        <w:t>has served as a member of our Board since May 2016. Ms. Bigley was with Bloomberg, L.P., a global business and financial information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news leader, joining in 2009 and serving as the Chief Marketing Officer from 2013 to 2021. Prior to joining Bloomberg, L.P., Ms. Bigley spent thirteen years at International Business Machines Corporation (IBM), serving in several capacities, including Vice President of Worldwide Advertising and Interactive, and Vice President of Worldwide Brand. Ms. Bigley serves on the Boards of: Wix.com, a cloud-based development platform, since November 2017 and Sportradar, a sports betting and sports entertainment company, since April 2021. Ms. Bigley served as a director of Taboola, an advertising company that powers recommendations for the open web, from April 2021 to June 2025. Ms. Bigley holds a B.A. in English from West Chester University.</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4" w:name="page5"/>
    <w:bookmarkEnd w:id="4"/>
    <w:p>
      <w:pPr>
        <w:spacing w:after="0" w:line="13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Thomas R. Evans </w:t>
      </w:r>
      <w:r>
        <w:rPr>
          <w:rFonts w:ascii="Times New Roman" w:cs="Times New Roman" w:eastAsia="Times New Roman" w:hAnsi="Times New Roman"/>
          <w:sz w:val="17"/>
          <w:szCs w:val="17"/>
          <w:color w:val="auto"/>
        </w:rPr>
        <w:t>has served as a member of our Board since March 2012. From January 2014 through December 2015, Mr. Evans served as Advisor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Board of Bankrate, Inc., a leading aggregator of financial rate information, and from March 2004 until December 2013, when he retired, Mr. Evans served as its President and Chief Executive Officer 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of ANGI Homeservices Inc. and serves as a member of its Audit Committee and Chairman of its Compensation Committee. He also serves as a director and the Executive Chairman of Torticity, an end-to-end technology-driven online service for litigation law firms. From February 2021 to 2023, Mr. Evans also served as a director of G Squared Ascend I Inc., a special purpose acquisition company, and served as a member of its Audit, Compensation and Nominating and Corporate Governance Committees. He also served as a director of The Knot Worldwide from February 2018 until December 2024. Mr. Evans holds a B.S. in business administration from Arizona State University.</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J. Hennessy </w:t>
      </w:r>
      <w:r>
        <w:rPr>
          <w:rFonts w:ascii="Times New Roman" w:cs="Times New Roman" w:eastAsia="Times New Roman" w:hAnsi="Times New Roman"/>
          <w:sz w:val="18"/>
          <w:szCs w:val="18"/>
          <w:color w:val="auto"/>
        </w:rPr>
        <w:t>has served as our Chief Executive Officer since July 2022 and as a member of our Board since April 2015. From June 2016 to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Mr. Hennessy served as Chief Executive 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Since April 2023, Mr. Hennessy has served on the board of directors of Aledade, Inc., the nation’s largest network of independent primary care. He is also a member of the board of directors of TickPick, the modern transparent ticket marketplace transforming the event ticketing industry, as of January 2025. Mr. Hennessy is also a member of the Board of Directors of Liquidity Services, a B2B e-commerce marketplace platform for surplus assets, and serves as a member of its Audit and Corporate Governance and Nominating Committees as of October 2025. Mr. Hennessy holds a B.S. in marketing management from Dominican College and an M.B.A. from Long Island University.</w:t>
      </w:r>
    </w:p>
    <w:p>
      <w:pPr>
        <w:spacing w:after="0" w:line="13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Rikki Powell </w:t>
      </w:r>
      <w:r>
        <w:rPr>
          <w:rFonts w:ascii="Times New Roman" w:cs="Times New Roman" w:eastAsia="Times New Roman" w:hAnsi="Times New Roman"/>
          <w:sz w:val="17"/>
          <w:szCs w:val="17"/>
          <w:color w:val="auto"/>
        </w:rPr>
        <w:t>has served as our Chief Financial Officer since November 2024. Prior to joining the Company, Mr. Powell was Senior Vice President,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Finance and Investor Relations at Shake Shack, an NYSE publicly traded quick services restaurant group, from 2022 to 2024. Prior to that, Mr. Powell served in various finance positions at Getty Images, a visual media company, where he ultimately advanced to the position of Chief Financial Officer from 2017 to 2020. Prior to that, Mr. Powell held various finance roles at Dell Computer Corporation and HP Inc. and started his career at Grant Thornton LLP. Mr. Powell is from Oxford in the United Kingdom and has been a Fellow of the UK Chartered Association of Certified Accountants for a number of years.</w:t>
      </w:r>
    </w:p>
    <w:p>
      <w:pPr>
        <w:spacing w:after="0" w:line="1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Jaime Teevan </w:t>
      </w:r>
      <w:r>
        <w:rPr>
          <w:rFonts w:ascii="Times New Roman" w:cs="Times New Roman" w:eastAsia="Times New Roman" w:hAnsi="Times New Roman"/>
          <w:sz w:val="18"/>
          <w:szCs w:val="18"/>
          <w:color w:val="auto"/>
        </w:rPr>
        <w:t>has served as a member of our Board since July 2024. Recognized globally for her contributions to productivity and personalized search, Dr.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Teevan’s work has earned her a spot on TIME Magazine’s list of the top 100 influential figures in AI. As Microsoft's Chief Scientist and Technical Fellow, her career is distinguished by pioneering product innovations that are deeply rooted in rigorous research. She spearheaded the creation of M365 Copilot, integrating AI into Microsoft’s suite of products, and is credited with inventing Bing’s first personalized search algorithm. Prior to her current role, she was the Technical Advisor to Microsoft CEO Satya Nadella. Dr. Teevan is an elected ACM Fellow and member of the prestigious SIGIR and CHI Academies. She holds a Ph.D. in AI from MIT and a B.S. from Yale, and is an Affiliate Professor at the University of Washington. Dr. Teevan has served on the Board of Trustees of Yale University since July 2025. She also served on the board of the Computing Research Association, which plays a crucial role in shaping the future of computing research and influencing policy decisions until July 2025.</w:t>
      </w:r>
    </w:p>
    <w:p>
      <w:pPr>
        <w:spacing w:after="0" w:line="1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Alfonse Upshaw </w:t>
      </w:r>
      <w:r>
        <w:rPr>
          <w:rFonts w:ascii="Times New Roman" w:cs="Times New Roman" w:eastAsia="Times New Roman" w:hAnsi="Times New Roman"/>
          <w:sz w:val="18"/>
          <w:szCs w:val="18"/>
          <w:color w:val="auto"/>
        </w:rPr>
        <w:t>has served as a member of our Board since December 2020. Mr. Upshaw is Senior Vice President and Chief Financial Officer, Northern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California Market for Kaiser Foundation Health Plans and Hospitals (Kaiser Permanente). Mr. Upshaw also served as Senior Vice President, Corporate Controller &amp; Chief Accounting Officer for Kaiser Permanente until January 2022. He is also a member of the board of directors of HPNV Holdco, Inc. as of January 2026. Previously, Mr. Upshaw was an audit partner with Deloitte where he served Fortune 500 public as well as high growth private clients in a variety of industries. Mr. Upshaw has served on not-for-profit boards and several advisory committees including the Black Directors Health Equity Agenda, Inc., Kennedy-King Memorial Scholarship Foundation, the UC Berkeley Center for Financial Reporting and Management, and the American Heart Association Research Roundtable. Mr. Upshaw holds a B.S. in Business Administration from the University of California, Berkeley. He is a lifetime member of the National Association of Black Accountants,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Officers</w:t>
            </w:r>
          </w:p>
        </w:tc>
        <w:tc>
          <w:tcPr>
            <w:tcW w:w="780" w:type="dxa"/>
            <w:vAlign w:val="bottom"/>
          </w:tcPr>
          <w:p>
            <w:pPr>
              <w:spacing w:after="0"/>
              <w:rPr>
                <w:sz w:val="17"/>
                <w:szCs w:val="17"/>
                <w:color w:val="auto"/>
              </w:rPr>
            </w:pPr>
          </w:p>
        </w:tc>
        <w:tc>
          <w:tcPr>
            <w:tcW w:w="7840" w:type="dxa"/>
            <w:vAlign w:val="bottom"/>
          </w:tcPr>
          <w:p>
            <w:pPr>
              <w:spacing w:after="0"/>
              <w:rPr>
                <w:sz w:val="17"/>
                <w:szCs w:val="17"/>
                <w:color w:val="auto"/>
              </w:rPr>
            </w:pPr>
          </w:p>
        </w:tc>
      </w:tr>
      <w:tr>
        <w:trPr>
          <w:trHeight w:val="412"/>
        </w:trPr>
        <w:tc>
          <w:tcPr>
            <w:tcW w:w="11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4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Age</w:t>
            </w:r>
          </w:p>
        </w:tc>
        <w:tc>
          <w:tcPr>
            <w:tcW w:w="7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62"/>
        </w:trPr>
        <w:tc>
          <w:tcPr>
            <w:tcW w:w="180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tcPr>
          <w:p>
            <w:pPr>
              <w:spacing w:after="0"/>
              <w:rPr>
                <w:sz w:val="14"/>
                <w:szCs w:val="14"/>
                <w:color w:val="auto"/>
              </w:rPr>
            </w:pPr>
          </w:p>
        </w:tc>
      </w:tr>
      <w:tr>
        <w:trPr>
          <w:trHeight w:val="305"/>
        </w:trPr>
        <w:tc>
          <w:tcPr>
            <w:tcW w:w="1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Matthew Furlong</w:t>
            </w:r>
            <w:r>
              <w:rPr>
                <w:rFonts w:ascii="Times New Roman" w:cs="Times New Roman" w:eastAsia="Times New Roman" w:hAnsi="Times New Roman"/>
                <w:sz w:val="23"/>
                <w:szCs w:val="23"/>
                <w:b w:val="1"/>
                <w:bCs w:val="1"/>
                <w:color w:val="auto"/>
                <w:vertAlign w:val="superscript"/>
              </w:rPr>
              <w:t>(1)</w:t>
            </w:r>
          </w:p>
        </w:tc>
        <w:tc>
          <w:tcPr>
            <w:tcW w:w="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47</w:t>
            </w:r>
          </w:p>
        </w:tc>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 Chief Marketplace Officer</w:t>
            </w:r>
          </w:p>
        </w:tc>
      </w:tr>
    </w:tbl>
    <w:p>
      <w:pPr>
        <w:spacing w:after="0" w:line="118"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6"/>
          <w:szCs w:val="16"/>
          <w:color w:val="auto"/>
        </w:rPr>
        <w:t>Mr. Furlong’s service with the Company as Chief Marketplace Officer ended on September 2, 2025.</w:t>
      </w:r>
    </w:p>
    <w:p>
      <w:pPr>
        <w:spacing w:after="0" w:line="13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Matthew Furlong </w:t>
      </w:r>
      <w:r>
        <w:rPr>
          <w:rFonts w:ascii="Times New Roman" w:cs="Times New Roman" w:eastAsia="Times New Roman" w:hAnsi="Times New Roman"/>
          <w:sz w:val="18"/>
          <w:szCs w:val="18"/>
          <w:color w:val="auto"/>
        </w:rPr>
        <w:t>served as our Chief Marketplace Officer from January to September of 2025. Prior to joining Shutterstock, Mr. Furlong served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at GameStop, a global specialty retailer, from June 2021 to June 2023; as Country Manager of Amazon Australia, a leading e-Commerce retailer, from May 2019 to June 2021; and in various leadership roles at Amazon.com from October 2012 to May 2019. Prior to joining Amazon, Mr. Furlong spent the first twelve years of his career at Procter &amp; Gamble where he was focused on brand, marketing, and sales strategies. Mr. Furlong holds a B.S. in Business Finance from Miami University.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Code of Ethics</w:t>
      </w:r>
    </w:p>
    <w:p>
      <w:pPr>
        <w:spacing w:after="0" w:line="1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directors, officers and employees, including our principal executive officer and our principal financial and accounting officer. The Code of Business Conduct and Ethics is available on our investor relations website (investor.shutterstock.com) in the “Corporate Governance” section. We will post any amendments to, or waivers from, a provision of this Code of Business Conduct and Ethics by posting such information on our website, at the address and location specified above, as and to the extent required by SEC and New York Stock Exchange (“NYSE”) rules.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Insider Trading Policy</w:t>
      </w:r>
    </w:p>
    <w:p>
      <w:pPr>
        <w:spacing w:after="0" w:line="171"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have adopted insider trading policies and procedures attached hereto as Exhibit 19 governing the purchase, sale and other dispositions of the Company’s securities by directors, officers and employees that are reasonably designed to promote compliance with insider trading laws, rules and regulations. It is also the policy of the Company to comply with applicable securities laws when transacting in its own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Corporate Governance</w:t>
      </w:r>
    </w:p>
    <w:p>
      <w:pPr>
        <w:spacing w:after="0" w:line="171"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Board has an Audit Committee established in accordance with section 3(a)(58)(A) of Exchange Act. Its members are Alfonse Upshaw (Chairperson), Rachna Bhasin and Thomas R. Evans.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Upshaw qualifies as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Discussion and Analysis</w:t>
      </w:r>
    </w:p>
    <w:p>
      <w:pPr>
        <w:spacing w:after="0" w:line="171" w:lineRule="exact"/>
        <w:rPr>
          <w:sz w:val="20"/>
          <w:szCs w:val="20"/>
          <w:color w:val="auto"/>
        </w:rPr>
      </w:pPr>
    </w:p>
    <w:p>
      <w:pPr>
        <w:jc w:val="both"/>
        <w:ind w:right="340" w:firstLine="648"/>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describes our executive compensation program and the decisions made in 2025 as they pertain to each individual who served as our Chief Executive Officer (“CEO”), our Chief Financial Officer (“CFO”), and our other executive officers during our fiscal year ended December 31, 2025. Throughout this document, these executives are collectively referred to as our “NEOs” or our “named executive officers.” During fiscal year 2025, our named executive officers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4071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Jonathan Oringer</w:t>
            </w: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Founder, Executive Chairman of the Board</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Paul Hennessy</w:t>
            </w: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Rikki Powell</w:t>
            </w:r>
          </w:p>
        </w:tc>
        <w:tc>
          <w:tcPr>
            <w:tcW w:w="3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0"/>
        </w:trPr>
        <w:tc>
          <w:tcPr>
            <w:tcW w:w="1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Matthew Furlong</w:t>
            </w:r>
          </w:p>
        </w:tc>
        <w:tc>
          <w:tcPr>
            <w:tcW w:w="342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Former Chief Marketplace Officer</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Mr. Furlong was hired as Chief Marketplace Officer effective January 13, 2025 and resigned effective September 2,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Executive Summary</w:t>
      </w:r>
    </w:p>
    <w:p>
      <w:pPr>
        <w:spacing w:after="0" w:line="16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attract, engage, motivate and retain highly talented individuals who are committed to our vision, strategy and values. One of the key objectives of our executive compensation program is to maintain a strong alignment between corporate performance and executive compensation by tying incentive compensation to the achievement of performance metrics that we believe increase the Company’s long-term value and align our executives’ interests with the interests of our stockholders.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Business Highlights</w:t>
      </w:r>
      <w:r>
        <w:rPr>
          <w:rFonts w:ascii="Times New Roman" w:cs="Times New Roman" w:eastAsia="Times New Roman" w:hAnsi="Times New Roman"/>
          <w:sz w:val="23"/>
          <w:szCs w:val="23"/>
          <w:b w:val="1"/>
          <w:bCs w:val="1"/>
          <w:color w:val="auto"/>
          <w:vertAlign w:val="superscript"/>
        </w:rPr>
        <w:t>(1)</w:t>
      </w:r>
    </w:p>
    <w:p>
      <w:pPr>
        <w:spacing w:after="0" w:line="119"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 Our collection of content is one of the largest of its kind, and we delivered 453.1 million paid downloads to our customers across our brands during the year ended December 31, 2025. The highlights of our 2025 performance versus 2024 performance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w:t>
      </w:r>
    </w:p>
    <w:p>
      <w:pPr>
        <w:spacing w:after="0" w:line="59" w:lineRule="exact"/>
        <w:rPr>
          <w:sz w:val="20"/>
          <w:szCs w:val="20"/>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6% to $989.9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increased 9% to $75.1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27% to $45.59 million</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increased 10% to $271.8 million</w:t>
      </w:r>
      <w:r>
        <w:rPr>
          <w:rFonts w:ascii="Times New Roman" w:cs="Times New Roman" w:eastAsia="Times New Roman" w:hAnsi="Times New Roman"/>
          <w:sz w:val="23"/>
          <w:szCs w:val="23"/>
          <w:color w:val="auto"/>
          <w:vertAlign w:val="superscript"/>
        </w:rPr>
        <w:t>(2)</w:t>
      </w:r>
    </w:p>
    <w:p>
      <w:pPr>
        <w:ind w:left="660" w:hanging="328"/>
        <w:spacing w:after="0" w:line="19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increased $134.0 million to $166.7 million</w:t>
      </w:r>
      <w:r>
        <w:rPr>
          <w:rFonts w:ascii="Times New Roman" w:cs="Times New Roman" w:eastAsia="Times New Roman" w:hAnsi="Times New Roman"/>
          <w:sz w:val="23"/>
          <w:szCs w:val="23"/>
          <w:color w:val="auto"/>
          <w:vertAlign w:val="superscript"/>
        </w:rPr>
        <w:t>(2)</w:t>
      </w: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increased $40.8 million to $149.5 million</w:t>
      </w:r>
      <w:r>
        <w:rPr>
          <w:rFonts w:ascii="Times New Roman" w:cs="Times New Roman" w:eastAsia="Times New Roman" w:hAnsi="Times New Roman"/>
          <w:sz w:val="23"/>
          <w:szCs w:val="23"/>
          <w:color w:val="auto"/>
          <w:vertAlign w:val="superscript"/>
        </w:rPr>
        <w:t>(2)</w:t>
      </w:r>
    </w:p>
    <w:p>
      <w:pPr>
        <w:spacing w:after="0" w:line="336" w:lineRule="exact"/>
        <w:rPr>
          <w:rFonts w:ascii="Times New Roman" w:cs="Times New Roman" w:eastAsia="Times New Roman" w:hAnsi="Times New Roman"/>
          <w:sz w:val="18"/>
          <w:szCs w:val="18"/>
          <w:color w:val="auto"/>
        </w:rPr>
      </w:pPr>
    </w:p>
    <w:p>
      <w:pPr>
        <w:ind w:left="340" w:right="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our financial results, please see the Original Form 10-K,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the Original Form 10-K.</w:t>
      </w:r>
    </w:p>
    <w:p>
      <w:pPr>
        <w:spacing w:after="0" w:line="11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discussion regarding, and reconciliation of, our non-GAAP to GAAP financial measures, please see Annex A.</w:t>
      </w:r>
    </w:p>
    <w:p>
      <w:pPr>
        <w:spacing w:after="0" w:line="14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our 2025 Annual Meeting, approximately 85% of the votes cast by stockholders on the advisory vote on executive compensation were in favor of the compensation of our named executive officers. The Board and Compensation Committee reviewed these final vote results and determined that, given the significant level of support of our approach to compensation by our stockholders, stockholders were not demanding significant changes to our executive compensation policies.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Pending Merger with Getty Images</w:t>
      </w:r>
    </w:p>
    <w:p>
      <w:pPr>
        <w:spacing w:after="0" w:line="1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6, 2025, the Company entered into an Agreement and Plan of Merger (the “Merger Agreement”) to combine in a merger-of-equals transaction with Getty Images Holdings, Inc. (NYSE:GETY) (“Getty Images”) (such transaction referred to herein as the “Merger”). A majority of Shutterstock stockholders approved the adoption of the Merger Agreement at a special meeting of stockholders held on June 10, 2025. The Merger is subject to the satisfaction of customary closing conditions, including receipt of required regulatory approvals. Subject to the satisfaction of the closing conditions, upon closing of the Merger, Shutterstock’s common stock will be delisted from the NYSE and deregistered under the Securities Exchange Act of 1934, as amended. For additional information related to the Merger, please refer to the definitive proxy statement filed by the Company and the definitive information statement and prospectus filed by Getty Images with the SEC on April 30, 2025 (collectively, the “Information Statement and Proxy Statement/Prospectus”) and our other filings with the SEC.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Governance Highlights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maintain the following corporate governance practices and policies that our Board believes help to advance our compensation goals, including:</w:t>
      </w:r>
    </w:p>
    <w:p>
      <w:pPr>
        <w:sectPr>
          <w:pgSz w:w="11900" w:h="16838" w:orient="portrait"/>
          <w:cols w:equalWidth="0" w:num="1">
            <w:col w:w="11240"/>
          </w:cols>
          <w:pgMar w:left="320" w:top="1400" w:right="339" w:bottom="1440" w:gutter="0" w:footer="0" w:header="0"/>
        </w:sectPr>
      </w:pPr>
    </w:p>
    <w:p>
      <w:pPr>
        <w:spacing w:after="0" w:line="22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FFFFFF"/>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-116205</wp:posOffset>
            </wp:positionV>
            <wp:extent cx="35572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240030"/>
                    </a:xfrm>
                    <a:prstGeom prst="rect">
                      <a:avLst/>
                    </a:prstGeom>
                    <a:noFill/>
                  </pic:spPr>
                </pic:pic>
              </a:graphicData>
            </a:graphic>
          </wp:anchor>
        </w:drawing>
      </w:r>
    </w:p>
    <w:p>
      <w:pPr>
        <w:spacing w:after="0" w:line="174" w:lineRule="exact"/>
        <w:rPr>
          <w:sz w:val="20"/>
          <w:szCs w:val="20"/>
          <w:color w:val="auto"/>
        </w:rPr>
      </w:pPr>
    </w:p>
    <w:p>
      <w:pPr>
        <w:ind w:left="580" w:right="40"/>
        <w:spacing w:after="0" w:line="245" w:lineRule="auto"/>
        <w:rPr>
          <w:sz w:val="20"/>
          <w:szCs w:val="20"/>
          <w:color w:val="auto"/>
        </w:rPr>
      </w:pPr>
      <w:r>
        <w:rPr>
          <w:rFonts w:ascii="Times New Roman" w:cs="Times New Roman" w:eastAsia="Times New Roman" w:hAnsi="Times New Roman"/>
          <w:sz w:val="16"/>
          <w:szCs w:val="16"/>
          <w:color w:val="auto"/>
        </w:rPr>
        <w:t>Maintain a completely independent Compensation Committee that establishes our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11112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-168910</wp:posOffset>
            </wp:positionV>
            <wp:extent cx="111125"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44" w:lineRule="exact"/>
        <w:rPr>
          <w:sz w:val="20"/>
          <w:szCs w:val="20"/>
          <w:color w:val="auto"/>
        </w:rPr>
      </w:pPr>
    </w:p>
    <w:p>
      <w:pPr>
        <w:ind w:left="580" w:right="80"/>
        <w:spacing w:after="0" w:line="245" w:lineRule="auto"/>
        <w:rPr>
          <w:sz w:val="20"/>
          <w:szCs w:val="20"/>
          <w:color w:val="auto"/>
        </w:rPr>
      </w:pPr>
      <w:r>
        <w:rPr>
          <w:rFonts w:ascii="Times New Roman" w:cs="Times New Roman" w:eastAsia="Times New Roman" w:hAnsi="Times New Roman"/>
          <w:sz w:val="16"/>
          <w:szCs w:val="16"/>
          <w:color w:val="auto"/>
        </w:rPr>
        <w:t>Award a meaningful portion of pay as variable, performance-based compensation and not fixed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11112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-168910</wp:posOffset>
            </wp:positionV>
            <wp:extent cx="1111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104775</wp:posOffset>
            </wp:positionV>
            <wp:extent cx="11112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both"/>
        <w:ind w:left="580" w:right="200"/>
        <w:spacing w:after="0" w:line="245" w:lineRule="auto"/>
        <w:rPr>
          <w:sz w:val="20"/>
          <w:szCs w:val="20"/>
          <w:color w:val="auto"/>
        </w:rPr>
      </w:pPr>
      <w:r>
        <w:rPr>
          <w:rFonts w:ascii="Times New Roman" w:cs="Times New Roman" w:eastAsia="Times New Roman" w:hAnsi="Times New Roman"/>
          <w:sz w:val="16"/>
          <w:szCs w:val="16"/>
          <w:color w:val="auto"/>
        </w:rPr>
        <w:t>Provide for “double-trigger” equity acceleration for our executive officers upon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11112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-168910</wp:posOffset>
            </wp:positionV>
            <wp:extent cx="111125"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144" w:lineRule="exact"/>
        <w:rPr>
          <w:sz w:val="20"/>
          <w:szCs w:val="20"/>
          <w:color w:val="auto"/>
        </w:rPr>
      </w:pPr>
    </w:p>
    <w:p>
      <w:pPr>
        <w:ind w:left="580" w:right="120"/>
        <w:spacing w:after="0" w:line="245" w:lineRule="auto"/>
        <w:rPr>
          <w:sz w:val="20"/>
          <w:szCs w:val="20"/>
          <w:color w:val="auto"/>
        </w:rPr>
      </w:pPr>
      <w:r>
        <w:rPr>
          <w:rFonts w:ascii="Times New Roman" w:cs="Times New Roman" w:eastAsia="Times New Roman" w:hAnsi="Times New Roman"/>
          <w:sz w:val="16"/>
          <w:szCs w:val="16"/>
          <w:color w:val="auto"/>
        </w:rPr>
        <w:t>Rigorous goals for performance-based compensation to align compensation with high performance and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-168910</wp:posOffset>
            </wp:positionV>
            <wp:extent cx="111125" cy="111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-168910</wp:posOffset>
            </wp:positionV>
            <wp:extent cx="111125" cy="111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173355</wp:posOffset>
            </wp:positionV>
            <wp:extent cx="111125" cy="111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173355</wp:posOffset>
            </wp:positionV>
            <wp:extent cx="111125"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Use an independent compensation consultant</w:t>
      </w:r>
    </w:p>
    <w:p>
      <w:pPr>
        <w:spacing w:after="0" w:line="194" w:lineRule="exact"/>
        <w:rPr>
          <w:sz w:val="20"/>
          <w:szCs w:val="20"/>
          <w:color w:val="auto"/>
        </w:rPr>
      </w:pPr>
    </w:p>
    <w:p>
      <w:pPr>
        <w:jc w:val="both"/>
        <w:ind w:left="580" w:right="200"/>
        <w:spacing w:after="0" w:line="232" w:lineRule="auto"/>
        <w:rPr>
          <w:sz w:val="20"/>
          <w:szCs w:val="20"/>
          <w:color w:val="auto"/>
        </w:rPr>
      </w:pPr>
      <w:r>
        <w:rPr>
          <w:rFonts w:ascii="Times New Roman" w:cs="Times New Roman" w:eastAsia="Times New Roman" w:hAnsi="Times New Roman"/>
          <w:sz w:val="16"/>
          <w:szCs w:val="16"/>
          <w:color w:val="auto"/>
        </w:rPr>
        <w:t>Clawback policy compliant with SEC and NYSE rules requiring recoupment of erroneously awarded compensation from executive officers following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-166370</wp:posOffset>
            </wp:positionV>
            <wp:extent cx="111125"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-166370</wp:posOffset>
            </wp:positionV>
            <wp:extent cx="111125"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6"/>
          <w:szCs w:val="16"/>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-116205</wp:posOffset>
            </wp:positionV>
            <wp:extent cx="2494280" cy="2400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24003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Encourage unreasonable risk taking</w:t>
      </w:r>
    </w:p>
    <w:p>
      <w:pPr>
        <w:spacing w:after="0" w:line="194" w:lineRule="exact"/>
        <w:rPr>
          <w:sz w:val="20"/>
          <w:szCs w:val="20"/>
          <w:color w:val="auto"/>
        </w:rPr>
      </w:pPr>
    </w:p>
    <w:p>
      <w:pPr>
        <w:ind w:right="940"/>
        <w:spacing w:after="0" w:line="245" w:lineRule="auto"/>
        <w:rPr>
          <w:sz w:val="20"/>
          <w:szCs w:val="20"/>
          <w:color w:val="auto"/>
        </w:rPr>
      </w:pPr>
      <w:r>
        <w:rPr>
          <w:rFonts w:ascii="Times New Roman" w:cs="Times New Roman" w:eastAsia="Times New Roman" w:hAnsi="Times New Roman"/>
          <w:sz w:val="16"/>
          <w:szCs w:val="16"/>
          <w:color w:val="auto"/>
        </w:rPr>
        <w:t>No repricing underwater stock options or grants without seeking stockholder approval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excessive change in control or severance payments</w:t>
      </w:r>
    </w:p>
    <w:p>
      <w:pPr>
        <w:spacing w:after="0" w:line="194" w:lineRule="exact"/>
        <w:rPr>
          <w:sz w:val="20"/>
          <w:szCs w:val="20"/>
          <w:color w:val="auto"/>
        </w:rPr>
      </w:pPr>
    </w:p>
    <w:p>
      <w:pPr>
        <w:ind w:right="1500"/>
        <w:spacing w:after="0" w:line="245" w:lineRule="auto"/>
        <w:rPr>
          <w:sz w:val="20"/>
          <w:szCs w:val="20"/>
          <w:color w:val="auto"/>
        </w:rPr>
      </w:pPr>
      <w:r>
        <w:rPr>
          <w:rFonts w:ascii="Times New Roman" w:cs="Times New Roman" w:eastAsia="Times New Roman" w:hAnsi="Times New Roman"/>
          <w:sz w:val="16"/>
          <w:szCs w:val="16"/>
          <w:color w:val="auto"/>
        </w:rPr>
        <w:t>No excise tax gross-ups upon change in control termination benefits</w:t>
      </w:r>
    </w:p>
    <w:p>
      <w:pPr>
        <w:spacing w:after="0" w:line="164" w:lineRule="exact"/>
        <w:rPr>
          <w:sz w:val="20"/>
          <w:szCs w:val="20"/>
          <w:color w:val="auto"/>
        </w:rPr>
      </w:pPr>
    </w:p>
    <w:p>
      <w:pPr>
        <w:ind w:right="1160"/>
        <w:spacing w:after="0" w:line="245" w:lineRule="auto"/>
        <w:rPr>
          <w:sz w:val="20"/>
          <w:szCs w:val="20"/>
          <w:color w:val="auto"/>
        </w:rPr>
      </w:pPr>
      <w:r>
        <w:rPr>
          <w:rFonts w:ascii="Times New Roman" w:cs="Times New Roman" w:eastAsia="Times New Roman" w:hAnsi="Times New Roman"/>
          <w:sz w:val="16"/>
          <w:szCs w:val="16"/>
          <w:color w:val="auto"/>
        </w:rPr>
        <w:t>No defined benefit retirement plans, or supplemental retirement plans, for our executive officers</w:t>
      </w:r>
    </w:p>
    <w:p>
      <w:pPr>
        <w:spacing w:after="0" w:line="164" w:lineRule="exact"/>
        <w:rPr>
          <w:sz w:val="20"/>
          <w:szCs w:val="20"/>
          <w:color w:val="auto"/>
        </w:rPr>
      </w:pPr>
    </w:p>
    <w:p>
      <w:pPr>
        <w:ind w:right="1240"/>
        <w:spacing w:after="0" w:line="245" w:lineRule="auto"/>
        <w:rPr>
          <w:sz w:val="20"/>
          <w:szCs w:val="20"/>
          <w:color w:val="auto"/>
        </w:rPr>
      </w:pPr>
      <w:r>
        <w:rPr>
          <w:rFonts w:ascii="Times New Roman" w:cs="Times New Roman" w:eastAsia="Times New Roman" w:hAnsi="Times New Roman"/>
          <w:sz w:val="16"/>
          <w:szCs w:val="16"/>
          <w:color w:val="auto"/>
        </w:rPr>
        <w:t>No guaranteed equity awards or bonuses for named executive officers</w:t>
      </w:r>
    </w:p>
    <w:p>
      <w:pPr>
        <w:spacing w:after="0" w:line="326" w:lineRule="exact"/>
        <w:rPr>
          <w:sz w:val="20"/>
          <w:szCs w:val="20"/>
          <w:color w:val="auto"/>
        </w:rPr>
      </w:pPr>
    </w:p>
    <w:p>
      <w:pPr>
        <w:ind w:right="960"/>
        <w:spacing w:after="0" w:line="245" w:lineRule="auto"/>
        <w:rPr>
          <w:sz w:val="20"/>
          <w:szCs w:val="20"/>
          <w:color w:val="auto"/>
        </w:rPr>
      </w:pPr>
      <w:r>
        <w:rPr>
          <w:rFonts w:ascii="Times New Roman" w:cs="Times New Roman" w:eastAsia="Times New Roman" w:hAnsi="Times New Roman"/>
          <w:sz w:val="16"/>
          <w:szCs w:val="16"/>
          <w:color w:val="auto"/>
        </w:rPr>
        <w:t>No hedging and no pledging of our equity securities by directors or employees, including our executive officers</w:t>
      </w:r>
    </w:p>
    <w:p>
      <w:pPr>
        <w:spacing w:after="0" w:line="200" w:lineRule="exact"/>
        <w:rPr>
          <w:sz w:val="20"/>
          <w:szCs w:val="20"/>
          <w:color w:val="auto"/>
        </w:rPr>
      </w:pPr>
    </w:p>
    <w:p>
      <w:pPr>
        <w:sectPr>
          <w:pgSz w:w="11900" w:h="16838" w:orient="portrait"/>
          <w:cols w:equalWidth="0" w:num="2">
            <w:col w:w="5940" w:space="720"/>
            <w:col w:w="4580"/>
          </w:cols>
          <w:pgMar w:left="320" w:top="1400"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Establishing and Evaluating 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 &amp; Objectives</w:t>
      </w:r>
    </w:p>
    <w:p>
      <w:pPr>
        <w:spacing w:after="0" w:line="1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philosophy with regard to the compensation of our named executive officers, is to attract and retain high performers, and motivate them to pursue our corporate and business objectives that are intended to create long-term value for our stockholders. We strive to provide compensation packages that are competitive, reward achievement of our business objectives, and align executive and stockholder interests through equity ownership.</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compensation program is designed to:</w:t>
      </w:r>
    </w:p>
    <w:p>
      <w:pPr>
        <w:spacing w:after="0" w:line="171"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high-performing executives;</w:t>
      </w:r>
    </w:p>
    <w:p>
      <w:pPr>
        <w:spacing w:after="0" w:line="27"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that is competitive with the market and tailored to account for the specific needs and responsibilities of the particular position, as well as the performance and unique qualifications of the individual executive;</w:t>
      </w:r>
    </w:p>
    <w:p>
      <w:pPr>
        <w:ind w:left="1300" w:hanging="644"/>
        <w:spacing w:after="0" w:line="250"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actual payouts of performance-based compensation are aligned with financial performance and strategic business goals tied to enhancing stockholder value;</w:t>
      </w:r>
    </w:p>
    <w:p>
      <w:pPr>
        <w:ind w:left="1300" w:hanging="644"/>
        <w:spacing w:after="0" w:line="250"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meaningful portion of each executive’s total compensation is “at-risk” and varies based on Company and individual performance; and</w:t>
      </w: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executive compensation program with both short-term and long-term stockholder interests.</w:t>
      </w:r>
    </w:p>
    <w:p>
      <w:pPr>
        <w:sectPr>
          <w:pgSz w:w="11900" w:h="16838" w:orient="portrait"/>
          <w:cols w:equalWidth="0" w:num="1">
            <w:col w:w="11240"/>
          </w:cols>
          <w:pgMar w:left="320" w:top="14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8" w:name="page9"/>
    <w:bookmarkEnd w:id="8"/>
    <w:p>
      <w:pPr>
        <w:ind w:right="1500" w:firstLine="486"/>
        <w:spacing w:after="0" w:line="438" w:lineRule="auto"/>
        <w:rPr>
          <w:sz w:val="20"/>
          <w:szCs w:val="20"/>
          <w:color w:val="auto"/>
        </w:rPr>
      </w:pPr>
      <w:r>
        <w:rPr>
          <w:rFonts w:ascii="Times New Roman" w:cs="Times New Roman" w:eastAsia="Times New Roman" w:hAnsi="Times New Roman"/>
          <w:sz w:val="18"/>
          <w:szCs w:val="18"/>
          <w:color w:val="auto"/>
        </w:rPr>
        <w:t xml:space="preserve">As our needs evolve, we will reevaluate our philosophy and compensation programs from time to time as circumstances require. </w:t>
      </w:r>
      <w:r>
        <w:rPr>
          <w:rFonts w:ascii="Times New Roman" w:cs="Times New Roman" w:eastAsia="Times New Roman" w:hAnsi="Times New Roman"/>
          <w:sz w:val="18"/>
          <w:szCs w:val="18"/>
          <w:b w:val="1"/>
          <w:bCs w:val="1"/>
          <w:color w:val="auto"/>
        </w:rPr>
        <w:t>Setting our Compensation</w:t>
      </w:r>
    </w:p>
    <w:p>
      <w:pPr>
        <w:spacing w:after="0" w:line="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Compensation Committee is responsible for overseeing all aspects of our executive compensation programs, including executive salaries, annual cash incentive payouts, the size and structure of equity awards and any severance or change in control benefits. In carrying out its responsibilities, the Compensation Committee reviews, evaluates and approves the compensation arrangements, plans, policies, and practices for our executive officers. When discharging its responsibilities, the Compensation Committee relies on input from our management and our independent compensation consultant, whose roles are discussed below. Mr. Oringer, our Executive Chairman, also assists the Compensation Committee in determining our CEO’s compensation. Our management provides our Compensation Committee with its perspectives on certain aspects of our NEOs’ compensation, including the metrics and targets used in our performance-based compensation elements and the companies that constitute our compensation peers. Additionally, for each NEO except for himself, our CEO provides his review of the NEO’s individual performance to the committee and recommends an amount of compensation for the NEO, informed by that NEO’s individual performance and data regarding market levels of compensation for that NEO’s role and scope of responsibility. Our CEO and Executive Chairman do not participate in the Compensation Committee’s deliberations on their own compensation.</w:t>
      </w:r>
    </w:p>
    <w:p>
      <w:pPr>
        <w:spacing w:after="0" w:line="14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Potential changes to our executive officers’ compensation, such as increases in salary and annual incentive opportunities, are considered by the Compensation Committee annually. Any changes are typically set by the Compensation Committee at a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w:t>
      </w:r>
    </w:p>
    <w:p>
      <w:pPr>
        <w:spacing w:after="0" w:line="12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determining compensation, our Compensation Committee has retained the services of Pearl Meyer &amp; Partners, LLC (“Pearl Meyer”) as its independent compensation consultant to provide advice and recommendations on the amount and form of executive compensation. Pearl Meyer was selected by and reports to the Compensation Committee and did not provide any other services to the Company. Our Compensation Committee periodically has sought input from Pearl Meyer on a range of external market factors, including evolving compensation trends, appropriate peer companies and market survey data. Pearl Meyer has also provided general observations on the Company’s compensation programs, including the compensation of our Executive Chairman and the design of our PSUs, each as described below.</w:t>
      </w:r>
    </w:p>
    <w:p>
      <w:pPr>
        <w:spacing w:after="0" w:line="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considered and assessed all factors relevant to Pearl Meyer’s independence, including factors specified in NYSE listing standards and Rule 10C-1(b) of the Exchange Act, as well as certain other factors that could give rise to a potential conflict of interest with respect to the work of Pearl Meyer. Based on this assessment, our Compensation Committee confirmed that no conflicts of interest were raised by the work performed by Pearl Meyer.</w:t>
      </w:r>
    </w:p>
    <w:p>
      <w:pPr>
        <w:spacing w:after="0" w:line="126"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Comparative Market Data</w:t>
      </w:r>
    </w:p>
    <w:p>
      <w:pPr>
        <w:spacing w:after="0" w:line="175"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in determining base salary, bonus targets, long-term equity awards and total compensation levels. The Compensation Committee and management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w:t>
      </w:r>
    </w:p>
    <w:p>
      <w:pPr>
        <w:spacing w:after="0" w:line="133"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periodically reviews the composition of our peer group used in making compensation decisions to determine whether any changes are appropriate. In December 2024, the Compensation Committee, in consultation with Pearl Meyer, reviewed and approved the composition of our peer group consisting of technology and software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ind w:right="1040"/>
        <w:spacing w:after="0" w:line="282" w:lineRule="auto"/>
        <w:rPr>
          <w:sz w:val="20"/>
          <w:szCs w:val="20"/>
          <w:color w:val="auto"/>
        </w:rPr>
      </w:pPr>
      <w:r>
        <w:rPr>
          <w:rFonts w:ascii="Times New Roman" w:cs="Times New Roman" w:eastAsia="Times New Roman" w:hAnsi="Times New Roman"/>
          <w:sz w:val="18"/>
          <w:szCs w:val="18"/>
          <w:color w:val="auto"/>
        </w:rPr>
        <w:t>companies that are similar to us in industry code, revenue, market capitalization and sales growth. Our peer group, which was used in making compensation decisions for fiscal year 2025, includes the following companies: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2025 Peer Group Continuing Companies</w:t>
            </w: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Alarm.com Holdings,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Envestnet, Inc.</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Magnite, Inc.</w:t>
            </w:r>
          </w:p>
        </w:tc>
        <w:tc>
          <w:tcPr>
            <w:tcW w:w="15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Stitch Fix, Inc.</w:t>
            </w: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Box,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Etsy, Inc.</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Paycom Software, Inc.</w:t>
            </w:r>
          </w:p>
        </w:tc>
        <w:tc>
          <w:tcPr>
            <w:tcW w:w="1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TrueCar, Inc.</w:t>
            </w:r>
          </w:p>
        </w:tc>
      </w:tr>
      <w:tr>
        <w:trPr>
          <w:trHeight w:val="39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Cars.com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Getty Images Holdings, Inc.</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Pinterest, Inc.</w:t>
            </w:r>
          </w:p>
        </w:tc>
        <w:tc>
          <w:tcPr>
            <w:tcW w:w="1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Vimeo, Inc.</w:t>
            </w:r>
          </w:p>
        </w:tc>
      </w:tr>
      <w:tr>
        <w:trPr>
          <w:trHeight w:val="391"/>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Dropbox, Inc.</w:t>
            </w:r>
          </w:p>
        </w:tc>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LivePerson, Inc.</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QuinStreet, Inc.</w:t>
            </w:r>
          </w:p>
        </w:tc>
        <w:tc>
          <w:tcPr>
            <w:tcW w:w="1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Yelp Inc.</w:t>
            </w: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Chairman Compensation</w:t>
      </w:r>
    </w:p>
    <w:p>
      <w:pPr>
        <w:spacing w:after="0" w:line="17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Mr. Oringer, our founder, has served as our Executive Chairman since April 2020 and previously served as our interim CEO for several months during fiscal 2022 and as our CEO for 17 years from the time he founded the Company in 2003 until 2020. In developing compensation recommendations for Mr. Oringer, our Compensation Committee, in its business judgment, has sought to appropriately reward Mr. Oringer’s critical contributions to the Company’s ongoing success and the success of our brand and to create incentives for Mr. Oringer to continue to contribute significantly to successful results in the future.</w:t>
      </w:r>
    </w:p>
    <w:p>
      <w:pPr>
        <w:spacing w:after="0" w:line="1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Since April 2014, Mr. Oringer’s annual base salary has been $1.00 (one dollar) and Mr. Oringer has remained ineligible to receive an annual cash bonus. In providing for a $1.00 (one dollar) salary, the Compensation Committee determined to instead tie Mr. Oringer’s compensation almost entirely to the Company’s long-term business objectives and long-term stock price performance. In each of April 2022, 2023 and 2024, the Compensation Committee approved an award of performance stock units (“PSUs”) for Mr. Oringer with a grant-date value of $5,500,000, $5,500,000 and $5,225,000, respectively, which in each case vest over a 3-year period based on achievement of revenue growth and adjusted EBITDA margin targets in accordance with the Company-set goals for management. In 2025, based on limitations on the issuance of PSUs in the Merger Agreement, the Compensation Committee approved a time-based restricted stock unit (“RSU”) award with a grant-date value of $1,833,333 which vest over a 1-year period based on continued service The target number of RSUs and PSUs for each award was determined by dividing (x) the cash value of the award by (y) the average of the Company’s closing price for a share of Common Stock on each trading day during the 30 trading days period ending on the date immediately prior to the applicable grant date, rounded down to the nearest whole number of 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NEO Departures</w:t>
      </w:r>
    </w:p>
    <w:p>
      <w:pPr>
        <w:spacing w:after="0" w:line="14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On August 8, 2025, Matthew Furlong notified the Company of his resignation as Chief Marketplace Officer, effective September 2, 2025. Mr. Furlong received the accrued benefits for a voluntary resignation in accordance with Section 7(c) of the Employment Agreement dated January 13, 2025 by and between the Company and Mr. Furlong, previously filed as Exhibit 10.28 to the Company’s Annual Report on Form 10-K filed with the Securities and Exchange Commission on February 25, 2025, as amended on March 19, 2025, which amendment was filed as Exhibit 10.38 to Amendment No. 1 to the Company’s Annual Report on Form 10-K filed with the Securities and Exchange Commission on March 28, 2025 (the “Furlong Employment Agreement”), and his outstanding unvested equity awards were forfeited on September 2,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Elements of 2025 Compensation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principal elements of our executive compensation program for our other NEOs are set forth in the following table and described in more detail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Characteristics</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Objectives</w:t>
            </w:r>
          </w:p>
        </w:tc>
      </w:tr>
      <w:tr>
        <w:trPr>
          <w:trHeight w:val="238"/>
        </w:trPr>
        <w:tc>
          <w:tcPr>
            <w:tcW w:w="1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49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167"/>
        </w:trPr>
        <w:tc>
          <w:tcPr>
            <w:tcW w:w="184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r>
      <w:tr>
        <w:trPr>
          <w:trHeight w:val="169"/>
        </w:trPr>
        <w:tc>
          <w:tcPr>
            <w:tcW w:w="18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Base Salary</w:t>
            </w:r>
          </w:p>
        </w:tc>
        <w:tc>
          <w:tcPr>
            <w:tcW w:w="49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Annual fixed cash compensation</w:t>
            </w:r>
          </w:p>
        </w:tc>
        <w:tc>
          <w:tcPr>
            <w:tcW w:w="36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Provide a fixed level of cash compensation to</w:t>
            </w:r>
          </w:p>
        </w:tc>
      </w:tr>
      <w:tr>
        <w:trPr>
          <w:trHeight w:val="184"/>
        </w:trPr>
        <w:tc>
          <w:tcPr>
            <w:tcW w:w="18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36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attract, retain and reward talented and skilled</w:t>
            </w:r>
          </w:p>
        </w:tc>
      </w:tr>
      <w:tr>
        <w:trPr>
          <w:trHeight w:val="180"/>
        </w:trPr>
        <w:tc>
          <w:tcPr>
            <w:tcW w:w="1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36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executive talent that is competitive for executive</w:t>
            </w:r>
          </w:p>
        </w:tc>
      </w:tr>
      <w:tr>
        <w:trPr>
          <w:trHeight w:val="234"/>
        </w:trPr>
        <w:tc>
          <w:tcPr>
            <w:tcW w:w="1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talent specific to our industry.</w:t>
            </w:r>
          </w:p>
        </w:tc>
      </w:tr>
      <w:tr>
        <w:trPr>
          <w:trHeight w:val="157"/>
        </w:trPr>
        <w:tc>
          <w:tcPr>
            <w:tcW w:w="18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r>
      <w:tr>
        <w:trPr>
          <w:trHeight w:val="169"/>
        </w:trPr>
        <w:tc>
          <w:tcPr>
            <w:tcW w:w="18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Annual Bonuses</w:t>
            </w:r>
          </w:p>
        </w:tc>
        <w:tc>
          <w:tcPr>
            <w:tcW w:w="49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Annual variable, performance-based cash compensation</w:t>
            </w:r>
          </w:p>
        </w:tc>
        <w:tc>
          <w:tcPr>
            <w:tcW w:w="36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Motivate and reward the achievement of annual</w:t>
            </w:r>
          </w:p>
        </w:tc>
      </w:tr>
      <w:tr>
        <w:trPr>
          <w:trHeight w:val="184"/>
        </w:trPr>
        <w:tc>
          <w:tcPr>
            <w:tcW w:w="1840" w:type="dxa"/>
            <w:vAlign w:val="bottom"/>
          </w:tcPr>
          <w:p>
            <w:pPr>
              <w:spacing w:after="0"/>
              <w:rPr>
                <w:sz w:val="16"/>
                <w:szCs w:val="16"/>
                <w:color w:val="auto"/>
              </w:rPr>
            </w:pPr>
          </w:p>
        </w:tc>
        <w:tc>
          <w:tcPr>
            <w:tcW w:w="49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determined by achievement of pre-established annual corporate</w:t>
            </w:r>
          </w:p>
        </w:tc>
        <w:tc>
          <w:tcPr>
            <w:tcW w:w="36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financial and other operating objectives and</w:t>
            </w:r>
          </w:p>
        </w:tc>
      </w:tr>
      <w:tr>
        <w:trPr>
          <w:trHeight w:val="180"/>
        </w:trPr>
        <w:tc>
          <w:tcPr>
            <w:tcW w:w="1840" w:type="dxa"/>
            <w:vAlign w:val="bottom"/>
          </w:tcPr>
          <w:p>
            <w:pPr>
              <w:spacing w:after="0"/>
              <w:rPr>
                <w:sz w:val="15"/>
                <w:szCs w:val="15"/>
                <w:color w:val="auto"/>
              </w:rPr>
            </w:pPr>
          </w:p>
        </w:tc>
        <w:tc>
          <w:tcPr>
            <w:tcW w:w="49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goals and individual performance</w:t>
            </w:r>
          </w:p>
        </w:tc>
        <w:tc>
          <w:tcPr>
            <w:tcW w:w="36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individual performance to drive stockholder</w:t>
            </w:r>
          </w:p>
        </w:tc>
      </w:tr>
      <w:tr>
        <w:trPr>
          <w:trHeight w:val="234"/>
        </w:trPr>
        <w:tc>
          <w:tcPr>
            <w:tcW w:w="18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value over time.</w:t>
            </w:r>
          </w:p>
        </w:tc>
      </w:tr>
      <w:tr>
        <w:trPr>
          <w:trHeight w:val="157"/>
        </w:trPr>
        <w:tc>
          <w:tcPr>
            <w:tcW w:w="1840" w:type="dxa"/>
            <w:vAlign w:val="bottom"/>
            <w:tcBorders>
              <w:bottom w:val="single" w:sz="8" w:color="auto"/>
            </w:tcBorders>
          </w:tcPr>
          <w:p>
            <w:pPr>
              <w:spacing w:after="0"/>
              <w:rPr>
                <w:sz w:val="13"/>
                <w:szCs w:val="13"/>
                <w:color w:val="auto"/>
              </w:rPr>
            </w:pPr>
          </w:p>
        </w:tc>
        <w:tc>
          <w:tcPr>
            <w:tcW w:w="4900" w:type="dxa"/>
            <w:vAlign w:val="bottom"/>
            <w:tcBorders>
              <w:bottom w:val="single" w:sz="8" w:color="auto"/>
            </w:tcBorders>
          </w:tcPr>
          <w:p>
            <w:pPr>
              <w:spacing w:after="0"/>
              <w:rPr>
                <w:sz w:val="13"/>
                <w:szCs w:val="13"/>
                <w:color w:val="auto"/>
              </w:rPr>
            </w:pPr>
          </w:p>
        </w:tc>
        <w:tc>
          <w:tcPr>
            <w:tcW w:w="3680" w:type="dxa"/>
            <w:vAlign w:val="bottom"/>
            <w:tcBorders>
              <w:bottom w:val="single" w:sz="8" w:color="auto"/>
            </w:tcBorders>
          </w:tcPr>
          <w:p>
            <w:pPr>
              <w:spacing w:after="0"/>
              <w:rPr>
                <w:sz w:val="13"/>
                <w:szCs w:val="13"/>
                <w:color w:val="auto"/>
              </w:rPr>
            </w:pPr>
          </w:p>
        </w:tc>
      </w:tr>
      <w:tr>
        <w:trPr>
          <w:trHeight w:val="169"/>
        </w:trPr>
        <w:tc>
          <w:tcPr>
            <w:tcW w:w="1840" w:type="dxa"/>
            <w:vAlign w:val="bottom"/>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Long-Term Incentive</w:t>
            </w:r>
          </w:p>
        </w:tc>
        <w:tc>
          <w:tcPr>
            <w:tcW w:w="490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Variable equity compensation in the form of restricted stock units</w:t>
            </w:r>
          </w:p>
        </w:tc>
        <w:tc>
          <w:tcPr>
            <w:tcW w:w="368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Align an executive’s interest with that of</w:t>
            </w:r>
          </w:p>
        </w:tc>
      </w:tr>
      <w:tr>
        <w:trPr>
          <w:trHeight w:val="184"/>
        </w:trPr>
        <w:tc>
          <w:tcPr>
            <w:tcW w:w="184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49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(“RSUs”), which vest in annual installments over a period of</w:t>
            </w:r>
          </w:p>
        </w:tc>
        <w:tc>
          <w:tcPr>
            <w:tcW w:w="36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stockholders and motivate and reward profitable</w:t>
            </w:r>
          </w:p>
        </w:tc>
      </w:tr>
      <w:tr>
        <w:trPr>
          <w:trHeight w:val="180"/>
        </w:trPr>
        <w:tc>
          <w:tcPr>
            <w:tcW w:w="1840" w:type="dxa"/>
            <w:vAlign w:val="bottom"/>
          </w:tcPr>
          <w:p>
            <w:pPr>
              <w:spacing w:after="0"/>
              <w:rPr>
                <w:sz w:val="15"/>
                <w:szCs w:val="15"/>
                <w:color w:val="auto"/>
              </w:rPr>
            </w:pPr>
          </w:p>
        </w:tc>
        <w:tc>
          <w:tcPr>
            <w:tcW w:w="490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years. Pursuant to the Merger Agreement, which requires the</w:t>
            </w:r>
          </w:p>
        </w:tc>
        <w:tc>
          <w:tcPr>
            <w:tcW w:w="368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growth and increases in stock price over time.</w:t>
            </w:r>
          </w:p>
        </w:tc>
      </w:tr>
      <w:tr>
        <w:trPr>
          <w:trHeight w:val="176"/>
        </w:trPr>
        <w:tc>
          <w:tcPr>
            <w:tcW w:w="1840" w:type="dxa"/>
            <w:vAlign w:val="bottom"/>
          </w:tcPr>
          <w:p>
            <w:pPr>
              <w:spacing w:after="0"/>
              <w:rPr>
                <w:sz w:val="15"/>
                <w:szCs w:val="15"/>
                <w:color w:val="auto"/>
              </w:rPr>
            </w:pPr>
          </w:p>
        </w:tc>
        <w:tc>
          <w:tcPr>
            <w:tcW w:w="490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Company to award RSUs in lieu of performance stock units</w:t>
            </w:r>
          </w:p>
        </w:tc>
        <w:tc>
          <w:tcPr>
            <w:tcW w:w="3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Aid in attraction and retention of executive</w:t>
            </w:r>
          </w:p>
        </w:tc>
      </w:tr>
      <w:tr>
        <w:trPr>
          <w:trHeight w:val="184"/>
        </w:trPr>
        <w:tc>
          <w:tcPr>
            <w:tcW w:w="1840" w:type="dxa"/>
            <w:vAlign w:val="bottom"/>
          </w:tcPr>
          <w:p>
            <w:pPr>
              <w:spacing w:after="0"/>
              <w:rPr>
                <w:sz w:val="16"/>
                <w:szCs w:val="16"/>
                <w:color w:val="auto"/>
              </w:rPr>
            </w:pPr>
          </w:p>
        </w:tc>
        <w:tc>
          <w:tcPr>
            <w:tcW w:w="4900" w:type="dxa"/>
            <w:vAlign w:val="bottom"/>
          </w:tcPr>
          <w:p>
            <w:pPr>
              <w:ind w:left="80"/>
              <w:spacing w:after="0" w:line="184" w:lineRule="exact"/>
              <w:rPr>
                <w:sz w:val="20"/>
                <w:szCs w:val="20"/>
                <w:color w:val="auto"/>
              </w:rPr>
            </w:pPr>
            <w:r>
              <w:rPr>
                <w:rFonts w:ascii="Times New Roman" w:cs="Times New Roman" w:eastAsia="Times New Roman" w:hAnsi="Times New Roman"/>
                <w:sz w:val="18"/>
                <w:szCs w:val="18"/>
                <w:color w:val="auto"/>
              </w:rPr>
              <w:t>(“PSUs”) on going forward basis, the Company only granted</w:t>
            </w:r>
          </w:p>
        </w:tc>
        <w:tc>
          <w:tcPr>
            <w:tcW w:w="368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talent.</w:t>
            </w:r>
          </w:p>
        </w:tc>
      </w:tr>
      <w:tr>
        <w:trPr>
          <w:trHeight w:val="234"/>
        </w:trPr>
        <w:tc>
          <w:tcPr>
            <w:tcW w:w="1840" w:type="dxa"/>
            <w:vAlign w:val="bottom"/>
          </w:tcPr>
          <w:p>
            <w:pPr>
              <w:spacing w:after="0"/>
              <w:rPr>
                <w:sz w:val="20"/>
                <w:szCs w:val="20"/>
                <w:color w:val="auto"/>
              </w:rPr>
            </w:pPr>
          </w:p>
        </w:tc>
        <w:tc>
          <w:tcPr>
            <w:tcW w:w="4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RSUs during fiscal year 2025.</w:t>
            </w:r>
          </w:p>
        </w:tc>
        <w:tc>
          <w:tcPr>
            <w:tcW w:w="3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66179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sectPr>
      </w:pPr>
    </w:p>
    <w:p>
      <w:pPr>
        <w:spacing w:after="0" w:line="167" w:lineRule="exact"/>
        <w:rPr>
          <w:sz w:val="20"/>
          <w:szCs w:val="20"/>
          <w:color w:val="auto"/>
        </w:rPr>
      </w:pPr>
    </w:p>
    <w:p>
      <w:pPr>
        <w:ind w:left="1920" w:hanging="1795"/>
        <w:spacing w:after="0" w:line="222" w:lineRule="auto"/>
        <w:tabs>
          <w:tab w:leader="none" w:pos="1900" w:val="left"/>
        </w:tabs>
        <w:rPr>
          <w:sz w:val="20"/>
          <w:szCs w:val="20"/>
          <w:color w:val="auto"/>
        </w:rPr>
      </w:pPr>
      <w:r>
        <w:rPr>
          <w:rFonts w:ascii="Times New Roman" w:cs="Times New Roman" w:eastAsia="Times New Roman" w:hAnsi="Times New Roman"/>
          <w:sz w:val="18"/>
          <w:szCs w:val="18"/>
          <w:b w:val="1"/>
          <w:bCs w:val="1"/>
          <w:color w:val="auto"/>
        </w:rPr>
        <w:t>Other Compensation</w:t>
      </w:r>
      <w:r>
        <w:rPr>
          <w:sz w:val="20"/>
          <w:szCs w:val="20"/>
          <w:color w:val="auto"/>
        </w:rPr>
        <w:tab/>
      </w:r>
      <w:r>
        <w:rPr>
          <w:rFonts w:ascii="Times New Roman" w:cs="Times New Roman" w:eastAsia="Times New Roman" w:hAnsi="Times New Roman"/>
          <w:sz w:val="18"/>
          <w:szCs w:val="18"/>
          <w:color w:val="auto"/>
        </w:rPr>
        <w:t>Indirect compensation elements consisting of programs such as medical, dental and vision insurance, a 401(k) plan, life and</w:t>
      </w:r>
    </w:p>
    <w:p>
      <w:pPr>
        <w:spacing w:after="0" w:line="6" w:lineRule="exact"/>
        <w:rPr>
          <w:sz w:val="20"/>
          <w:szCs w:val="20"/>
          <w:color w:val="auto"/>
        </w:rPr>
      </w:pPr>
    </w:p>
    <w:p>
      <w:pPr>
        <w:ind w:left="1920"/>
        <w:spacing w:after="0" w:line="226" w:lineRule="auto"/>
        <w:rPr>
          <w:sz w:val="20"/>
          <w:szCs w:val="20"/>
          <w:color w:val="auto"/>
        </w:rPr>
      </w:pPr>
      <w:r>
        <w:rPr>
          <w:rFonts w:ascii="Times New Roman" w:cs="Times New Roman" w:eastAsia="Times New Roman" w:hAnsi="Times New Roman"/>
          <w:sz w:val="18"/>
          <w:szCs w:val="18"/>
          <w:color w:val="auto"/>
        </w:rPr>
        <w:t>disability insurance, flexible spending accounts and other plans and programs made available to eligible employees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860"/>
        <w:spacing w:after="0" w:line="236" w:lineRule="auto"/>
        <w:rPr>
          <w:sz w:val="20"/>
          <w:szCs w:val="20"/>
          <w:color w:val="auto"/>
        </w:rPr>
      </w:pPr>
      <w:r>
        <w:rPr>
          <w:rFonts w:ascii="Times New Roman" w:cs="Times New Roman" w:eastAsia="Times New Roman" w:hAnsi="Times New Roman"/>
          <w:sz w:val="17"/>
          <w:szCs w:val="17"/>
          <w:color w:val="auto"/>
        </w:rPr>
        <w:t>Provide benefits that promote employee health and welfare, wellness and retirement income and</w:t>
      </w:r>
    </w:p>
    <w:p>
      <w:pPr>
        <w:jc w:val="both"/>
        <w:ind w:right="1000"/>
        <w:spacing w:after="0" w:line="218" w:lineRule="auto"/>
        <w:rPr>
          <w:sz w:val="20"/>
          <w:szCs w:val="20"/>
          <w:color w:val="auto"/>
        </w:rPr>
      </w:pPr>
      <w:r>
        <w:rPr>
          <w:rFonts w:ascii="Times New Roman" w:cs="Times New Roman" w:eastAsia="Times New Roman" w:hAnsi="Times New Roman"/>
          <w:sz w:val="18"/>
          <w:szCs w:val="18"/>
          <w:color w:val="auto"/>
        </w:rPr>
        <w:t>learning and development opportunities, which assist in attracting and retaining our executive officers.</w:t>
      </w:r>
    </w:p>
    <w:p>
      <w:pPr>
        <w:spacing w:after="0" w:line="200" w:lineRule="exact"/>
        <w:rPr>
          <w:sz w:val="20"/>
          <w:szCs w:val="20"/>
          <w:color w:val="auto"/>
        </w:rPr>
      </w:pPr>
    </w:p>
    <w:p>
      <w:pPr>
        <w:sectPr>
          <w:pgSz w:w="11900" w:h="16838" w:orient="portrait"/>
          <w:cols w:equalWidth="0" w:num="2">
            <w:col w:w="6480" w:space="360"/>
            <w:col w:w="4380"/>
          </w:cols>
          <w:pgMar w:left="320" w:top="1431" w:right="359" w:bottom="1440" w:gutter="0" w:footer="0" w:header="0"/>
          <w:type w:val="continuous"/>
        </w:sectPr>
      </w:pPr>
    </w:p>
    <w:p>
      <w:pPr>
        <w:spacing w:after="0" w:line="282"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w:t>
      </w:r>
    </w:p>
    <w:p>
      <w:pPr>
        <w:spacing w:after="0" w:line="11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determining compensation for our NEOs, our Compensation Committee, with recommendations from our management, considers many variables, including each executive’s respective experience. While not formulaic or exhaustive, the variables considered in the past include:</w:t>
      </w:r>
    </w:p>
    <w:p>
      <w:pPr>
        <w:spacing w:after="0" w:line="94"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knowledge, and performance of the executive officer in question;</w:t>
      </w:r>
    </w:p>
    <w:p>
      <w:pPr>
        <w:spacing w:after="0" w:line="2" w:lineRule="exact"/>
        <w:rPr>
          <w:rFonts w:ascii="Times New Roman" w:cs="Times New Roman" w:eastAsia="Times New Roman" w:hAnsi="Times New Roman"/>
          <w:sz w:val="18"/>
          <w:szCs w:val="18"/>
          <w:color w:val="auto"/>
        </w:rPr>
      </w:pPr>
    </w:p>
    <w:p>
      <w:pPr>
        <w:ind w:left="1300" w:hanging="644"/>
        <w:spacing w:after="0" w:line="203"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market for similar executive talent;</w:t>
      </w:r>
    </w:p>
    <w:p>
      <w:pPr>
        <w:ind w:left="1300" w:hanging="644"/>
        <w:spacing w:after="0" w:line="203"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critical the retention of any particular executive is to achieving the Company’s strategic goals;</w:t>
      </w:r>
    </w:p>
    <w:p>
      <w:pPr>
        <w:ind w:left="1300" w:hanging="644"/>
        <w:spacing w:after="0" w:line="219"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 against internal performance targets;</w:t>
      </w:r>
    </w:p>
    <w:p>
      <w:pPr>
        <w:ind w:left="1300" w:hanging="644"/>
        <w:spacing w:after="0" w:line="203"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an executive works across business teams to promote overall corporate goals;</w:t>
      </w:r>
    </w:p>
    <w:p>
      <w:pPr>
        <w:ind w:left="1300" w:hanging="644"/>
        <w:spacing w:after="0" w:line="203"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potential contributions of the executive; and</w:t>
      </w: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pre-existing employment agreements between the Company and an executive officer.</w:t>
      </w:r>
    </w:p>
    <w:p>
      <w:pPr>
        <w:spacing w:after="0" w:line="13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Based on this analysis, the Compensation Committee makes determinations as to each element of the compensation package, weighing each component in its discretion based on the facts and circumstances surrounding each NEO’s employment agreement or annual review. We believe that our compensation mix supports our objective of focusing on at-risk compensation having significant financial upside based on company and individual performance.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the base salaries for our named executive officers during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1" w:right="359" w:bottom="1440" w:gutter="0" w:footer="0" w:header="0"/>
          <w:type w:val="continuous"/>
        </w:sectPr>
      </w:pPr>
    </w:p>
    <w:bookmarkStart w:id="11" w:name="page12"/>
    <w:bookmarkEnd w:id="1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674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Fiscal 2025 Base Salary</w:t>
            </w:r>
          </w:p>
        </w:tc>
        <w:tc>
          <w:tcPr>
            <w:tcW w:w="0" w:type="dxa"/>
            <w:vAlign w:val="bottom"/>
          </w:tcPr>
          <w:p>
            <w:pPr>
              <w:spacing w:after="0"/>
              <w:rPr>
                <w:sz w:val="1"/>
                <w:szCs w:val="1"/>
                <w:color w:val="auto"/>
              </w:rPr>
            </w:pPr>
          </w:p>
        </w:tc>
      </w:tr>
      <w:tr>
        <w:trPr>
          <w:trHeight w:val="162"/>
        </w:trPr>
        <w:tc>
          <w:tcPr>
            <w:tcW w:w="368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Jonathan Oringer</w:t>
            </w:r>
          </w:p>
        </w:tc>
        <w:tc>
          <w:tcPr>
            <w:tcW w:w="6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6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$700,000</w:t>
            </w:r>
          </w:p>
        </w:tc>
        <w:tc>
          <w:tcPr>
            <w:tcW w:w="0" w:type="dxa"/>
            <w:vAlign w:val="bottom"/>
          </w:tcPr>
          <w:p>
            <w:pPr>
              <w:spacing w:after="0"/>
              <w:rPr>
                <w:sz w:val="1"/>
                <w:szCs w:val="1"/>
                <w:color w:val="auto"/>
              </w:rPr>
            </w:pPr>
          </w:p>
        </w:tc>
      </w:tr>
      <w:tr>
        <w:trPr>
          <w:trHeight w:val="270"/>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Rikki Powell</w:t>
            </w:r>
          </w:p>
        </w:tc>
        <w:tc>
          <w:tcPr>
            <w:tcW w:w="674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$550,000</w:t>
            </w:r>
          </w:p>
        </w:tc>
        <w:tc>
          <w:tcPr>
            <w:tcW w:w="0" w:type="dxa"/>
            <w:vAlign w:val="bottom"/>
          </w:tcPr>
          <w:p>
            <w:pPr>
              <w:spacing w:after="0"/>
              <w:rPr>
                <w:sz w:val="1"/>
                <w:szCs w:val="1"/>
                <w:color w:val="auto"/>
              </w:rPr>
            </w:pPr>
          </w:p>
        </w:tc>
      </w:tr>
      <w:tr>
        <w:trPr>
          <w:trHeight w:val="339"/>
        </w:trPr>
        <w:tc>
          <w:tcPr>
            <w:tcW w:w="3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Matthew Furlong</w:t>
            </w:r>
            <w:r>
              <w:rPr>
                <w:rFonts w:ascii="Times New Roman" w:cs="Times New Roman" w:eastAsia="Times New Roman" w:hAnsi="Times New Roman"/>
                <w:sz w:val="23"/>
                <w:szCs w:val="23"/>
                <w:b w:val="1"/>
                <w:bCs w:val="1"/>
                <w:color w:val="auto"/>
                <w:vertAlign w:val="superscript"/>
              </w:rPr>
              <w:t>(1)</w:t>
            </w:r>
          </w:p>
        </w:tc>
        <w:tc>
          <w:tcPr>
            <w:tcW w:w="674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93"/>
        </w:trPr>
        <w:tc>
          <w:tcPr>
            <w:tcW w:w="3680" w:type="dxa"/>
            <w:vAlign w:val="bottom"/>
          </w:tcPr>
          <w:p>
            <w:pPr>
              <w:spacing w:after="0"/>
              <w:rPr>
                <w:sz w:val="8"/>
                <w:szCs w:val="8"/>
                <w:color w:val="auto"/>
              </w:rPr>
            </w:pPr>
          </w:p>
        </w:tc>
        <w:tc>
          <w:tcPr>
            <w:tcW w:w="6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Mr.Furlong received a prorated portion of this base salary reflecting his service during fiscal year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Incentives</w:t>
      </w:r>
    </w:p>
    <w:p>
      <w:pPr>
        <w:spacing w:after="0" w:line="14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general, annual cash bonuses for our NEOs, other than Mr. Oringer, and other key employees are determined by our Compensation Committee on an annual basis. The annual cash incentive is an “at risk” bonus compensation program designed to foster a performance-oriented culture, where individual performance is aligned with the Company’s financial and business objectives.</w:t>
      </w:r>
    </w:p>
    <w:p>
      <w:pPr>
        <w:spacing w:after="0" w:line="12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set the target incentive compensation for fiscal 2025 for each of our NEOs, other than Mr. Oringer, as a percentage of the NEO’s base salary as set forth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40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b w:val="1"/>
                <w:bCs w:val="1"/>
                <w:color w:val="auto"/>
              </w:rPr>
              <w:t>% of Base Salary Fiscal 2025</w:t>
            </w:r>
          </w:p>
        </w:tc>
        <w:tc>
          <w:tcPr>
            <w:tcW w:w="3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Target Incentive Compensation</w:t>
            </w:r>
          </w:p>
        </w:tc>
        <w:tc>
          <w:tcPr>
            <w:tcW w:w="0" w:type="dxa"/>
            <w:vAlign w:val="bottom"/>
          </w:tcPr>
          <w:p>
            <w:pPr>
              <w:spacing w:after="0"/>
              <w:rPr>
                <w:sz w:val="1"/>
                <w:szCs w:val="1"/>
                <w:color w:val="auto"/>
              </w:rPr>
            </w:pPr>
          </w:p>
        </w:tc>
      </w:tr>
      <w:tr>
        <w:trPr>
          <w:trHeight w:val="155"/>
        </w:trPr>
        <w:tc>
          <w:tcPr>
            <w:tcW w:w="264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vMerge w:val="continue"/>
          </w:tcPr>
          <w:p>
            <w:pPr>
              <w:spacing w:after="0"/>
              <w:rPr>
                <w:sz w:val="13"/>
                <w:szCs w:val="13"/>
                <w:color w:val="auto"/>
              </w:rPr>
            </w:pPr>
          </w:p>
        </w:tc>
        <w:tc>
          <w:tcPr>
            <w:tcW w:w="3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40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100%</w:t>
            </w:r>
          </w:p>
        </w:tc>
        <w:tc>
          <w:tcPr>
            <w:tcW w:w="3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$700,000</w:t>
            </w:r>
          </w:p>
        </w:tc>
        <w:tc>
          <w:tcPr>
            <w:tcW w:w="0" w:type="dxa"/>
            <w:vAlign w:val="bottom"/>
          </w:tcPr>
          <w:p>
            <w:pPr>
              <w:spacing w:after="0"/>
              <w:rPr>
                <w:sz w:val="1"/>
                <w:szCs w:val="1"/>
                <w:color w:val="auto"/>
              </w:rPr>
            </w:pPr>
          </w:p>
        </w:tc>
      </w:tr>
      <w:tr>
        <w:trPr>
          <w:trHeight w:val="130"/>
        </w:trPr>
        <w:tc>
          <w:tcPr>
            <w:tcW w:w="2640" w:type="dxa"/>
            <w:vAlign w:val="bottom"/>
            <w:vMerge w:val="continue"/>
          </w:tcPr>
          <w:p>
            <w:pPr>
              <w:spacing w:after="0"/>
              <w:rPr>
                <w:sz w:val="11"/>
                <w:szCs w:val="11"/>
                <w:color w:val="auto"/>
              </w:rPr>
            </w:pPr>
          </w:p>
        </w:tc>
        <w:tc>
          <w:tcPr>
            <w:tcW w:w="408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6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Rikki Powell</w:t>
            </w: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70%</w:t>
            </w:r>
          </w:p>
        </w:tc>
        <w:tc>
          <w:tcPr>
            <w:tcW w:w="3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$385,000</w:t>
            </w:r>
          </w:p>
        </w:tc>
        <w:tc>
          <w:tcPr>
            <w:tcW w:w="0" w:type="dxa"/>
            <w:vAlign w:val="bottom"/>
          </w:tcPr>
          <w:p>
            <w:pPr>
              <w:spacing w:after="0"/>
              <w:rPr>
                <w:sz w:val="1"/>
                <w:szCs w:val="1"/>
                <w:color w:val="auto"/>
              </w:rPr>
            </w:pPr>
          </w:p>
        </w:tc>
      </w:tr>
      <w:tr>
        <w:trPr>
          <w:trHeight w:val="162"/>
        </w:trPr>
        <w:tc>
          <w:tcPr>
            <w:tcW w:w="2640" w:type="dxa"/>
            <w:vAlign w:val="bottom"/>
            <w:vMerge w:val="continue"/>
          </w:tcPr>
          <w:p>
            <w:pPr>
              <w:spacing w:after="0"/>
              <w:rPr>
                <w:sz w:val="14"/>
                <w:szCs w:val="14"/>
                <w:color w:val="auto"/>
              </w:rPr>
            </w:pPr>
          </w:p>
        </w:tc>
        <w:tc>
          <w:tcPr>
            <w:tcW w:w="4080" w:type="dxa"/>
            <w:vAlign w:val="bottom"/>
          </w:tcPr>
          <w:p>
            <w:pPr>
              <w:spacing w:after="0"/>
              <w:rPr>
                <w:sz w:val="14"/>
                <w:szCs w:val="14"/>
                <w:color w:val="auto"/>
              </w:rPr>
            </w:pPr>
          </w:p>
        </w:tc>
        <w:tc>
          <w:tcPr>
            <w:tcW w:w="3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2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Matthew Furlong</w:t>
            </w:r>
            <w:r>
              <w:rPr>
                <w:rFonts w:ascii="Times New Roman" w:cs="Times New Roman" w:eastAsia="Times New Roman" w:hAnsi="Times New Roman"/>
                <w:sz w:val="23"/>
                <w:szCs w:val="23"/>
                <w:b w:val="1"/>
                <w:bCs w:val="1"/>
                <w:color w:val="auto"/>
                <w:vertAlign w:val="superscript"/>
              </w:rPr>
              <w:t>(1)</w:t>
            </w:r>
          </w:p>
        </w:tc>
        <w:tc>
          <w:tcPr>
            <w:tcW w:w="40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60%</w:t>
            </w:r>
          </w:p>
        </w:tc>
        <w:tc>
          <w:tcPr>
            <w:tcW w:w="37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7"/>
              </w:rPr>
              <w:t>$300,000</w:t>
            </w:r>
          </w:p>
        </w:tc>
        <w:tc>
          <w:tcPr>
            <w:tcW w:w="0" w:type="dxa"/>
            <w:vAlign w:val="bottom"/>
          </w:tcPr>
          <w:p>
            <w:pPr>
              <w:spacing w:after="0"/>
              <w:rPr>
                <w:sz w:val="1"/>
                <w:szCs w:val="1"/>
                <w:color w:val="auto"/>
              </w:rPr>
            </w:pPr>
          </w:p>
        </w:tc>
      </w:tr>
      <w:tr>
        <w:trPr>
          <w:trHeight w:val="80"/>
        </w:trPr>
        <w:tc>
          <w:tcPr>
            <w:tcW w:w="2640" w:type="dxa"/>
            <w:vAlign w:val="bottom"/>
          </w:tcPr>
          <w:p>
            <w:pPr>
              <w:spacing w:after="0"/>
              <w:rPr>
                <w:sz w:val="6"/>
                <w:szCs w:val="6"/>
                <w:color w:val="auto"/>
              </w:rPr>
            </w:pPr>
          </w:p>
        </w:tc>
        <w:tc>
          <w:tcPr>
            <w:tcW w:w="408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firstLine="8"/>
        <w:spacing w:after="0" w:line="242" w:lineRule="auto"/>
        <w:tabs>
          <w:tab w:leader="none" w:pos="181" w:val="left"/>
        </w:tabs>
        <w:numPr>
          <w:ilvl w:val="0"/>
          <w:numId w:val="8"/>
        </w:numPr>
        <w:rPr>
          <w:rFonts w:ascii="Times New Roman" w:cs="Times New Roman" w:eastAsia="Times New Roman" w:hAnsi="Times New Roman"/>
          <w:sz w:val="22"/>
          <w:szCs w:val="22"/>
          <w:b w:val="1"/>
          <w:bCs w:val="1"/>
          <w:color w:val="auto"/>
          <w:vertAlign w:val="superscript"/>
        </w:rPr>
      </w:pPr>
      <w:r>
        <w:rPr>
          <w:rFonts w:ascii="Times New Roman" w:cs="Times New Roman" w:eastAsia="Times New Roman" w:hAnsi="Times New Roman"/>
          <w:sz w:val="17"/>
          <w:szCs w:val="17"/>
          <w:color w:val="auto"/>
        </w:rPr>
        <w:t>Mr.Furlong’s Employment agreement entitled him to a full-year 2025 bonus, however, pursuant to the terms of the Furlong Employment Agreement, his bonus was forfeited with his resignation.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Goals</w:t>
      </w:r>
    </w:p>
    <w:p>
      <w:pPr>
        <w:spacing w:after="0" w:line="146" w:lineRule="exact"/>
        <w:rPr>
          <w:sz w:val="20"/>
          <w:szCs w:val="20"/>
          <w:color w:val="auto"/>
        </w:rPr>
      </w:pPr>
    </w:p>
    <w:p>
      <w:pPr>
        <w:ind w:right="60" w:firstLine="648"/>
        <w:spacing w:after="0" w:line="276" w:lineRule="auto"/>
        <w:rPr>
          <w:sz w:val="20"/>
          <w:szCs w:val="20"/>
          <w:color w:val="auto"/>
        </w:rPr>
      </w:pPr>
      <w:r>
        <w:rPr>
          <w:rFonts w:ascii="Times New Roman" w:cs="Times New Roman" w:eastAsia="Times New Roman" w:hAnsi="Times New Roman"/>
          <w:sz w:val="17"/>
          <w:szCs w:val="17"/>
          <w:color w:val="auto"/>
        </w:rPr>
        <w:t>Our annual cash incentive is designed to reward our executive officers based on achievement of pre-established Company performance goals and the individual contribution of each executive to that performance. Specifically, in 2025, the Company performance metrics were based on achievement of</w:t>
      </w:r>
    </w:p>
    <w:p>
      <w:pPr>
        <w:spacing w:after="0" w:line="1" w:lineRule="exact"/>
        <w:rPr>
          <w:sz w:val="20"/>
          <w:szCs w:val="20"/>
          <w:color w:val="auto"/>
        </w:rPr>
      </w:pPr>
    </w:p>
    <w:p>
      <w:pPr>
        <w:ind w:right="20" w:firstLine="8"/>
        <w:spacing w:after="0" w:line="255"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 (ii) adjusted EBITDA, with a relative weighting of 50% and 50% for each metric. In addition, the Compensation Committee has discretion to increase or decrease the bonuses that otherwise would be paid as annual cash incentive based on an individual executive officer’s actual performance versus the Company’s specified goals.</w:t>
      </w:r>
    </w:p>
    <w:p>
      <w:pPr>
        <w:spacing w:after="0" w:line="13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Compensation Committee chose the revenue and adjusted EBITDA measures with the belief that they motivate our executives to drive Company growth and profitability. To reflect performance above or below targets, achievement of the revenue and adjusted EBITDA goals are measured against sliding scales that provide for annual incentive bonus payouts greater than the target bonus if results are greater than target or less than the target bonus if results are lower than the target. For 2025, our specific financial targets are shown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82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Financial Targets for 2025 Annual Incentive Bonus Payouts</w:t>
            </w:r>
          </w:p>
        </w:tc>
      </w:tr>
      <w:tr>
        <w:trPr>
          <w:trHeight w:val="162"/>
        </w:trPr>
        <w:tc>
          <w:tcPr>
            <w:tcW w:w="2200" w:type="dxa"/>
            <w:vAlign w:val="bottom"/>
            <w:tcBorders>
              <w:bottom w:val="single" w:sz="8" w:color="auto"/>
            </w:tcBorders>
          </w:tcPr>
          <w:p>
            <w:pPr>
              <w:spacing w:after="0"/>
              <w:rPr>
                <w:sz w:val="14"/>
                <w:szCs w:val="14"/>
                <w:color w:val="auto"/>
              </w:rPr>
            </w:pPr>
          </w:p>
        </w:tc>
        <w:tc>
          <w:tcPr>
            <w:tcW w:w="8220" w:type="dxa"/>
            <w:vAlign w:val="bottom"/>
            <w:tcBorders>
              <w:bottom w:val="single" w:sz="8" w:color="auto"/>
            </w:tcBorders>
          </w:tcPr>
          <w:p>
            <w:pPr>
              <w:spacing w:after="0"/>
              <w:rPr>
                <w:sz w:val="14"/>
                <w:szCs w:val="14"/>
                <w:color w:val="auto"/>
              </w:rPr>
            </w:pPr>
          </w:p>
        </w:tc>
      </w:tr>
      <w:tr>
        <w:trPr>
          <w:trHeight w:val="228"/>
        </w:trPr>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82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$1,051.2 million</w:t>
            </w:r>
          </w:p>
        </w:tc>
      </w:tr>
      <w:tr>
        <w:trPr>
          <w:trHeight w:val="387"/>
        </w:trPr>
        <w:tc>
          <w:tcPr>
            <w:tcW w:w="2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EBITDA</w:t>
            </w:r>
          </w:p>
        </w:tc>
        <w:tc>
          <w:tcPr>
            <w:tcW w:w="822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$279.7 million</w:t>
            </w:r>
          </w:p>
        </w:tc>
      </w:tr>
    </w:tbl>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Payout percentages resulting from achievement of revenue relative to the established target range from no payout for achievement under 93% of the established target to 140% payout for achievement at 110% or more of the target level, with 100% payout occurring at achievement at 100% of target. Similarly, the payout percentages resulting from achievement of Adjusted EBITDA relative to the established target range from no payout for achievement under 88% of the established target to 120% for achievement at 110% or more of the target level, with 100% payout occurring at achievement of 100% of target.</w:t>
      </w:r>
    </w:p>
    <w:p>
      <w:pPr>
        <w:spacing w:after="0" w:line="1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January 2026, the Compensation Committee reviewed actual results for 2025 with respect to revenue and adjusted EBITDA, which may be adjusted for extraordinary and/or non-recurring circumstances as deemed necessary by the Compensation</w:t>
      </w:r>
    </w:p>
    <w:p>
      <w:pPr>
        <w:sectPr>
          <w:pgSz w:w="11900" w:h="16838" w:orient="portrait"/>
          <w:cols w:equalWidth="0" w:num="1">
            <w:col w:w="11160"/>
          </w:cols>
          <w:pgMar w:left="320" w:top="1440" w:right="41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132" w:gutter="0" w:footer="0" w:header="0"/>
          <w:type w:val="continuous"/>
        </w:sectPr>
      </w:pPr>
    </w:p>
    <w:bookmarkStart w:id="12" w:name="page13"/>
    <w:bookmarkEnd w:id="12"/>
    <w:p>
      <w:pPr>
        <w:ind w:right="220"/>
        <w:spacing w:after="0" w:line="282" w:lineRule="auto"/>
        <w:rPr>
          <w:sz w:val="20"/>
          <w:szCs w:val="20"/>
          <w:color w:val="auto"/>
        </w:rPr>
      </w:pPr>
      <w:r>
        <w:rPr>
          <w:rFonts w:ascii="Times New Roman" w:cs="Times New Roman" w:eastAsia="Times New Roman" w:hAnsi="Times New Roman"/>
          <w:sz w:val="18"/>
          <w:szCs w:val="18"/>
          <w:color w:val="auto"/>
        </w:rPr>
        <w:t>Committee for payout percentage purposes, and the Compensation Committee determined that the Company achieved the following financial results and payout percentages:</w:t>
      </w:r>
    </w:p>
    <w:p>
      <w:pPr>
        <w:spacing w:after="0" w:line="143" w:lineRule="exact"/>
        <w:rPr>
          <w:sz w:val="20"/>
          <w:szCs w:val="20"/>
          <w:color w:val="auto"/>
        </w:rPr>
      </w:pPr>
    </w:p>
    <w:tbl>
      <w:tblPr>
        <w:tblLayout w:type="fixed"/>
        <w:tblInd w:w="80" w:type="dxa"/>
        <w:tblCellMar>
          <w:top w:w="0" w:type="dxa"/>
          <w:left w:w="0" w:type="dxa"/>
          <w:bottom w:w="0" w:type="dxa"/>
          <w:right w:w="0" w:type="dxa"/>
        </w:tblCellMar>
      </w:tblPr>
      <w:tr>
        <w:trPr>
          <w:trHeight w:val="308"/>
        </w:trPr>
        <w:tc>
          <w:tcPr>
            <w:tcW w:w="3420" w:type="dxa"/>
            <w:vAlign w:val="bottom"/>
          </w:tcPr>
          <w:p>
            <w:pPr>
              <w:spacing w:after="0"/>
              <w:rPr>
                <w:sz w:val="24"/>
                <w:szCs w:val="24"/>
                <w:color w:val="auto"/>
              </w:rPr>
            </w:pPr>
          </w:p>
        </w:tc>
        <w:tc>
          <w:tcPr>
            <w:tcW w:w="324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93"/>
        </w:trPr>
        <w:tc>
          <w:tcPr>
            <w:tcW w:w="3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Target (millions)</w:t>
            </w:r>
          </w:p>
        </w:tc>
        <w:tc>
          <w:tcPr>
            <w:tcW w:w="324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420" w:type="dxa"/>
            <w:vAlign w:val="bottom"/>
            <w:vMerge w:val="continue"/>
          </w:tcPr>
          <w:p>
            <w:pPr>
              <w:spacing w:after="0"/>
              <w:rPr>
                <w:sz w:val="20"/>
                <w:szCs w:val="20"/>
                <w:color w:val="auto"/>
              </w:rPr>
            </w:pP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$1,051.2</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$279.7</w:t>
            </w:r>
          </w:p>
        </w:tc>
        <w:tc>
          <w:tcPr>
            <w:tcW w:w="0" w:type="dxa"/>
            <w:vAlign w:val="bottom"/>
          </w:tcPr>
          <w:p>
            <w:pPr>
              <w:spacing w:after="0"/>
              <w:rPr>
                <w:sz w:val="1"/>
                <w:szCs w:val="1"/>
                <w:color w:val="auto"/>
              </w:rPr>
            </w:pPr>
          </w:p>
        </w:tc>
      </w:tr>
      <w:tr>
        <w:trPr>
          <w:trHeight w:val="30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2025 Results (millions)</w:t>
            </w:r>
            <w:r>
              <w:rPr>
                <w:rFonts w:ascii="Times New Roman" w:cs="Times New Roman" w:eastAsia="Times New Roman" w:hAnsi="Times New Roman"/>
                <w:sz w:val="23"/>
                <w:szCs w:val="23"/>
                <w:color w:val="auto"/>
                <w:vertAlign w:val="superscript"/>
              </w:rPr>
              <w:t>(1)</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$976.6</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Target Achieved</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92.9%</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93.8%</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Payout Percentage</w:t>
            </w:r>
          </w:p>
        </w:tc>
        <w:tc>
          <w:tcPr>
            <w:tcW w:w="324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71.6%</w:t>
            </w:r>
          </w:p>
        </w:tc>
        <w:tc>
          <w:tcPr>
            <w:tcW w:w="3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87.7%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652"/>
        <w:spacing w:after="0" w:line="263"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Annex A for a reconciliation of our non-GAAP to GAAP financial measures. As shown on Annex A, these results for purposes of our annual cash incentive award calculation were adjusted to remove the impact of acquisition activity and are presented on a constant currency basis.</w:t>
      </w:r>
    </w:p>
    <w:p>
      <w:pPr>
        <w:spacing w:after="0" w:line="21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Individual bonus payments are based on a formula determined by taking each person’s base annual compensation, multiplied by the individual’s target bonus percentage, multiplied by the Company achievement score expressed as a percentage. Bonus amounts paid can then be increased or decreased, regardless of that person’s target bonus or specific corporate performance metrics, based on individual performance or other considerations, in the discretion of the Compensation Committee. Based on the level of performance achievement described above, the payout percentage was 79.6%.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Payout based on</w:t>
            </w:r>
          </w:p>
        </w:tc>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Discretionary %</w:t>
            </w: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Target Payout</w:t>
            </w:r>
          </w:p>
        </w:tc>
        <w:tc>
          <w:tcPr>
            <w:tcW w:w="2280" w:type="dxa"/>
            <w:vAlign w:val="bottom"/>
          </w:tcPr>
          <w:p>
            <w:pPr>
              <w:jc w:val="center"/>
              <w:ind w:lef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Company Achievement</w:t>
            </w:r>
          </w:p>
        </w:tc>
        <w:tc>
          <w:tcPr>
            <w:tcW w:w="222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Increase/ (Decrease)in</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Actual Payout</w:t>
            </w:r>
          </w:p>
        </w:tc>
        <w:tc>
          <w:tcPr>
            <w:tcW w:w="0" w:type="dxa"/>
            <w:vAlign w:val="bottom"/>
          </w:tcPr>
          <w:p>
            <w:pPr>
              <w:spacing w:after="0"/>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2280" w:type="dxa"/>
            <w:vAlign w:val="bottom"/>
          </w:tcPr>
          <w:p>
            <w:pPr>
              <w:jc w:val="center"/>
              <w:ind w:lef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Score</w:t>
            </w:r>
          </w:p>
        </w:tc>
        <w:tc>
          <w:tcPr>
            <w:tcW w:w="22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Payout</w:t>
            </w: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w:t>
            </w:r>
          </w:p>
        </w:tc>
        <w:tc>
          <w:tcPr>
            <w:tcW w:w="2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0" w:type="dxa"/>
            <w:vAlign w:val="bottom"/>
          </w:tcPr>
          <w:p>
            <w:pPr>
              <w:spacing w:after="0"/>
              <w:rPr>
                <w:sz w:val="1"/>
                <w:szCs w:val="1"/>
                <w:color w:val="auto"/>
              </w:rPr>
            </w:pPr>
          </w:p>
        </w:tc>
      </w:tr>
      <w:tr>
        <w:trPr>
          <w:trHeight w:val="237"/>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700,000</w:t>
            </w:r>
          </w:p>
        </w:tc>
        <w:tc>
          <w:tcPr>
            <w:tcW w:w="2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557,200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(2.51)%</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543,200</w:t>
            </w:r>
          </w:p>
        </w:tc>
        <w:tc>
          <w:tcPr>
            <w:tcW w:w="0" w:type="dxa"/>
            <w:vAlign w:val="bottom"/>
          </w:tcPr>
          <w:p>
            <w:pPr>
              <w:spacing w:after="0"/>
              <w:rPr>
                <w:sz w:val="1"/>
                <w:szCs w:val="1"/>
                <w:color w:val="auto"/>
              </w:rPr>
            </w:pPr>
          </w:p>
        </w:tc>
      </w:tr>
      <w:tr>
        <w:trPr>
          <w:trHeight w:val="270"/>
        </w:trPr>
        <w:tc>
          <w:tcPr>
            <w:tcW w:w="2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Rikki Powell</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385,000</w:t>
            </w:r>
          </w:p>
        </w:tc>
        <w:tc>
          <w:tcPr>
            <w:tcW w:w="22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306,460</w:t>
            </w:r>
          </w:p>
        </w:tc>
        <w:tc>
          <w:tcPr>
            <w:tcW w:w="222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6.18%</w:t>
            </w:r>
          </w:p>
        </w:tc>
        <w:tc>
          <w:tcPr>
            <w:tcW w:w="19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325,400</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Compensation</w:t>
      </w:r>
    </w:p>
    <w:p>
      <w:pPr>
        <w:spacing w:after="0" w:line="175" w:lineRule="exact"/>
        <w:rPr>
          <w:sz w:val="20"/>
          <w:szCs w:val="20"/>
          <w:color w:val="auto"/>
        </w:rPr>
      </w:pPr>
    </w:p>
    <w:p>
      <w:pPr>
        <w:ind w:right="140" w:firstLine="655"/>
        <w:spacing w:after="0" w:line="258" w:lineRule="auto"/>
        <w:rPr>
          <w:sz w:val="20"/>
          <w:szCs w:val="20"/>
          <w:color w:val="auto"/>
        </w:rPr>
      </w:pPr>
      <w:r>
        <w:rPr>
          <w:rFonts w:ascii="Times New Roman" w:cs="Times New Roman" w:eastAsia="Times New Roman" w:hAnsi="Times New Roman"/>
          <w:sz w:val="18"/>
          <w:szCs w:val="18"/>
          <w:color w:val="auto"/>
        </w:rPr>
        <w:t>Long-term incentives represent the primary component of compensation at the Company and are designed to reward participants the way stockholders are rewarded, through growth in the value of our Common Stock. Pursuant to the Merger Agreement, which requires the Company to award RSUs in lieu of PSUs on a going forward basis, the Company only granted RSUs to our NEOs during fiscal year 2025. Regardless of the form of award, the overarching purpose of our long-term incentive grants is to align executives’ interests with those of our stockholders, reward employees for enhancing stockholder value and attract and retain our executive officers.</w:t>
      </w:r>
    </w:p>
    <w:p>
      <w:pPr>
        <w:spacing w:after="0" w:line="1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determining the size of equity-based awards for existing executive officers, the Compensation Committee, upon recommendations of management,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management also considers the executive officer’s historic total compensation, including prior equity grants and exercise history, as well as the number and value of shares owned by the executive officer or which continue to be subject to vesting under outstanding equity grants previously made to such executive officer.</w:t>
      </w:r>
    </w:p>
    <w:p>
      <w:pPr>
        <w:spacing w:after="0" w:line="13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determining the size of equity-based awards for new hires, the Compensation Committee and, in certain instances the Chief Executive Officer, consider a variety of factors, including the compensation of similarly situated executive officers at the Company, the executive officer’s expected level of responsibility and expected contributions to the Company’s future success, and the compensation of similarly situated executive officers at selected peer companies. As the purpose of equity awards is to tie total compensation to long-term stockholder value, executive officers receive sizable stock-based awards at the time of hire to align their interests to reward long-term performance.</w:t>
      </w:r>
    </w:p>
    <w:p>
      <w:pPr>
        <w:spacing w:after="0" w:line="1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management develops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3" w:name="page14"/>
    <w:bookmarkEnd w:id="13"/>
    <w:p>
      <w:pPr>
        <w:ind w:right="240"/>
        <w:spacing w:after="0" w:line="438" w:lineRule="auto"/>
        <w:rPr>
          <w:sz w:val="20"/>
          <w:szCs w:val="20"/>
          <w:color w:val="auto"/>
        </w:rPr>
      </w:pPr>
      <w:r>
        <w:rPr>
          <w:rFonts w:ascii="Times New Roman" w:cs="Times New Roman" w:eastAsia="Times New Roman" w:hAnsi="Times New Roman"/>
          <w:sz w:val="18"/>
          <w:szCs w:val="18"/>
          <w:color w:val="auto"/>
        </w:rPr>
        <w:t xml:space="preserve">account the executive officer’s cash compensation and the estimated value of pre-existing stock-based compensation vesting in subsequent years, if any. </w:t>
      </w:r>
      <w:r>
        <w:rPr>
          <w:rFonts w:ascii="Times New Roman" w:cs="Times New Roman" w:eastAsia="Times New Roman" w:hAnsi="Times New Roman"/>
          <w:sz w:val="18"/>
          <w:szCs w:val="18"/>
          <w:i w:val="1"/>
          <w:iCs w:val="1"/>
          <w:color w:val="auto"/>
        </w:rPr>
        <w:t>Total Compensation Target</w:t>
      </w:r>
    </w:p>
    <w:p>
      <w:pPr>
        <w:spacing w:after="0" w:line="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this process, we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 For fiscal 2025, the total compensation target for each of the NEOs, other than Mr. Oringer, was: Paul Hennessy - $16,275,000 and Rikki Powell - $3,935,000 and Matt Furlong - $4,600,000.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4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Stock options are granted under the Shutterstock, Inc. 2022 Omnibus Equity Incentive Plan, as amended and restated (the “Amended and Restated 2022 Plan”) at an exercise price equal to the closing price of our Common Stock on the grant date. The number of options granted to an executive is determined based upon the Black-Scholes valuation on the grant date. We do not issue stock options with accelerated vesting features, except as specified in certain employment agreements.</w:t>
      </w:r>
    </w:p>
    <w:p>
      <w:pPr>
        <w:spacing w:after="0" w:line="12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Although we are required to recognize a charge for the value of an option when granted that might be disproportionate to the value received by the recipient upon exercise, we believe the granting of options is performance-based compensation and aligns the interests of recipients with those of stockholders because the recipient only realizes value if our Common Stock appreciates above the grant date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Under the Amended and Restated 2022 Plan, and for certain grants made in prior years under the Shutterstock, Inc. 2012 Omnibus Equity Incentive Plan (the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30 trading days period ending on the date immediately prior to the grant date. RSUs are granted to executive officers, including our NEOs, to serve primarily as a retention mechanism and to reward individual performance.</w:t>
      </w:r>
    </w:p>
    <w:p>
      <w:pPr>
        <w:spacing w:after="0" w:line="13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Stock option and RSU grants to our executive officers, including our NEOs, are currently structured to vest in equal installments over three years to balance the objective of retaining and incentivizing our executive officers, achieving key short-term deliverables with respect to our financial performance, and the long-term stability of the organization.</w:t>
      </w:r>
    </w:p>
    <w:p>
      <w:pPr>
        <w:spacing w:after="0" w:line="12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During 2025, Mr. Powell was granted 142,382 RSUs, which vest over a three-year period in approximately equal one-third increments on each anniversary of the grant date, subject to continued service with the Company through each vesting date.</w:t>
      </w:r>
    </w:p>
    <w:p>
      <w:pPr>
        <w:spacing w:after="0" w:line="108"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Mr. Hennessy was granted 162,544 RSUs that will vest in full on July 1, 2026 and 375,110 RSUs that will vest in full on July 1, 2027, subject to his continued service through the vesting date. The Compensation Committee and Board determined to approve Mr. Hennessy’s awards in fiscal 2025 in order to incentivize Mr. Hennessy’s continued service and performance for the Company and to promote his retention for an additional period of service through the anticipated closing of the Merger and these RSUs were granted in lieu of PSUs in accordance with the Merger Agreement. Mr. Hennessy’s awards in fiscal 2025 were also designed to recognize his significant contributions to the Company and the importance of his continued service for the Company, while aligning his pay with Company performance and stockholder value.</w:t>
      </w:r>
    </w:p>
    <w:p>
      <w:pPr>
        <w:spacing w:after="0" w:line="13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Mr. Furlong was granted 30,235 RSUs when he joined the Company in January 2025 to vest over a three-year period in approximately equal one-third increments in January 2026, 2027 &amp; 2028, subject to continued service with the Company through each vesting date. Pursuant to the Merger Agreement, which requires the Company to award RSUs in lieu of PSUs on going forward basis, 135,263 RSUs were granted on April 1, 2025 in lieu of the PSUs called for in the Furlong Employment Agreement. This grant was scheduled to vest over a three-year period in approximately equal one-third increments on each anniversary of the grant date, subject to continued service with the Company through each vesting date. However, all of Mr. Furlong’s outstanding unvested equity awards were forfeited when he resigned from the Company effective September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During 2025, Mr. Oringer was granted 87,011 RSUs that vest on April 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5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which requires the Company to award RSUs in lieu of PSUs on going forward basis, during fiscal 2025 and beyond, Shutterstock did not issue any performance-based equity awards.</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years prior to fiscal 2025, the annual targets for each of the PSU grants are set by the Compensation Committee over a three-year period based on the Company’s strategic objectives and goals. The Compensation Committee seeks to make target goals ambitious, requiring meaningful growth over the three-year performance period, while threshold goals are expected to be achievable. Information about the performance targets and payout results as a percentage of target as well as the resulting payout for the applicable fiscal year PSUs are described below. For each tranche of the PSU award, PSUs are earned based on the achievement of at least a threshold level of the performance goal with respect to the fiscal year prior to the year in which the vesting date occurs, under the following schedule:</w:t>
      </w:r>
    </w:p>
    <w:p>
      <w:pPr>
        <w:spacing w:after="0" w:line="25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Achievement Level</w:t>
            </w:r>
          </w:p>
        </w:tc>
        <w:tc>
          <w:tcPr>
            <w:tcW w:w="5220" w:type="dxa"/>
            <w:vAlign w:val="bottom"/>
          </w:tcPr>
          <w:p>
            <w:pPr>
              <w:ind w:left="1880"/>
              <w:spacing w:after="0"/>
              <w:rPr>
                <w:sz w:val="20"/>
                <w:szCs w:val="20"/>
                <w:color w:val="auto"/>
              </w:rPr>
            </w:pPr>
            <w:r>
              <w:rPr>
                <w:rFonts w:ascii="Times New Roman" w:cs="Times New Roman" w:eastAsia="Times New Roman" w:hAnsi="Times New Roman"/>
                <w:sz w:val="18"/>
                <w:szCs w:val="18"/>
                <w:b w:val="1"/>
                <w:bCs w:val="1"/>
                <w:color w:val="auto"/>
              </w:rPr>
              <w:t>Percentage Vesting</w:t>
            </w:r>
          </w:p>
        </w:tc>
      </w:tr>
      <w:tr>
        <w:trPr>
          <w:trHeight w:val="162"/>
        </w:trPr>
        <w:tc>
          <w:tcPr>
            <w:tcW w:w="520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tcPr>
          <w:p>
            <w:pPr>
              <w:spacing w:after="0"/>
              <w:rPr>
                <w:sz w:val="14"/>
                <w:szCs w:val="14"/>
                <w:color w:val="auto"/>
              </w:rPr>
            </w:pPr>
          </w:p>
        </w:tc>
      </w:tr>
      <w:tr>
        <w:trPr>
          <w:trHeight w:val="228"/>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387"/>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Target</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391"/>
        </w:trPr>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Threshold</w:t>
            </w: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w:t>
            </w:r>
          </w:p>
        </w:tc>
      </w:tr>
      <w:tr>
        <w:trPr>
          <w:trHeight w:val="162"/>
        </w:trPr>
        <w:tc>
          <w:tcPr>
            <w:tcW w:w="5200" w:type="dxa"/>
            <w:vAlign w:val="bottom"/>
            <w:tcBorders>
              <w:bottom w:val="single" w:sz="8" w:color="auto"/>
            </w:tcBorders>
          </w:tcPr>
          <w:p>
            <w:pPr>
              <w:spacing w:after="0"/>
              <w:rPr>
                <w:sz w:val="14"/>
                <w:szCs w:val="14"/>
                <w:color w:val="auto"/>
              </w:rPr>
            </w:pPr>
          </w:p>
        </w:tc>
        <w:tc>
          <w:tcPr>
            <w:tcW w:w="5220" w:type="dxa"/>
            <w:vAlign w:val="bottom"/>
            <w:tcBorders>
              <w:bottom w:val="single" w:sz="8" w:color="auto"/>
            </w:tcBorders>
          </w:tcPr>
          <w:p>
            <w:pPr>
              <w:spacing w:after="0"/>
              <w:rPr>
                <w:sz w:val="14"/>
                <w:szCs w:val="14"/>
                <w:color w:val="auto"/>
              </w:rPr>
            </w:pPr>
          </w:p>
        </w:tc>
      </w:tr>
    </w:tbl>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PSU goals and payout opportunity are intended to reflect the same key metrics we use to manage our business and drive stockholder returns over time, including adjusted EBITDA margins and revenue growth. In February 2024 and February 2023, the Compensation Committee approved two grants of PSUs (the “2024 PSUs” and 2023 PSUs”, respectively) with vesting based on the achievement of revenue and adjusted EBITDA goals established in advance by the Compensation Committee for three annual tranches over the full performance period. In each case, the PSUs in each tranche are eligible to vest annually based upon achievement of the prior year performance goals.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performance goals established at the time of each grant with respect to fiscal 2025 performance are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Adjusted EBITDA</w:t>
            </w:r>
          </w:p>
        </w:tc>
        <w:tc>
          <w:tcPr>
            <w:tcW w:w="16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472"/>
        </w:trPr>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Growth</w:t>
            </w:r>
          </w:p>
        </w:tc>
      </w:tr>
      <w:tr>
        <w:trPr>
          <w:trHeight w:val="216"/>
        </w:trPr>
        <w:tc>
          <w:tcPr>
            <w:tcW w:w="3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50"/>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(Third Tranche)</w:t>
            </w: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Targets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5.0%</w:t>
            </w:r>
          </w:p>
        </w:tc>
      </w:tr>
      <w:tr>
        <w:trPr>
          <w:trHeight w:val="52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(Third Tranche)</w:t>
            </w: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Achievement</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16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(9.0)%</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(Second Tranche)</w:t>
            </w: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Targets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5.0%</w:t>
            </w:r>
          </w:p>
        </w:tc>
      </w:tr>
      <w:tr>
        <w:trPr>
          <w:trHeight w:val="473"/>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2024</w:t>
            </w: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(Second Tranche)</w:t>
            </w:r>
          </w:p>
        </w:tc>
        <w:tc>
          <w:tcPr>
            <w:tcW w:w="2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2025 Actual</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6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5.8%</w:t>
            </w:r>
          </w:p>
        </w:tc>
      </w:tr>
    </w:tbl>
    <w:p>
      <w:pPr>
        <w:spacing w:after="0" w:line="333"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In January 2026, the Compensation Committee certified the fiscal 2025 adjusted EBITDA margin of 30% and organic revenue growth of 3% (each of which was adjusted to remove the impact of 2022 and 2023 acquisition activity as shown in Annex A). The 2025 financials resulted in a payout at 75% of target under the third annual tranche of the 2023 PSUs, a payout at 103.8% of target under the second annual tranche of the 2024 PSUs.</w:t>
      </w:r>
    </w:p>
    <w:p>
      <w:pPr>
        <w:spacing w:after="0" w:line="12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With respect to Mr. Hennessy, he was previously awarded 262,789 PSUs ($15 million value) in fiscal 2022 pursuant to the terms of his employment agreement. The performance targets for Mr. Hennessy’s award in fiscal 2022 were set at the start of each annual period (2022, 2023 and 2024, respectively) in accordance with the targets set forth above, and all three tranches vested at the end of the three-year period on July 1, 2025.</w:t>
      </w:r>
    </w:p>
    <w:p>
      <w:pPr>
        <w:spacing w:after="0" w:line="12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During 2024 the Compensation Committee also determined to award Mr. Hennessy additional PSUs ($6.375 million value) pursuant to the terms of his employment agreement in order to incentivize Mr. Hennessy’s continued service and performance for the Company and to promote his retention for an additional period of service through July 1, 2026, following the July 1, 2025 vesting date of his other outstanding equity awards. Mr. Hennessy’s additional PSU award was designed to recognize his significant contributions to the Company and the importance of his continued service for the Company, while aligning his pay with Company performance and stockholder value.</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Overview of 2025 Long-Term Incentive Grants to NEOs</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equity awards align the interests of our named executive officers with the long-term interests of our stockholders and provide incentives to our named executive officers to enhance stockholder value and to attract and retain our executives. The table below summarizes the long-term incentive grants made to our NEOs in 2025.</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48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2025 RSU Grants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2025 RSU Grants</w:t>
            </w:r>
          </w:p>
        </w:tc>
        <w:tc>
          <w:tcPr>
            <w:tcW w:w="0" w:type="dxa"/>
            <w:vAlign w:val="bottom"/>
          </w:tcPr>
          <w:p>
            <w:pPr>
              <w:spacing w:after="0"/>
              <w:rPr>
                <w:sz w:val="1"/>
                <w:szCs w:val="1"/>
                <w:color w:val="auto"/>
              </w:rPr>
            </w:pPr>
          </w:p>
        </w:tc>
      </w:tr>
      <w:tr>
        <w:trPr>
          <w:trHeight w:val="157"/>
        </w:trPr>
        <w:tc>
          <w:tcPr>
            <w:tcW w:w="2880" w:type="dxa"/>
            <w:vAlign w:val="bottom"/>
            <w:vMerge w:val="continue"/>
          </w:tcPr>
          <w:p>
            <w:pPr>
              <w:spacing w:after="0"/>
              <w:rPr>
                <w:sz w:val="13"/>
                <w:szCs w:val="13"/>
                <w:color w:val="auto"/>
              </w:rPr>
            </w:pPr>
          </w:p>
        </w:tc>
        <w:tc>
          <w:tcPr>
            <w:tcW w:w="2480" w:type="dxa"/>
            <w:vAlign w:val="bottom"/>
            <w:vMerge w:val="continue"/>
          </w:tcPr>
          <w:p>
            <w:pPr>
              <w:spacing w:after="0"/>
              <w:rPr>
                <w:sz w:val="13"/>
                <w:szCs w:val="13"/>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81"/>
        </w:trPr>
        <w:tc>
          <w:tcPr>
            <w:tcW w:w="2880" w:type="dxa"/>
            <w:vAlign w:val="bottom"/>
            <w:vMerge w:val="continue"/>
          </w:tcPr>
          <w:p>
            <w:pPr>
              <w:spacing w:after="0"/>
              <w:rPr>
                <w:sz w:val="7"/>
                <w:szCs w:val="7"/>
                <w:color w:val="auto"/>
              </w:rPr>
            </w:pPr>
          </w:p>
        </w:tc>
        <w:tc>
          <w:tcPr>
            <w:tcW w:w="2480" w:type="dxa"/>
            <w:vAlign w:val="bottom"/>
            <w:vMerge w:val="restart"/>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 Value)</w:t>
            </w:r>
          </w:p>
        </w:tc>
        <w:tc>
          <w:tcPr>
            <w:tcW w:w="1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8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Jon Oringer</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1,833,333</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87,011</w:t>
            </w:r>
          </w:p>
        </w:tc>
        <w:tc>
          <w:tcPr>
            <w:tcW w:w="0" w:type="dxa"/>
            <w:vAlign w:val="bottom"/>
          </w:tcPr>
          <w:p>
            <w:pPr>
              <w:spacing w:after="0"/>
              <w:rPr>
                <w:sz w:val="1"/>
                <w:szCs w:val="1"/>
                <w:color w:val="auto"/>
              </w:rPr>
            </w:pPr>
          </w:p>
        </w:tc>
      </w:tr>
      <w:tr>
        <w:trPr>
          <w:trHeight w:val="270"/>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Paul Hennessy</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14,875,000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537,654</w:t>
            </w:r>
          </w:p>
        </w:tc>
        <w:tc>
          <w:tcPr>
            <w:tcW w:w="0" w:type="dxa"/>
            <w:vAlign w:val="bottom"/>
          </w:tcPr>
          <w:p>
            <w:pPr>
              <w:spacing w:after="0"/>
              <w:rPr>
                <w:sz w:val="1"/>
                <w:szCs w:val="1"/>
                <w:color w:val="auto"/>
              </w:rPr>
            </w:pPr>
          </w:p>
        </w:tc>
      </w:tr>
      <w:tr>
        <w:trPr>
          <w:trHeight w:val="270"/>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Rikki Powell</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3,000,000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142,382</w:t>
            </w:r>
          </w:p>
        </w:tc>
        <w:tc>
          <w:tcPr>
            <w:tcW w:w="0" w:type="dxa"/>
            <w:vAlign w:val="bottom"/>
          </w:tcPr>
          <w:p>
            <w:pPr>
              <w:spacing w:after="0"/>
              <w:rPr>
                <w:sz w:val="1"/>
                <w:szCs w:val="1"/>
                <w:color w:val="auto"/>
              </w:rPr>
            </w:pPr>
          </w:p>
        </w:tc>
      </w:tr>
      <w:tr>
        <w:trPr>
          <w:trHeight w:val="352"/>
        </w:trPr>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Matthew Furlong</w:t>
            </w:r>
            <w:r>
              <w:rPr>
                <w:rFonts w:ascii="Times New Roman" w:cs="Times New Roman" w:eastAsia="Times New Roman" w:hAnsi="Times New Roman"/>
                <w:sz w:val="23"/>
                <w:szCs w:val="23"/>
                <w:color w:val="auto"/>
                <w:vertAlign w:val="superscript"/>
              </w:rPr>
              <w:t>(1)</w:t>
            </w:r>
          </w:p>
        </w:tc>
        <w:tc>
          <w:tcPr>
            <w:tcW w:w="24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3,800,000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165,498</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Forfeited in connection with his resignation.</w:t>
      </w:r>
    </w:p>
    <w:p>
      <w:pPr>
        <w:spacing w:after="0" w:line="312"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see “Compensation, Discussion &amp; Analysis—Separation Agreements” and “Narrative Supplement to Summary Compensation Table—Employment Agreements and Compensatory Arrangements” below.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17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the same group insurance and employee benefit plans generally available to our other salaried employees in the United States. We provide employee benefits to all eligible employees in the United States, including our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50% of eligible payroll contributions including catch-up contributions, life and disability insurance, business travel insurance, flexible spending accounts, wellness reimbursements, learning and development opportunities and other plans and programs. Employee benefits and perquisites are reviewed from time to time to ensure that benefit levels remain competitive for the Company as a whole, including for our named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 Other Compensation Information</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prior three sections of this CD&amp;A describe how we think about compensation and how that affects our pay practices. Other compensation related details that may be important to our investors are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75"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Arrangements</w:t>
      </w:r>
    </w:p>
    <w:p>
      <w:pPr>
        <w:spacing w:after="0" w:line="17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line with our objective to retain our executive officers and incentivize them to continue to focus and remain dedicated to their responsibilities and to maximize stockholder value, we have entered into employment agreements with our executive officers that provide for certain severance payments in connection with certain termination events. Further, consistent with best practices, none of our NEOs are entitled to excise tax gross-up payments. For further information about separation agreements and other arrangements with our NEOs, these arrangements are described below under “Narrative Supplement to Summary Compensation Table-Employment Agreements and Compensatory Arrangements” and “Potential Payments Upon Termination or Change in Control.”</w:t>
      </w:r>
    </w:p>
    <w:p>
      <w:pPr>
        <w:sectPr>
          <w:pgSz w:w="11900" w:h="16838" w:orient="portrait"/>
          <w:cols w:equalWidth="0" w:num="1">
            <w:col w:w="11220"/>
          </w:cols>
          <w:pgMar w:left="320" w:top="140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type w:val="continuous"/>
        </w:sectPr>
      </w:pPr>
    </w:p>
    <w:bookmarkStart w:id="16" w:name="page17"/>
    <w:bookmarkEnd w:id="16"/>
    <w:p>
      <w:pPr>
        <w:spacing w:after="0" w:line="14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have also adopted a Severance Plan (the “Severance Plan”), that provides for certain cash payments in the event of an involuntary termination; however, to the extent the severance payments and benefits that are provided by the NEO’s employment agreement are more generous, as is currently the case under each NEO’s employment agreements, the NEO will not be eligible to receive any benefits under the Severance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17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October 2023, our Compensation Committee recommended, and our Board approved, a clawback policy (the “Clawback Policy”) designed to comply with Section 10D of the Exchange Act as well as the listing standards of the NYSE. The Clawback Policy provides that, in the event the Company is required to prepare an accounting restatement, the Company will reasonably promptly recover any erroneously awarded incentive-based compensation that was received by an executive officer during the three completed fiscal years preceding the restatement, in accordance with the provisions of the policy and applicable law.</w:t>
      </w:r>
    </w:p>
    <w:p>
      <w:pPr>
        <w:spacing w:after="0" w:line="1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Additionally, our Amended and Restated 2022 Plan and Amended and Restated 2012 Plan and related award agreements provide for the recoupment of performance-based annual incentives and long-term incentives consistent with applicable law and the Clawback Policy.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 Procedures</w:t>
      </w:r>
    </w:p>
    <w:p>
      <w:pPr>
        <w:spacing w:after="0" w:line="14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Compensation Committee approves equity awards for our NEOs on or before the date of grant, and it has been the Compensation Committee’s general practice to approve annual equity awards by the first of April each year. The number of equity awards is generally determined by dividing the value of the grant by the average of the Company’s closing price for a share of Common Stock on each trading day during the 30 trading days period ending on the date immediately prior to the grant date. The Company does not permit the timed disclosure of material non-public information for the purpose of affecting the value of executive compensation.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Treatment of Compensation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Executive Compensation</w:t>
      </w:r>
    </w:p>
    <w:p>
      <w:pPr>
        <w:spacing w:after="0" w:line="17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over the period in which service is rendered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7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Amendment No. 1 to our 2025 Form 10-K.</w:t>
      </w:r>
    </w:p>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Members of the Compensation Committee</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Deirdre Bigley </w:t>
      </w:r>
      <w:r>
        <w:rPr>
          <w:rFonts w:ascii="Times New Roman" w:cs="Times New Roman" w:eastAsia="Times New Roman" w:hAnsi="Times New Roman"/>
          <w:sz w:val="18"/>
          <w:szCs w:val="18"/>
          <w:i w:val="1"/>
          <w:iCs w:val="1"/>
          <w:color w:val="auto"/>
        </w:rPr>
        <w:t>(Chairwoman)</w:t>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Rachna Bhasin</w:t>
      </w:r>
    </w:p>
    <w:p>
      <w:pPr>
        <w:spacing w:after="0" w:line="9" w:lineRule="exact"/>
        <w:rPr>
          <w:sz w:val="20"/>
          <w:szCs w:val="20"/>
          <w:color w:val="auto"/>
        </w:rPr>
      </w:pPr>
    </w:p>
    <w:p>
      <w:pPr>
        <w:ind w:left="9960"/>
        <w:spacing w:after="0"/>
        <w:rPr>
          <w:sz w:val="20"/>
          <w:szCs w:val="20"/>
          <w:color w:val="auto"/>
        </w:rPr>
      </w:pPr>
      <w:r>
        <w:rPr>
          <w:rFonts w:ascii="Times New Roman" w:cs="Times New Roman" w:eastAsia="Times New Roman" w:hAnsi="Times New Roman"/>
          <w:sz w:val="18"/>
          <w:szCs w:val="18"/>
          <w:color w:val="auto"/>
        </w:rPr>
        <w:t>Thomas R. Evans</w:t>
      </w:r>
    </w:p>
    <w:p>
      <w:pPr>
        <w:spacing w:after="0" w:line="15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7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awarded to, earned by, or paid to each of our named executive officers during the fiscal years ended December 31, 2025, December 31, 2024 and December 31, 2023, as applicable.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80" w:type="dxa"/>
            <w:vAlign w:val="bottom"/>
          </w:tcPr>
          <w:p>
            <w:pPr>
              <w:spacing w:after="0"/>
              <w:rPr>
                <w:sz w:val="15"/>
                <w:szCs w:val="15"/>
                <w:color w:val="auto"/>
              </w:rPr>
            </w:pPr>
          </w:p>
        </w:tc>
        <w:tc>
          <w:tcPr>
            <w:tcW w:w="9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620" w:type="dxa"/>
            <w:vAlign w:val="bottom"/>
            <w:vMerge w:val="continue"/>
          </w:tcPr>
          <w:p>
            <w:pPr>
              <w:spacing w:after="0"/>
              <w:rPr>
                <w:sz w:val="13"/>
                <w:szCs w:val="13"/>
                <w:color w:val="auto"/>
              </w:rPr>
            </w:pPr>
          </w:p>
        </w:tc>
        <w:tc>
          <w:tcPr>
            <w:tcW w:w="68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82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1700" w:type="dxa"/>
            <w:vAlign w:val="bottom"/>
            <w:vMerge w:val="continue"/>
          </w:tcPr>
          <w:p>
            <w:pPr>
              <w:spacing w:after="0"/>
              <w:rPr>
                <w:sz w:val="13"/>
                <w:szCs w:val="13"/>
                <w:color w:val="auto"/>
              </w:rPr>
            </w:pPr>
          </w:p>
        </w:tc>
        <w:tc>
          <w:tcPr>
            <w:tcW w:w="1540" w:type="dxa"/>
            <w:vAlign w:val="bottom"/>
          </w:tcPr>
          <w:p>
            <w:pPr>
              <w:jc w:val="center"/>
              <w:ind w:right="185"/>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Plan Compensation</w:t>
            </w:r>
            <w:r>
              <w:rPr>
                <w:rFonts w:ascii="Times New Roman" w:cs="Times New Roman" w:eastAsia="Times New Roman" w:hAnsi="Times New Roman"/>
                <w:sz w:val="18"/>
                <w:szCs w:val="18"/>
                <w:b w:val="1"/>
                <w:bCs w:val="1"/>
                <w:color w:val="auto"/>
                <w:vertAlign w:val="superscript"/>
              </w:rPr>
              <w:t>(2)</w:t>
            </w:r>
          </w:p>
        </w:tc>
        <w:tc>
          <w:tcPr>
            <w:tcW w:w="154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1,618,405</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rPr>
              <w:t>10,128</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1,628,534</w:t>
            </w:r>
          </w:p>
        </w:tc>
        <w:tc>
          <w:tcPr>
            <w:tcW w:w="0" w:type="dxa"/>
            <w:vAlign w:val="bottom"/>
          </w:tcPr>
          <w:p>
            <w:pPr>
              <w:spacing w:after="0"/>
              <w:rPr>
                <w:sz w:val="1"/>
                <w:szCs w:val="1"/>
                <w:color w:val="auto"/>
              </w:rPr>
            </w:pPr>
          </w:p>
        </w:tc>
      </w:tr>
      <w:tr>
        <w:trPr>
          <w:trHeight w:val="318"/>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Jonathan Oringer,</w:t>
            </w: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4,937,746</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4,937,746</w:t>
            </w:r>
          </w:p>
        </w:tc>
        <w:tc>
          <w:tcPr>
            <w:tcW w:w="0" w:type="dxa"/>
            <w:vAlign w:val="bottom"/>
          </w:tcPr>
          <w:p>
            <w:pPr>
              <w:spacing w:after="0"/>
              <w:rPr>
                <w:sz w:val="1"/>
                <w:szCs w:val="1"/>
                <w:color w:val="auto"/>
              </w:rPr>
            </w:pPr>
          </w:p>
        </w:tc>
      </w:tr>
      <w:tr>
        <w:trPr>
          <w:trHeight w:val="188"/>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Executive Chairman</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5,496,949</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79"/>
              </w:rPr>
              <w:t>-</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5,496,949</w:t>
            </w:r>
          </w:p>
        </w:tc>
        <w:tc>
          <w:tcPr>
            <w:tcW w:w="0" w:type="dxa"/>
            <w:vAlign w:val="bottom"/>
          </w:tcPr>
          <w:p>
            <w:pPr>
              <w:spacing w:after="0"/>
              <w:rPr>
                <w:sz w:val="1"/>
                <w:szCs w:val="1"/>
                <w:color w:val="auto"/>
              </w:rPr>
            </w:pPr>
          </w:p>
        </w:tc>
      </w:tr>
      <w:tr>
        <w:trPr>
          <w:trHeight w:val="170"/>
        </w:trPr>
        <w:tc>
          <w:tcPr>
            <w:tcW w:w="1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6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10,544,274</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543,200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23,123</w:t>
            </w:r>
            <w:r>
              <w:rPr>
                <w:rFonts w:ascii="Times New Roman" w:cs="Times New Roman" w:eastAsia="Times New Roman" w:hAnsi="Times New Roman"/>
                <w:sz w:val="19"/>
                <w:szCs w:val="19"/>
                <w:color w:val="auto"/>
                <w:w w:val="92"/>
                <w:vertAlign w:val="superscript"/>
              </w:rPr>
              <w:t>(3)</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rPr>
              <w:t>11,810,597</w:t>
            </w:r>
          </w:p>
        </w:tc>
        <w:tc>
          <w:tcPr>
            <w:tcW w:w="0" w:type="dxa"/>
            <w:vAlign w:val="bottom"/>
          </w:tcPr>
          <w:p>
            <w:pPr>
              <w:spacing w:after="0"/>
              <w:rPr>
                <w:sz w:val="1"/>
                <w:szCs w:val="1"/>
                <w:color w:val="auto"/>
              </w:rPr>
            </w:pPr>
          </w:p>
        </w:tc>
      </w:tr>
      <w:tr>
        <w:trPr>
          <w:trHeight w:val="296"/>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Paul Hennessy,</w:t>
            </w: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5,871,670</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583,800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20,998</w:t>
            </w:r>
            <w:r>
              <w:rPr>
                <w:rFonts w:ascii="Times New Roman" w:cs="Times New Roman" w:eastAsia="Times New Roman" w:hAnsi="Times New Roman"/>
                <w:sz w:val="19"/>
                <w:szCs w:val="19"/>
                <w:color w:val="auto"/>
                <w:w w:val="92"/>
                <w:vertAlign w:val="superscript"/>
              </w:rPr>
              <w:t>(4)</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7,176,468</w:t>
            </w:r>
          </w:p>
        </w:tc>
        <w:tc>
          <w:tcPr>
            <w:tcW w:w="0" w:type="dxa"/>
            <w:vAlign w:val="bottom"/>
          </w:tcPr>
          <w:p>
            <w:pPr>
              <w:spacing w:after="0"/>
              <w:rPr>
                <w:sz w:val="1"/>
                <w:szCs w:val="1"/>
                <w:color w:val="auto"/>
              </w:rPr>
            </w:pPr>
          </w:p>
        </w:tc>
      </w:tr>
      <w:tr>
        <w:trPr>
          <w:trHeight w:val="188"/>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Executive Officer</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162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2023</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700,000</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6,644,157</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750,400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18,954</w:t>
            </w:r>
            <w:r>
              <w:rPr>
                <w:rFonts w:ascii="Times New Roman" w:cs="Times New Roman" w:eastAsia="Times New Roman" w:hAnsi="Times New Roman"/>
                <w:sz w:val="19"/>
                <w:szCs w:val="19"/>
                <w:color w:val="auto"/>
                <w:w w:val="92"/>
                <w:vertAlign w:val="superscript"/>
              </w:rPr>
              <w:t>(4)</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8,113,511</w:t>
            </w:r>
          </w:p>
        </w:tc>
        <w:tc>
          <w:tcPr>
            <w:tcW w:w="0" w:type="dxa"/>
            <w:vAlign w:val="bottom"/>
          </w:tcPr>
          <w:p>
            <w:pPr>
              <w:spacing w:after="0"/>
              <w:rPr>
                <w:sz w:val="1"/>
                <w:szCs w:val="1"/>
                <w:color w:val="auto"/>
              </w:rPr>
            </w:pPr>
          </w:p>
        </w:tc>
      </w:tr>
      <w:tr>
        <w:trPr>
          <w:trHeight w:val="107"/>
        </w:trPr>
        <w:tc>
          <w:tcPr>
            <w:tcW w:w="16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1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Rikki Powell,</w:t>
            </w: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2025</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528,846</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2,648,305</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325,400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17,597</w:t>
            </w:r>
            <w:r>
              <w:rPr>
                <w:rFonts w:ascii="Times New Roman" w:cs="Times New Roman" w:eastAsia="Times New Roman" w:hAnsi="Times New Roman"/>
                <w:sz w:val="19"/>
                <w:szCs w:val="19"/>
                <w:color w:val="auto"/>
                <w:w w:val="92"/>
                <w:vertAlign w:val="superscript"/>
              </w:rPr>
              <w:t>(5)</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3,520,148</w:t>
            </w:r>
          </w:p>
        </w:tc>
        <w:tc>
          <w:tcPr>
            <w:tcW w:w="0" w:type="dxa"/>
            <w:vAlign w:val="bottom"/>
          </w:tcPr>
          <w:p>
            <w:pPr>
              <w:spacing w:after="0"/>
              <w:rPr>
                <w:sz w:val="1"/>
                <w:szCs w:val="1"/>
                <w:color w:val="auto"/>
              </w:rPr>
            </w:pPr>
          </w:p>
        </w:tc>
      </w:tr>
      <w:tr>
        <w:trPr>
          <w:trHeight w:val="125"/>
        </w:trPr>
        <w:tc>
          <w:tcPr>
            <w:tcW w:w="162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2024</w:t>
            </w:r>
          </w:p>
        </w:tc>
        <w:tc>
          <w:tcPr>
            <w:tcW w:w="9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210,866</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683,989</w:t>
            </w:r>
          </w:p>
        </w:tc>
        <w:tc>
          <w:tcPr>
            <w:tcW w:w="8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130,450</w:t>
            </w:r>
          </w:p>
        </w:tc>
        <w:tc>
          <w:tcPr>
            <w:tcW w:w="1540" w:type="dxa"/>
            <w:vAlign w:val="bottom"/>
          </w:tcPr>
          <w:p>
            <w:pPr>
              <w:jc w:val="center"/>
              <w:ind w:right="185"/>
              <w:spacing w:after="0"/>
              <w:rPr>
                <w:sz w:val="20"/>
                <w:szCs w:val="20"/>
                <w:color w:val="auto"/>
              </w:rPr>
            </w:pPr>
            <w:r>
              <w:rPr>
                <w:rFonts w:ascii="Times New Roman" w:cs="Times New Roman" w:eastAsia="Times New Roman" w:hAnsi="Times New Roman"/>
                <w:sz w:val="15"/>
                <w:szCs w:val="15"/>
                <w:color w:val="auto"/>
                <w:w w:val="92"/>
              </w:rPr>
              <w:t>16,409</w:t>
            </w:r>
            <w:r>
              <w:rPr>
                <w:rFonts w:ascii="Times New Roman" w:cs="Times New Roman" w:eastAsia="Times New Roman" w:hAnsi="Times New Roman"/>
                <w:sz w:val="19"/>
                <w:szCs w:val="19"/>
                <w:color w:val="auto"/>
                <w:w w:val="92"/>
                <w:vertAlign w:val="superscript"/>
              </w:rPr>
              <w:t>(6)</w:t>
            </w:r>
          </w:p>
        </w:tc>
        <w:tc>
          <w:tcPr>
            <w:tcW w:w="180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1,041,714</w:t>
            </w:r>
          </w:p>
        </w:tc>
        <w:tc>
          <w:tcPr>
            <w:tcW w:w="0" w:type="dxa"/>
            <w:vAlign w:val="bottom"/>
          </w:tcPr>
          <w:p>
            <w:pPr>
              <w:spacing w:after="0"/>
              <w:rPr>
                <w:sz w:val="1"/>
                <w:szCs w:val="1"/>
                <w:color w:val="auto"/>
              </w:rPr>
            </w:pPr>
          </w:p>
        </w:tc>
      </w:tr>
      <w:tr>
        <w:trPr>
          <w:trHeight w:val="148"/>
        </w:trPr>
        <w:tc>
          <w:tcPr>
            <w:tcW w:w="16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Matthew Furlong,</w:t>
            </w:r>
          </w:p>
        </w:tc>
        <w:tc>
          <w:tcPr>
            <w:tcW w:w="68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321,153</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3,382,427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1540" w:type="dxa"/>
            <w:vAlign w:val="bottom"/>
            <w:vMerge w:val="restart"/>
          </w:tcPr>
          <w:p>
            <w:pPr>
              <w:jc w:val="center"/>
              <w:ind w:right="185"/>
              <w:spacing w:after="0"/>
              <w:rPr>
                <w:sz w:val="20"/>
                <w:szCs w:val="20"/>
                <w:color w:val="auto"/>
              </w:rPr>
            </w:pPr>
            <w:r>
              <w:rPr>
                <w:rFonts w:ascii="Times New Roman" w:cs="Times New Roman" w:eastAsia="Times New Roman" w:hAnsi="Times New Roman"/>
                <w:sz w:val="15"/>
                <w:szCs w:val="15"/>
                <w:color w:val="auto"/>
                <w:w w:val="92"/>
              </w:rPr>
              <w:t>12,941</w:t>
            </w:r>
            <w:r>
              <w:rPr>
                <w:rFonts w:ascii="Times New Roman" w:cs="Times New Roman" w:eastAsia="Times New Roman" w:hAnsi="Times New Roman"/>
                <w:sz w:val="19"/>
                <w:szCs w:val="19"/>
                <w:color w:val="auto"/>
                <w:w w:val="92"/>
                <w:vertAlign w:val="superscript"/>
              </w:rPr>
              <w:t>(7)</w:t>
            </w:r>
          </w:p>
        </w:tc>
        <w:tc>
          <w:tcPr>
            <w:tcW w:w="1800" w:type="dxa"/>
            <w:vAlign w:val="bottom"/>
            <w:vMerge w:val="restart"/>
          </w:tcPr>
          <w:p>
            <w:pPr>
              <w:jc w:val="center"/>
              <w:ind w:right="124"/>
              <w:spacing w:after="0"/>
              <w:rPr>
                <w:sz w:val="20"/>
                <w:szCs w:val="20"/>
                <w:color w:val="auto"/>
              </w:rPr>
            </w:pPr>
            <w:r>
              <w:rPr>
                <w:rFonts w:ascii="Times New Roman" w:cs="Times New Roman" w:eastAsia="Times New Roman" w:hAnsi="Times New Roman"/>
                <w:sz w:val="15"/>
                <w:szCs w:val="15"/>
                <w:color w:val="auto"/>
                <w:w w:val="99"/>
              </w:rPr>
              <w:t>3,716,522</w:t>
            </w:r>
          </w:p>
        </w:tc>
        <w:tc>
          <w:tcPr>
            <w:tcW w:w="0" w:type="dxa"/>
            <w:vAlign w:val="bottom"/>
          </w:tcPr>
          <w:p>
            <w:pPr>
              <w:spacing w:after="0"/>
              <w:rPr>
                <w:sz w:val="1"/>
                <w:szCs w:val="1"/>
                <w:color w:val="auto"/>
              </w:rPr>
            </w:pPr>
          </w:p>
        </w:tc>
      </w:tr>
      <w:tr>
        <w:trPr>
          <w:trHeight w:val="176"/>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Former Chief</w:t>
            </w:r>
          </w:p>
        </w:tc>
        <w:tc>
          <w:tcPr>
            <w:tcW w:w="6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2025</w:t>
            </w:r>
          </w:p>
        </w:tc>
        <w:tc>
          <w:tcPr>
            <w:tcW w:w="9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Marketplace Officer</w:t>
            </w: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60" w:right="20" w:hanging="652"/>
        <w:spacing w:after="0" w:line="259"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computed in accordance with ASC Topic 718 for RSUs and PSUs granted to the NEOs. In connection with Mr. Furlong’s resignation, all RSUs granted were forfeited as of September 2, 2025. A discussion of the assumptions used in determining grant date fair value may be found in Note 1 to our audited consolidated financial statements included in the Original Form 10-K. Please also refer to the Grants of Plan-Based Awards in 2025 table for information on stock award grants made in 2025. These amounts do not necessarily represent the actual value that may be realized by the NEOs. Of the amounts shown in 2025 for each NEO, no PSUs were granted in accordance with the Merger Agreement.</w:t>
      </w:r>
    </w:p>
    <w:p>
      <w:pPr>
        <w:spacing w:after="0" w:line="33" w:lineRule="exact"/>
        <w:rPr>
          <w:rFonts w:ascii="Times New Roman" w:cs="Times New Roman" w:eastAsia="Times New Roman" w:hAnsi="Times New Roman"/>
          <w:sz w:val="16"/>
          <w:szCs w:val="16"/>
          <w:color w:val="auto"/>
        </w:rPr>
      </w:pPr>
    </w:p>
    <w:p>
      <w:pPr>
        <w:ind w:left="660" w:right="80" w:hanging="652"/>
        <w:spacing w:after="0" w:line="280"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in the non-equity incentive plan compensation column for 2025 represent performance-based bonuses but actually paid in 2026. Mr. Furlong was not eligible to receive non-equity incentive plan compensation for 2025 because his employment terminated prior to the end of fiscal 2025.</w:t>
      </w:r>
    </w:p>
    <w:p>
      <w:pPr>
        <w:spacing w:after="0" w:line="2" w:lineRule="exact"/>
        <w:rPr>
          <w:rFonts w:ascii="Times New Roman" w:cs="Times New Roman" w:eastAsia="Times New Roman" w:hAnsi="Times New Roman"/>
          <w:sz w:val="16"/>
          <w:szCs w:val="16"/>
          <w:color w:val="auto"/>
        </w:rPr>
      </w:pPr>
    </w:p>
    <w:p>
      <w:pPr>
        <w:ind w:left="660" w:right="40" w:hanging="652"/>
        <w:spacing w:after="0" w:line="281"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$17,375 payment for 401(k) matching contributions by the Company, the value of Company-provided group term life insurance premium and mobile phone allowance</w:t>
      </w:r>
    </w:p>
    <w:p>
      <w:pPr>
        <w:spacing w:after="0" w:line="1" w:lineRule="exact"/>
        <w:rPr>
          <w:rFonts w:ascii="Times New Roman" w:cs="Times New Roman" w:eastAsia="Times New Roman" w:hAnsi="Times New Roman"/>
          <w:sz w:val="16"/>
          <w:szCs w:val="16"/>
          <w:color w:val="auto"/>
        </w:rPr>
      </w:pPr>
    </w:p>
    <w:p>
      <w:pPr>
        <w:ind w:left="660" w:hanging="652"/>
        <w:spacing w:after="0" w:line="245"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$15,250 payment for 401(k) matching contributions by the Company, the value of Company-provided group term life insurance premium and mobile phone allowance.</w:t>
      </w:r>
    </w:p>
    <w:p>
      <w:pPr>
        <w:spacing w:after="0" w:line="110" w:lineRule="exact"/>
        <w:rPr>
          <w:rFonts w:ascii="Times New Roman" w:cs="Times New Roman" w:eastAsia="Times New Roman" w:hAnsi="Times New Roman"/>
          <w:sz w:val="16"/>
          <w:szCs w:val="16"/>
          <w:color w:val="auto"/>
        </w:rPr>
      </w:pPr>
    </w:p>
    <w:p>
      <w:pPr>
        <w:ind w:left="660" w:hanging="652"/>
        <w:spacing w:after="0" w:line="245"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$15,500 payment for 401(k) matching contributions by the Company, the value of Company-provided group term life insurance premium, mobile phone allowance and fitness expense reimbursement.</w:t>
      </w:r>
    </w:p>
    <w:p>
      <w:pPr>
        <w:spacing w:after="0" w:line="110" w:lineRule="exact"/>
        <w:rPr>
          <w:rFonts w:ascii="Times New Roman" w:cs="Times New Roman" w:eastAsia="Times New Roman" w:hAnsi="Times New Roman"/>
          <w:sz w:val="16"/>
          <w:szCs w:val="16"/>
          <w:color w:val="auto"/>
        </w:rPr>
      </w:pPr>
    </w:p>
    <w:p>
      <w:pPr>
        <w:ind w:left="660" w:hanging="652"/>
        <w:spacing w:after="0" w:line="245"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$15,250 payment for 401(k) matching contributions by the Company, the value of Company-provided group term life insurance premium, mobile phone allowance and fitness expense reimbursement.</w:t>
      </w:r>
    </w:p>
    <w:p>
      <w:pPr>
        <w:spacing w:after="0" w:line="110" w:lineRule="exact"/>
        <w:rPr>
          <w:rFonts w:ascii="Times New Roman" w:cs="Times New Roman" w:eastAsia="Times New Roman" w:hAnsi="Times New Roman"/>
          <w:sz w:val="16"/>
          <w:szCs w:val="16"/>
          <w:color w:val="auto"/>
        </w:rPr>
      </w:pPr>
    </w:p>
    <w:p>
      <w:pPr>
        <w:ind w:left="660" w:hanging="652"/>
        <w:spacing w:after="0" w:line="245"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a $11,750 payment for 401(k) matching contributions by the Company, the value of Company-provided group term life insurance premium, mobile phone allowance and health savings account.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Supplement to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Compensatory Arrangements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material terms of the employment agreements and compensatory arrangements with our NEOs are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Jonathan Oringer</w:t>
      </w:r>
    </w:p>
    <w:p>
      <w:pPr>
        <w:spacing w:after="0" w:line="175"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Mr. Oringer is employed as Executive Chairman, and served as our Chief Executive Officer until April 1, 2020, pursuant to an employment agreement, dated September 24, 2012. Mr. Oringer’s employment agreement was amended in 2020 in connection with his appointment as Executive Chairman to reflect his new role. Mr. Oringer’s employment agreement generally provides for the following key terms:</w:t>
      </w:r>
    </w:p>
    <w:p>
      <w:pPr>
        <w:spacing w:after="0" w:line="122"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8" w:name="page19"/>
    <w:bookmarkEnd w:id="18"/>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$250,000, which was reduced to $1 by the Compensation Committee effective as of April 24, 2014;</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ineligibility for an annual cash incentive;</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Mr. Oringer also entered into a Severance and Change in Control Agreement, dated September 24, 2012, which was amended in 2020 in connection with his appointment as Executive Chairman to reflect his new role. Pursuant to the Severance and Change in Control Agreement (the “Severance and CiC Agreement”), if the Company terminates Mr. Oringer’s employment without “cause” (as defined in the Severance and CiC Agreement), other than due to his death or “disability” (as defined in the Severance and CiC Agreement) at any time other than during the 24-month period immediately following a “change in control” (as defined in the Severance and CiC Agreement), Mr. Oringer will receive all accrued but unpaid vacation, expense reimbursements, wages and other benefits due to Mr. Oringer under Company-provided plans, policies and arrangements and, subject to his execution of a satisfactory release and compliance with the covenants described below, the following severance benefits from the Company:</w:t>
      </w:r>
    </w:p>
    <w:p>
      <w:pPr>
        <w:spacing w:after="0" w:line="135" w:lineRule="exact"/>
        <w:rPr>
          <w:sz w:val="20"/>
          <w:szCs w:val="20"/>
          <w:color w:val="auto"/>
        </w:rPr>
      </w:pPr>
    </w:p>
    <w:p>
      <w:pPr>
        <w:jc w:val="both"/>
        <w:ind w:left="1300" w:hanging="644"/>
        <w:spacing w:after="0" w:line="257"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then-current base salary, which will be paid in three equal installments on each of the following dates: (x) his termination of employment, (y) the six-month anniversary of his termination and (z) the one-year anniversary of his termination of employment;</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of a pro rata annual bonus at 100% of the then-current target for the year in which the termination of employment occurs based on the number of days worked relative to 365 days;</w:t>
      </w:r>
    </w:p>
    <w:p>
      <w:pPr>
        <w:ind w:left="1300" w:right="2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premiums paid for coverage pursuant to the Consolidated Omnibus Budget Reconciliation Act of 1985, as amended (“COBRA”), for Mr. Oringer and his eligible dependents for up to 12 months;</w:t>
      </w:r>
    </w:p>
    <w:p>
      <w:pPr>
        <w:ind w:left="13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the then-unvested portion of all of Mr. Oringer’s outstanding equity awards as if he had remained employed for 12 months following his termination of employment;</w:t>
      </w:r>
    </w:p>
    <w:p>
      <w:pPr>
        <w:ind w:left="130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post-termination exercise period for the outstanding vested options will be extended to 18 months following his termination of employment; and</w:t>
      </w: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benefits for six months following termination of employment, up to a maximum of $5,000.</w:t>
      </w:r>
    </w:p>
    <w:p>
      <w:pPr>
        <w:spacing w:after="0" w:line="15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Further, if we terminate Mr. Oringer’s employment with the Company without “cause,” other than due to Mr. Oringer’s death or “disability” or Mr. Oringer resigning for “good reason” (as defined in the Severance and CiC Agreement), in either case at any time during the twenty-four month period immediately following a “change of control,” Mr. Oringer will receive the “accrued benefits,” (as defined in the Severance and CiC Agreement) and, subject to his execution of a satisfactory release and compliance with the covenants described below, Mr. Oringer will also receive severance payments and benefits set forth above, except as follows:</w:t>
      </w:r>
    </w:p>
    <w:p>
      <w:pPr>
        <w:spacing w:after="0" w:line="129"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in an amount equal to 12 months of his then current base salary, in a single lump sum payment;</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lump sum payment equal to 100% of his full target bonus for the fiscal year in effect at the date of termination of employment;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100% of the then-unvested portion of all of Mr. Oringer’s outstanding equity awards.</w:t>
      </w:r>
    </w:p>
    <w:p>
      <w:pPr>
        <w:spacing w:after="0" w:line="15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Mr. Oringer’s Severance and CiC Agreement contains customary confidentiality, non-competition, non-solicitation of employees or customers and non-disparagement provisions. Under the agreement, Mr. Oringer cannot compete with the Company for a 12-month period after termination. The non-solicitation and non-disparagement covenant also extends for 12 months after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Paul Hennessy</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Mr. Hennessy was appointed Chief Executive Officer effective July 1, 2022 and has served as a member of our Board of Directors since April 2015. Mr. Hennessy’s employment agreement was amended on June 28, 2024 in order to incentivize Mr. Hennessy’s continued service and performance for the Company and to promote his retention for an additional period of service through July 1, 2026. Mr. Hennessy’s employment agreement generally provides for the following key terms:</w:t>
      </w:r>
    </w:p>
    <w:p>
      <w:pPr>
        <w:spacing w:after="0" w:line="126"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 which commenced effective July 1, 2022;</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$700,000;</w:t>
      </w:r>
    </w:p>
    <w:p>
      <w:pPr>
        <w:spacing w:after="0" w:line="9" w:lineRule="exact"/>
        <w:rPr>
          <w:rFonts w:ascii="Times New Roman" w:cs="Times New Roman" w:eastAsia="Times New Roman" w:hAnsi="Times New Roman"/>
          <w:sz w:val="18"/>
          <w:szCs w:val="18"/>
          <w:color w:val="auto"/>
        </w:rPr>
      </w:pPr>
    </w:p>
    <w:p>
      <w:pPr>
        <w:ind w:left="1300" w:right="20" w:hanging="644"/>
        <w:spacing w:after="0" w:line="250"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100% of his base salary, based on the achievement of individual and company performance-based objectives established by our Compensation Committee;</w:t>
      </w: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Company terminates Mr. Hennessy’s employment without cause on or after July 1, 2027, he will only receive a pro-rated annual bonus for the year of termination, subject to the execution of a release, without any additional severance benefits. In the event that the Company terminates Mr. Hennessy’s employment prior to July 1, 2027, he will continue to be eligible to receive payments and benefits in accordance with the terms of the employment agreement, including:</w:t>
      </w:r>
    </w:p>
    <w:p>
      <w:pPr>
        <w:spacing w:after="0" w:line="126" w:lineRule="exact"/>
        <w:rPr>
          <w:sz w:val="20"/>
          <w:szCs w:val="20"/>
          <w:color w:val="auto"/>
        </w:rPr>
      </w:pPr>
    </w:p>
    <w:p>
      <w:pPr>
        <w:jc w:val="both"/>
        <w:ind w:left="1300" w:hanging="644"/>
        <w:spacing w:after="0" w:line="255"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termination without cause that does not occur within 12 months following a change in control: (i) continued payment of his salary for eighteen months, (ii) reimbursement for certain medical insurance premiums for up to eighteen months, (ii) the immediate vesting of all unvested restricted stock units and a prorated portion of unvested performance stock units based on actual performance, and (iv) a prorated annual bonus based on actual performance.</w:t>
      </w:r>
    </w:p>
    <w:p>
      <w:pPr>
        <w:spacing w:after="0" w:line="2"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termination without cause or for good reason within 12 months following a change in control: (i) a lump sum payment equal to eighteen months of his base salary, (ii) reimbursement for certain medical insurance premiums for up to twelve months, (iii) the immediate vesting of all unvested equity awards, and (iv) a lump sum payment equal to his target bonus amount for the year of termination.</w:t>
      </w:r>
    </w:p>
    <w:p>
      <w:pPr>
        <w:spacing w:after="0" w:line="13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Mr. Hennessy is not entitled to any severance benefits under the employment agreement in connection with a voluntary resignation. In addition, Mr. Hennessy is not entitled to severance benefits under the Company’s Severance Plan under the terms of the employment agreement.</w:t>
      </w:r>
    </w:p>
    <w:p>
      <w:pPr>
        <w:spacing w:after="0" w:line="108"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Mr. Hennessy is also subject to the Company’s Confidentiality, Non-Disclosure, Inventions, Non-Solicitation and Non-Competition Agreement, which contains customary confidentiality, non-competition, and non-solicitation of employees or customers provision. Under the agreement, Mr. Hennessy cannot compete with the Company for a 12 month period after termination. The non-solicitation covenant also extends for 12 months after termination.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Rikki Powell</w:t>
      </w:r>
    </w:p>
    <w:p>
      <w:pPr>
        <w:spacing w:after="0" w:line="17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Mr. Powell is employed as our Chief Financial Officer pursuant to an employment agreement dated October 30, 2024. Mr. Powell’s employment agreement generally provides for the following key terms:</w:t>
      </w:r>
    </w:p>
    <w:p>
      <w:pPr>
        <w:spacing w:after="0" w:line="108"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 which commenced effective November 1, 2024;</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$450,000;</w:t>
      </w:r>
    </w:p>
    <w:p>
      <w:pPr>
        <w:spacing w:after="0" w:line="9"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60% of his base salary, based on the achievement of individual and company performance-based objectives established by our Compensation Committee and pro-rated for his initial year of service;</w:t>
      </w: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153"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 provides for the following severance benefits, subject to the execution of a release and compliance with certain restrictive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0" w:name="page21"/>
    <w:bookmarkEnd w:id="20"/>
    <w:p>
      <w:pPr>
        <w:jc w:val="both"/>
        <w:ind w:left="1300" w:hanging="644"/>
        <w:spacing w:after="0" w:line="254"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p>
      <w:pPr>
        <w:spacing w:after="0" w:line="3"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p>
      <w:pPr>
        <w:spacing w:after="0" w:line="133"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Mr. Powell is also subject to the Company’s Confidentiality, Non-Disclosure, Inventions, Non-Solicitation and Non-Competition Agreement, which contains customary confidentiality, non-competition, and non-solicitation of employees or customers provision. Under the agreement, Mr. Powell cannot compete with the Company for a 12-month period after termination. The non-solicitation covenant also extends for 12 months after termination.</w:t>
      </w:r>
    </w:p>
    <w:p>
      <w:pPr>
        <w:spacing w:after="0" w:line="9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On January 27, 2025, the Compensation Committee approved the following changes to Mr. Powell’s compensation to align with his role as Chief Financial Officer:</w:t>
      </w:r>
    </w:p>
    <w:p>
      <w:pPr>
        <w:spacing w:after="0" w:line="189"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$550,000; and</w:t>
      </w:r>
    </w:p>
    <w:p>
      <w:pPr>
        <w:spacing w:after="0" w:line="15" w:lineRule="exact"/>
        <w:rPr>
          <w:rFonts w:ascii="Times New Roman" w:cs="Times New Roman" w:eastAsia="Times New Roman" w:hAnsi="Times New Roman"/>
          <w:sz w:val="18"/>
          <w:szCs w:val="18"/>
          <w:color w:val="auto"/>
        </w:rPr>
      </w:pPr>
    </w:p>
    <w:p>
      <w:pPr>
        <w:ind w:left="660" w:right="520" w:hanging="328"/>
        <w:spacing w:after="0" w:line="243"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70% of his base salary, based on the achievement of individual and company performance-based objectives established by our Compensation Committee.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Furlong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Furlong was employed as our Chief Marketplace Officer pursuant to an employment agreement dated January 13, 2025 until his resignation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2025. Mr. Furlong’s employment agreement generally provides for the following key terms:</w:t>
      </w:r>
    </w:p>
    <w:p>
      <w:pPr>
        <w:spacing w:after="0" w:line="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at-will employment, which commenced effective January 13,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of $500,000;</w:t>
      </w:r>
    </w:p>
    <w:p>
      <w:pPr>
        <w:spacing w:after="0" w:line="9"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bonus opportunity, with a target award equal to 60% of his base salary, based on the achievement of individual and company performance-based objectives established by our Compensation Committee and pro-rated for his initial year of service;</w:t>
      </w: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participate in employee benefit plans generally available to those of our other executive officers;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necessary and reasonable business expenses.</w:t>
      </w:r>
    </w:p>
    <w:p>
      <w:pPr>
        <w:spacing w:after="0" w:line="23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employment agreement provides for the following severance benefits, subject to the execution of a release and compliance with certain restrictive covenants:</w:t>
      </w:r>
    </w:p>
    <w:p>
      <w:pPr>
        <w:spacing w:after="0" w:line="189" w:lineRule="exact"/>
        <w:rPr>
          <w:sz w:val="20"/>
          <w:szCs w:val="20"/>
          <w:color w:val="auto"/>
        </w:rPr>
      </w:pPr>
    </w:p>
    <w:p>
      <w:pPr>
        <w:ind w:left="660" w:hanging="328"/>
        <w:spacing w:after="0" w:line="270" w:lineRule="auto"/>
        <w:tabs>
          <w:tab w:leader="none" w:pos="6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termination by the Company other than “cause” or due to death or “disability” at any time other than during the twelve-month period immediately following a “change of control” (each as defined in the employment agreement), (i) continued payment of his salary for twelve months, (ii) reimbursement for certain medical insurance premiums for up to twelve months, (ii) the immediate vesting of any outstanding equity awards that would have vested within the twelve months following termination, and (iv) a prorated annual bonus based on actual performance.</w:t>
      </w:r>
    </w:p>
    <w:p>
      <w:pPr>
        <w:spacing w:after="0" w:line="2" w:lineRule="exact"/>
        <w:rPr>
          <w:rFonts w:ascii="Times New Roman" w:cs="Times New Roman" w:eastAsia="Times New Roman" w:hAnsi="Times New Roman"/>
          <w:sz w:val="17"/>
          <w:szCs w:val="17"/>
          <w:color w:val="auto"/>
        </w:rPr>
      </w:pPr>
    </w:p>
    <w:p>
      <w:pPr>
        <w:ind w:left="660" w:right="100" w:hanging="328"/>
        <w:spacing w:after="0" w:line="25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by the Company other than cause or due to death or disability, or upon a resignation for “good reason” (as defined in the employment agreement) during the twelve-month period immediately following a change of control, (i) a lump sum payment equal to twelve months of base salary, (ii) reimbursement for certain medical insurance premiums for up to twelve months, (iii) the immediate vesting of all unvested equity awards, and (iv) a lump sum payment equal to the target bonus amount for the year of termination.</w:t>
      </w:r>
    </w:p>
    <w:p>
      <w:pPr>
        <w:spacing w:after="0" w:line="21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Mr. Furlong was also subject to the Company’s Confidentiality, Non-Disclosure, Inventions, Non-Solicitation and Non-Competition Agreement, which contains customary confidentiality, non-competition, and non-solicitation of employees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customers provision. Under the agreement, Mr. Furlong cannot compete with the Company for a 12-month period after termination. The non-solicitation covenant also extends for 12 months after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 in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Non-Equity Incentive</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2"/>
              </w:rPr>
              <w:t>Plan Awards</w:t>
            </w:r>
            <w:r>
              <w:rPr>
                <w:rFonts w:ascii="Times New Roman" w:cs="Times New Roman" w:eastAsia="Times New Roman" w:hAnsi="Times New Roman"/>
                <w:sz w:val="16"/>
                <w:szCs w:val="16"/>
                <w:b w:val="1"/>
                <w:bCs w:val="1"/>
                <w:color w:val="auto"/>
                <w:w w:val="92"/>
                <w:vertAlign w:val="superscript"/>
              </w:rPr>
              <w:t>(1)</w:t>
            </w:r>
          </w:p>
        </w:tc>
        <w:tc>
          <w:tcPr>
            <w:tcW w:w="1040" w:type="dxa"/>
            <w:vAlign w:val="bottom"/>
          </w:tcPr>
          <w:p>
            <w:pPr>
              <w:spacing w:after="0"/>
              <w:rPr>
                <w:sz w:val="15"/>
                <w:szCs w:val="15"/>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 Equity Incentive</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All Other Stock</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Times New Roman" w:cs="Times New Roman" w:eastAsia="Times New Roman" w:hAnsi="Times New Roman"/>
                <w:sz w:val="13"/>
                <w:szCs w:val="13"/>
                <w:b w:val="1"/>
                <w:bCs w:val="1"/>
                <w:color w:val="auto"/>
                <w:w w:val="92"/>
              </w:rPr>
              <w:t>Plan Awards</w:t>
            </w:r>
            <w:r>
              <w:rPr>
                <w:rFonts w:ascii="Times New Roman" w:cs="Times New Roman" w:eastAsia="Times New Roman" w:hAnsi="Times New Roman"/>
                <w:sz w:val="16"/>
                <w:szCs w:val="16"/>
                <w:b w:val="1"/>
                <w:bCs w:val="1"/>
                <w:color w:val="auto"/>
                <w:w w:val="92"/>
                <w:vertAlign w:val="superscript"/>
              </w:rPr>
              <w:t>(1)</w:t>
            </w:r>
          </w:p>
        </w:tc>
        <w:tc>
          <w:tcPr>
            <w:tcW w:w="94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Awards: Number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Grant Date Fair Value of</w:t>
            </w:r>
          </w:p>
        </w:tc>
        <w:tc>
          <w:tcPr>
            <w:tcW w:w="0" w:type="dxa"/>
            <w:vAlign w:val="bottom"/>
          </w:tcPr>
          <w:p>
            <w:pPr>
              <w:spacing w:after="0"/>
              <w:rPr>
                <w:sz w:val="1"/>
                <w:szCs w:val="1"/>
                <w:color w:val="auto"/>
              </w:rPr>
            </w:pPr>
          </w:p>
        </w:tc>
      </w:tr>
      <w:tr>
        <w:trPr>
          <w:trHeight w:val="27"/>
        </w:trPr>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20" w:type="dxa"/>
            <w:vAlign w:val="bottom"/>
          </w:tcPr>
          <w:p>
            <w:pPr>
              <w:spacing w:after="0"/>
              <w:rPr>
                <w:sz w:val="2"/>
                <w:szCs w:val="2"/>
                <w:color w:val="auto"/>
              </w:rPr>
            </w:pPr>
          </w:p>
        </w:tc>
        <w:tc>
          <w:tcPr>
            <w:tcW w:w="74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4"/>
              </w:rPr>
              <w:t>Grant</w:t>
            </w: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Shares or Units (#)</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Stock and Option Awards</w:t>
            </w:r>
          </w:p>
        </w:tc>
        <w:tc>
          <w:tcPr>
            <w:tcW w:w="0" w:type="dxa"/>
            <w:vAlign w:val="bottom"/>
          </w:tcPr>
          <w:p>
            <w:pPr>
              <w:spacing w:after="0"/>
              <w:rPr>
                <w:sz w:val="1"/>
                <w:szCs w:val="1"/>
                <w:color w:val="auto"/>
              </w:rPr>
            </w:pPr>
          </w:p>
        </w:tc>
      </w:tr>
      <w:tr>
        <w:trPr>
          <w:trHeight w:val="122"/>
        </w:trPr>
        <w:tc>
          <w:tcPr>
            <w:tcW w:w="4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Threshold ($)</w:t>
            </w:r>
          </w:p>
        </w:tc>
        <w:tc>
          <w:tcPr>
            <w:tcW w:w="1080" w:type="dxa"/>
            <w:vAlign w:val="bottom"/>
          </w:tcPr>
          <w:p>
            <w:pPr>
              <w:ind w:left="220"/>
              <w:spacing w:after="0" w:line="122" w:lineRule="exact"/>
              <w:rPr>
                <w:sz w:val="20"/>
                <w:szCs w:val="20"/>
                <w:color w:val="auto"/>
              </w:rPr>
            </w:pPr>
            <w:r>
              <w:rPr>
                <w:rFonts w:ascii="Times New Roman" w:cs="Times New Roman" w:eastAsia="Times New Roman" w:hAnsi="Times New Roman"/>
                <w:sz w:val="13"/>
                <w:szCs w:val="13"/>
                <w:b w:val="1"/>
                <w:bCs w:val="1"/>
                <w:color w:val="auto"/>
              </w:rPr>
              <w:t>Target ($)</w:t>
            </w:r>
          </w:p>
        </w:tc>
        <w:tc>
          <w:tcPr>
            <w:tcW w:w="10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Maximum ($)</w:t>
            </w:r>
          </w:p>
        </w:tc>
        <w:tc>
          <w:tcPr>
            <w:tcW w:w="960" w:type="dxa"/>
            <w:vAlign w:val="bottom"/>
          </w:tcPr>
          <w:p>
            <w:pPr>
              <w:jc w:val="center"/>
              <w:ind w:left="34"/>
              <w:spacing w:after="0" w:line="122" w:lineRule="exact"/>
              <w:rPr>
                <w:sz w:val="20"/>
                <w:szCs w:val="20"/>
                <w:color w:val="auto"/>
              </w:rPr>
            </w:pPr>
            <w:r>
              <w:rPr>
                <w:rFonts w:ascii="Times New Roman" w:cs="Times New Roman" w:eastAsia="Times New Roman" w:hAnsi="Times New Roman"/>
                <w:sz w:val="13"/>
                <w:szCs w:val="13"/>
                <w:b w:val="1"/>
                <w:bCs w:val="1"/>
                <w:color w:val="auto"/>
                <w:w w:val="97"/>
              </w:rPr>
              <w:t>Threshold (#)</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2"/>
              </w:rPr>
              <w:t>Target (#)</w:t>
            </w:r>
          </w:p>
        </w:tc>
        <w:tc>
          <w:tcPr>
            <w:tcW w:w="9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Maximum (#)</w:t>
            </w:r>
          </w:p>
        </w:tc>
        <w:tc>
          <w:tcPr>
            <w:tcW w:w="132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w:t>
            </w:r>
            <w:r>
              <w:rPr>
                <w:rFonts w:ascii="Times New Roman" w:cs="Times New Roman" w:eastAsia="Times New Roman" w:hAnsi="Times New Roman"/>
                <w:sz w:val="16"/>
                <w:szCs w:val="16"/>
                <w:b w:val="1"/>
                <w:bCs w:val="1"/>
                <w:color w:val="auto"/>
                <w:w w:val="94"/>
                <w:vertAlign w:val="superscript"/>
              </w:rPr>
              <w:t>(2)</w:t>
            </w:r>
          </w:p>
        </w:tc>
        <w:tc>
          <w:tcPr>
            <w:tcW w:w="0" w:type="dxa"/>
            <w:vAlign w:val="bottom"/>
          </w:tcPr>
          <w:p>
            <w:pPr>
              <w:spacing w:after="0"/>
              <w:rPr>
                <w:sz w:val="1"/>
                <w:szCs w:val="1"/>
                <w:color w:val="auto"/>
              </w:rPr>
            </w:pPr>
          </w:p>
        </w:tc>
      </w:tr>
      <w:tr>
        <w:trPr>
          <w:trHeight w:val="172"/>
        </w:trPr>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Jonathan Oringer</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Annual Cash Bonus</w:t>
            </w:r>
          </w:p>
        </w:tc>
        <w:tc>
          <w:tcPr>
            <w:tcW w:w="7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___</w:t>
            </w: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___</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RSU Grants</w:t>
            </w: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4/1/25</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87.011</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1,618,405</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gridSpan w:val="2"/>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Paul Hennessy</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Annual Cash Bonus</w:t>
            </w:r>
          </w:p>
        </w:tc>
        <w:tc>
          <w:tcPr>
            <w:tcW w:w="7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$462,000</w:t>
            </w: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$700,000</w:t>
            </w:r>
          </w:p>
        </w:tc>
        <w:tc>
          <w:tcPr>
            <w:tcW w:w="1040" w:type="dxa"/>
            <w:vAlign w:val="bottom"/>
          </w:tcPr>
          <w:p>
            <w:pPr>
              <w:jc w:val="center"/>
              <w:ind w:right="13"/>
              <w:spacing w:after="0"/>
              <w:rPr>
                <w:sz w:val="20"/>
                <w:szCs w:val="20"/>
                <w:color w:val="auto"/>
              </w:rPr>
            </w:pPr>
            <w:r>
              <w:rPr>
                <w:rFonts w:ascii="Times New Roman" w:cs="Times New Roman" w:eastAsia="Times New Roman" w:hAnsi="Times New Roman"/>
                <w:sz w:val="13"/>
                <w:szCs w:val="13"/>
                <w:color w:val="auto"/>
              </w:rPr>
              <w:t>$910,000</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RSU Grants</w:t>
            </w: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4/1/25</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162,544</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3,023,318</w:t>
            </w: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12/1/25</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375,110</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7,520,955</w:t>
            </w:r>
          </w:p>
        </w:tc>
        <w:tc>
          <w:tcPr>
            <w:tcW w:w="0" w:type="dxa"/>
            <w:vAlign w:val="bottom"/>
          </w:tcPr>
          <w:p>
            <w:pPr>
              <w:spacing w:after="0"/>
              <w:rPr>
                <w:sz w:val="1"/>
                <w:szCs w:val="1"/>
                <w:color w:val="auto"/>
              </w:rPr>
            </w:pPr>
          </w:p>
        </w:tc>
      </w:tr>
      <w:tr>
        <w:trPr>
          <w:trHeight w:val="217"/>
        </w:trPr>
        <w:tc>
          <w:tcPr>
            <w:tcW w:w="1640" w:type="dxa"/>
            <w:vAlign w:val="bottom"/>
            <w:tcBorders>
              <w:bottom w:val="single" w:sz="8" w:color="auto"/>
            </w:tcBorders>
            <w:gridSpan w:val="2"/>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Rikki Powell</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Annual Cash Bonus</w:t>
            </w:r>
          </w:p>
        </w:tc>
        <w:tc>
          <w:tcPr>
            <w:tcW w:w="74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$254,100</w:t>
            </w:r>
          </w:p>
        </w:tc>
        <w:tc>
          <w:tcPr>
            <w:tcW w:w="10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color w:val="auto"/>
              </w:rPr>
              <w:t>$385,000</w:t>
            </w:r>
          </w:p>
        </w:tc>
        <w:tc>
          <w:tcPr>
            <w:tcW w:w="104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$500,500</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RSU Grants</w:t>
            </w: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4/1/25</w:t>
            </w:r>
          </w:p>
        </w:tc>
        <w:tc>
          <w:tcPr>
            <w:tcW w:w="10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142,382</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2,648,305</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gridSpan w:val="2"/>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Matthew Furlong</w:t>
            </w:r>
            <w:r>
              <w:rPr>
                <w:rFonts w:ascii="Times New Roman" w:cs="Times New Roman" w:eastAsia="Times New Roman" w:hAnsi="Times New Roman"/>
                <w:sz w:val="8"/>
                <w:szCs w:val="8"/>
                <w:b w:val="1"/>
                <w:bCs w:val="1"/>
                <w:color w:val="auto"/>
              </w:rPr>
              <w:t>(3)</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Annual Cash Bonus</w:t>
            </w:r>
          </w:p>
        </w:tc>
        <w:tc>
          <w:tcPr>
            <w:tcW w:w="740" w:type="dxa"/>
            <w:vAlign w:val="bottom"/>
          </w:tcPr>
          <w:p>
            <w:pPr>
              <w:spacing w:after="0"/>
              <w:rPr>
                <w:sz w:val="17"/>
                <w:szCs w:val="17"/>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$198,000</w:t>
            </w:r>
          </w:p>
        </w:tc>
        <w:tc>
          <w:tcPr>
            <w:tcW w:w="10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color w:val="auto"/>
              </w:rPr>
              <w:t>$300,000</w:t>
            </w:r>
          </w:p>
        </w:tc>
        <w:tc>
          <w:tcPr>
            <w:tcW w:w="104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color w:val="auto"/>
              </w:rPr>
              <w:t>$390,000</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2025</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RSU Grants</w:t>
            </w: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1/13/25</w:t>
            </w: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30,235</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866,535</w:t>
            </w: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auto"/>
              </w:rPr>
              <w:t>4/1/25</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___</w:t>
            </w:r>
          </w:p>
        </w:tc>
        <w:tc>
          <w:tcPr>
            <w:tcW w:w="13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135,263</w:t>
            </w:r>
          </w:p>
        </w:tc>
        <w:tc>
          <w:tcPr>
            <w:tcW w:w="1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2,515,891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the terms of the Merger Agreement, all equity awards granted in 2025 were RSUs; no PSUs were granted in 2025.</w:t>
      </w:r>
    </w:p>
    <w:p>
      <w:pPr>
        <w:spacing w:after="0" w:line="23"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discussion of the assumptions used in determining grant date fair value may be found in Note 1 to our audited consolidated financial statements included in the Original Form 10-K.</w:t>
      </w:r>
    </w:p>
    <w:p>
      <w:pPr>
        <w:spacing w:after="0" w:line="1" w:lineRule="exact"/>
        <w:rPr>
          <w:rFonts w:ascii="Times New Roman" w:cs="Times New Roman" w:eastAsia="Times New Roman" w:hAnsi="Times New Roman"/>
          <w:sz w:val="16"/>
          <w:szCs w:val="16"/>
          <w:color w:val="auto"/>
        </w:rPr>
      </w:pPr>
    </w:p>
    <w:p>
      <w:pPr>
        <w:ind w:left="660" w:hanging="652"/>
        <w:spacing w:after="0" w:line="27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his departure, and pursuant to the terms of the Furlong Employment Agreement, the RSUs granted in 2025 to Mr. Furlong were forfeited as of September 2, 2025 as well as any portion of his annual cash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all outstanding equity awards held by each of the named executive officers at December 31, 2025:</w:t>
      </w:r>
    </w:p>
    <w:p>
      <w:pPr>
        <w:spacing w:after="0" w:line="228" w:lineRule="exact"/>
        <w:rPr>
          <w:sz w:val="20"/>
          <w:szCs w:val="20"/>
          <w:color w:val="auto"/>
        </w:rPr>
      </w:pPr>
    </w:p>
    <w:p>
      <w:pPr>
        <w:ind w:left="4820"/>
        <w:spacing w:after="0"/>
        <w:tabs>
          <w:tab w:leader="none" w:pos="8940" w:val="left"/>
        </w:tabs>
        <w:rPr>
          <w:sz w:val="20"/>
          <w:szCs w:val="20"/>
          <w:color w:val="auto"/>
        </w:rPr>
      </w:pPr>
      <w:r>
        <w:rPr>
          <w:rFonts w:ascii="Times New Roman" w:cs="Times New Roman" w:eastAsia="Times New Roman" w:hAnsi="Times New Roman"/>
          <w:sz w:val="11"/>
          <w:szCs w:val="11"/>
          <w:b w:val="1"/>
          <w:bCs w:val="1"/>
          <w:color w:val="auto"/>
        </w:rPr>
        <w:t>OPTIONS</w:t>
      </w:r>
      <w:r>
        <w:rPr>
          <w:sz w:val="20"/>
          <w:szCs w:val="20"/>
          <w:color w:val="auto"/>
        </w:rPr>
        <w:tab/>
      </w:r>
      <w:r>
        <w:rPr>
          <w:rFonts w:ascii="Times New Roman" w:cs="Times New Roman" w:eastAsia="Times New Roman" w:hAnsi="Times New Roman"/>
          <w:sz w:val="11"/>
          <w:szCs w:val="11"/>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32385</wp:posOffset>
            </wp:positionV>
            <wp:extent cx="55035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03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Equity Incentive</w:t>
            </w:r>
          </w:p>
        </w:tc>
        <w:tc>
          <w:tcPr>
            <w:tcW w:w="0" w:type="dxa"/>
            <w:vAlign w:val="bottom"/>
          </w:tcPr>
          <w:p>
            <w:pPr>
              <w:spacing w:after="0"/>
              <w:rPr>
                <w:sz w:val="1"/>
                <w:szCs w:val="1"/>
                <w:color w:val="auto"/>
              </w:rPr>
            </w:pPr>
          </w:p>
        </w:tc>
      </w:tr>
      <w:tr>
        <w:trPr>
          <w:trHeight w:val="117"/>
        </w:trPr>
        <w:tc>
          <w:tcPr>
            <w:tcW w:w="1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00" w:type="dxa"/>
            <w:vAlign w:val="bottom"/>
          </w:tcPr>
          <w:p>
            <w:pPr>
              <w:ind w:left="60"/>
              <w:spacing w:after="0" w:line="118" w:lineRule="exact"/>
              <w:rPr>
                <w:sz w:val="20"/>
                <w:szCs w:val="20"/>
                <w:color w:val="auto"/>
              </w:rPr>
            </w:pPr>
            <w:r>
              <w:rPr>
                <w:rFonts w:ascii="Times New Roman" w:cs="Times New Roman" w:eastAsia="Times New Roman" w:hAnsi="Times New Roman"/>
                <w:sz w:val="11"/>
                <w:szCs w:val="11"/>
                <w:b w:val="1"/>
                <w:bCs w:val="1"/>
                <w:color w:val="auto"/>
              </w:rPr>
              <w:t>Plan Awards:</w:t>
            </w:r>
          </w:p>
        </w:tc>
        <w:tc>
          <w:tcPr>
            <w:tcW w:w="0" w:type="dxa"/>
            <w:vAlign w:val="bottom"/>
          </w:tcPr>
          <w:p>
            <w:pPr>
              <w:spacing w:after="0"/>
              <w:rPr>
                <w:sz w:val="1"/>
                <w:szCs w:val="1"/>
                <w:color w:val="auto"/>
              </w:rPr>
            </w:pPr>
          </w:p>
        </w:tc>
      </w:tr>
      <w:tr>
        <w:trPr>
          <w:trHeight w:val="128"/>
        </w:trPr>
        <w:tc>
          <w:tcPr>
            <w:tcW w:w="1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Plan Awards:</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Plan Awards:</w:t>
            </w: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Market or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2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90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Payout Value of</w:t>
            </w:r>
          </w:p>
        </w:tc>
        <w:tc>
          <w:tcPr>
            <w:tcW w:w="0" w:type="dxa"/>
            <w:vAlign w:val="bottom"/>
          </w:tcPr>
          <w:p>
            <w:pPr>
              <w:spacing w:after="0"/>
              <w:rPr>
                <w:sz w:val="1"/>
                <w:szCs w:val="1"/>
                <w:color w:val="auto"/>
              </w:rPr>
            </w:pPr>
          </w:p>
        </w:tc>
      </w:tr>
      <w:tr>
        <w:trPr>
          <w:trHeight w:val="106"/>
        </w:trPr>
        <w:tc>
          <w:tcPr>
            <w:tcW w:w="14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8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220" w:type="dxa"/>
            <w:vAlign w:val="bottom"/>
          </w:tcPr>
          <w:p>
            <w:pPr>
              <w:spacing w:after="0"/>
              <w:rPr>
                <w:sz w:val="9"/>
                <w:szCs w:val="9"/>
                <w:color w:val="auto"/>
              </w:rPr>
            </w:pPr>
          </w:p>
        </w:tc>
        <w:tc>
          <w:tcPr>
            <w:tcW w:w="102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8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00" w:type="dxa"/>
            <w:vAlign w:val="bottom"/>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w w:val="97"/>
              </w:rPr>
              <w:t>Shares or</w:t>
            </w:r>
          </w:p>
        </w:tc>
        <w:tc>
          <w:tcPr>
            <w:tcW w:w="100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Unearned Shares,</w:t>
            </w:r>
          </w:p>
        </w:tc>
        <w:tc>
          <w:tcPr>
            <w:tcW w:w="90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b w:val="1"/>
                <w:bCs w:val="1"/>
                <w:color w:val="auto"/>
              </w:rPr>
              <w:t>Unearned</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220" w:type="dxa"/>
            <w:vAlign w:val="bottom"/>
          </w:tcPr>
          <w:p>
            <w:pPr>
              <w:jc w:val="center"/>
              <w:ind w:left="26"/>
              <w:spacing w:after="0" w:line="124" w:lineRule="exact"/>
              <w:rPr>
                <w:sz w:val="20"/>
                <w:szCs w:val="20"/>
                <w:color w:val="auto"/>
              </w:rPr>
            </w:pPr>
            <w:r>
              <w:rPr>
                <w:rFonts w:ascii="Times New Roman" w:cs="Times New Roman" w:eastAsia="Times New Roman" w:hAnsi="Times New Roman"/>
                <w:sz w:val="11"/>
                <w:szCs w:val="11"/>
                <w:b w:val="1"/>
                <w:bCs w:val="1"/>
                <w:color w:val="auto"/>
                <w:w w:val="98"/>
              </w:rPr>
              <w:t>Number of Securities</w:t>
            </w:r>
          </w:p>
        </w:tc>
        <w:tc>
          <w:tcPr>
            <w:tcW w:w="102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8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Units of</w:t>
            </w:r>
          </w:p>
        </w:tc>
        <w:tc>
          <w:tcPr>
            <w:tcW w:w="100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w w:val="97"/>
              </w:rPr>
              <w:t>Market Value of</w:t>
            </w:r>
          </w:p>
        </w:tc>
        <w:tc>
          <w:tcPr>
            <w:tcW w:w="1080" w:type="dxa"/>
            <w:vAlign w:val="bottom"/>
            <w:vMerge w:val="continue"/>
          </w:tcPr>
          <w:p>
            <w:pPr>
              <w:spacing w:after="0"/>
              <w:rPr>
                <w:sz w:val="10"/>
                <w:szCs w:val="10"/>
                <w:color w:val="auto"/>
              </w:rPr>
            </w:pPr>
          </w:p>
        </w:tc>
        <w:tc>
          <w:tcPr>
            <w:tcW w:w="900" w:type="dxa"/>
            <w:vAlign w:val="bottom"/>
          </w:tcPr>
          <w:p>
            <w:pPr>
              <w:ind w:left="60"/>
              <w:spacing w:after="0" w:line="124" w:lineRule="exact"/>
              <w:rPr>
                <w:sz w:val="20"/>
                <w:szCs w:val="20"/>
                <w:color w:val="auto"/>
              </w:rPr>
            </w:pPr>
            <w:r>
              <w:rPr>
                <w:rFonts w:ascii="Times New Roman" w:cs="Times New Roman" w:eastAsia="Times New Roman" w:hAnsi="Times New Roman"/>
                <w:sz w:val="11"/>
                <w:szCs w:val="11"/>
                <w:b w:val="1"/>
                <w:bCs w:val="1"/>
                <w:color w:val="auto"/>
              </w:rPr>
              <w:t>Shares, Units or</w:t>
            </w: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1220" w:type="dxa"/>
            <w:vAlign w:val="bottom"/>
            <w:vMerge w:val="restart"/>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Unexercised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1000" w:type="dxa"/>
            <w:vAlign w:val="bottom"/>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Stock That</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 or Units of</w:t>
            </w:r>
          </w:p>
        </w:tc>
        <w:tc>
          <w:tcPr>
            <w:tcW w:w="1080" w:type="dxa"/>
            <w:vAlign w:val="bottom"/>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auto"/>
              </w:rPr>
              <w:t>Units or Other</w:t>
            </w: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Other Rights</w:t>
            </w: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02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Rights That Have</w:t>
            </w:r>
          </w:p>
        </w:tc>
        <w:tc>
          <w:tcPr>
            <w:tcW w:w="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Options (#)</w:t>
            </w:r>
          </w:p>
        </w:tc>
        <w:tc>
          <w:tcPr>
            <w:tcW w:w="122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Unexercised Options</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Unearned Options</w:t>
            </w: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Exercise Price</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Option Expiration</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0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 That Have</w:t>
            </w:r>
          </w:p>
        </w:tc>
        <w:tc>
          <w:tcPr>
            <w:tcW w:w="1080" w:type="dxa"/>
            <w:vAlign w:val="bottom"/>
            <w:vMerge w:val="continue"/>
          </w:tcPr>
          <w:p>
            <w:pPr>
              <w:spacing w:after="0"/>
              <w:rPr>
                <w:sz w:val="10"/>
                <w:szCs w:val="10"/>
                <w:color w:val="auto"/>
              </w:rPr>
            </w:pPr>
          </w:p>
        </w:tc>
        <w:tc>
          <w:tcPr>
            <w:tcW w:w="900" w:type="dxa"/>
            <w:vAlign w:val="bottom"/>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That Have Not</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Executive Officer</w:t>
            </w:r>
          </w:p>
        </w:tc>
        <w:tc>
          <w:tcPr>
            <w:tcW w:w="120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1220" w:type="dxa"/>
            <w:vAlign w:val="bottom"/>
            <w:tcBorders>
              <w:bottom w:val="single" w:sz="8" w:color="auto"/>
            </w:tcBorders>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 Unexercisable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Vested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Not Vested ($)</w:t>
            </w:r>
            <w:r>
              <w:rPr>
                <w:rFonts w:ascii="Times New Roman" w:cs="Times New Roman" w:eastAsia="Times New Roman" w:hAnsi="Times New Roman"/>
                <w:sz w:val="14"/>
                <w:szCs w:val="14"/>
                <w:b w:val="1"/>
                <w:bCs w:val="1"/>
                <w:color w:val="auto"/>
                <w:w w:val="92"/>
                <w:vertAlign w:val="superscript"/>
              </w:rPr>
              <w:t>(1)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Not Vested (#)</w:t>
            </w: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Vested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240"/>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Jon Oringer</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3/1/2016</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263,742</w:t>
            </w: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jc w:val="right"/>
              <w:ind w:right="182"/>
              <w:spacing w:after="0"/>
              <w:rPr>
                <w:sz w:val="20"/>
                <w:szCs w:val="20"/>
                <w:color w:val="auto"/>
              </w:rPr>
            </w:pPr>
            <w:r>
              <w:rPr>
                <w:rFonts w:ascii="Times New Roman" w:cs="Times New Roman" w:eastAsia="Times New Roman" w:hAnsi="Times New Roman"/>
                <w:sz w:val="14"/>
                <w:szCs w:val="14"/>
                <w:color w:val="auto"/>
              </w:rPr>
              <w:t>32.95</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3/1/2026</w:t>
            </w: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4/1/2022</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4/3/2023</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25,201</w:t>
            </w: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4"/>
                <w:szCs w:val="14"/>
                <w:color w:val="auto"/>
              </w:rPr>
              <w:t>481,339</w:t>
            </w: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4/1/2024</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72,813</w:t>
            </w:r>
          </w:p>
        </w:tc>
        <w:tc>
          <w:tcPr>
            <w:tcW w:w="900" w:type="dxa"/>
            <w:vAlign w:val="bottom"/>
          </w:tcPr>
          <w:p>
            <w:pPr>
              <w:jc w:val="right"/>
              <w:ind w:right="83"/>
              <w:spacing w:after="0"/>
              <w:rPr>
                <w:sz w:val="20"/>
                <w:szCs w:val="20"/>
                <w:color w:val="auto"/>
              </w:rPr>
            </w:pPr>
            <w:r>
              <w:rPr>
                <w:rFonts w:ascii="Times New Roman" w:cs="Times New Roman" w:eastAsia="Times New Roman" w:hAnsi="Times New Roman"/>
                <w:sz w:val="14"/>
                <w:szCs w:val="14"/>
                <w:color w:val="auto"/>
              </w:rPr>
              <w:t>1,390,728</w:t>
            </w: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4/1/2025</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87,011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1,661,910</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Paul Hennessy</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7/1/2022</w:t>
            </w:r>
          </w:p>
        </w:tc>
        <w:tc>
          <w:tcPr>
            <w:tcW w:w="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4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2/23/2023</w:t>
            </w: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2/21/2024</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7/1/2024</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54,181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1,034,857</w:t>
            </w:r>
            <w:r>
              <w:rPr>
                <w:rFonts w:ascii="Times New Roman" w:cs="Times New Roman" w:eastAsia="Times New Roman" w:hAnsi="Times New Roman"/>
                <w:sz w:val="18"/>
                <w:szCs w:val="18"/>
                <w:color w:val="auto"/>
                <w:w w:val="97"/>
                <w:vertAlign w:val="superscript"/>
              </w:rPr>
              <w:t>(2)</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4/1/2025</w:t>
            </w: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162,544</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3,104,590</w:t>
            </w:r>
            <w:r>
              <w:rPr>
                <w:rFonts w:ascii="Times New Roman" w:cs="Times New Roman" w:eastAsia="Times New Roman" w:hAnsi="Times New Roman"/>
                <w:sz w:val="18"/>
                <w:szCs w:val="18"/>
                <w:color w:val="auto"/>
                <w:w w:val="97"/>
                <w:vertAlign w:val="superscript"/>
              </w:rPr>
              <w:t>(3)</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12/1/2025</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375,110</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7,164,601</w:t>
            </w:r>
            <w:r>
              <w:rPr>
                <w:rFonts w:ascii="Times New Roman" w:cs="Times New Roman" w:eastAsia="Times New Roman" w:hAnsi="Times New Roman"/>
                <w:sz w:val="18"/>
                <w:szCs w:val="18"/>
                <w:color w:val="auto"/>
                <w:w w:val="97"/>
                <w:vertAlign w:val="superscript"/>
              </w:rPr>
              <w:t>(4)</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4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Rikki Powell</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7/1/2024</w:t>
            </w:r>
          </w:p>
        </w:tc>
        <w:tc>
          <w:tcPr>
            <w:tcW w:w="8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6,693</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127,836</w:t>
            </w:r>
            <w:r>
              <w:rPr>
                <w:rFonts w:ascii="Times New Roman" w:cs="Times New Roman" w:eastAsia="Times New Roman" w:hAnsi="Times New Roman"/>
                <w:sz w:val="18"/>
                <w:szCs w:val="18"/>
                <w:color w:val="auto"/>
                <w:w w:val="97"/>
                <w:vertAlign w:val="superscript"/>
              </w:rPr>
              <w:t>(5)</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4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1420" w:type="dxa"/>
            <w:vAlign w:val="bottom"/>
          </w:tcPr>
          <w:p>
            <w:pPr>
              <w:spacing w:after="0"/>
              <w:rPr>
                <w:sz w:val="21"/>
                <w:szCs w:val="21"/>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11/1/2024</w:t>
            </w:r>
          </w:p>
        </w:tc>
        <w:tc>
          <w:tcPr>
            <w:tcW w:w="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7,271</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138,876</w:t>
            </w:r>
            <w:r>
              <w:rPr>
                <w:rFonts w:ascii="Times New Roman" w:cs="Times New Roman" w:eastAsia="Times New Roman" w:hAnsi="Times New Roman"/>
                <w:sz w:val="18"/>
                <w:szCs w:val="18"/>
                <w:color w:val="auto"/>
                <w:w w:val="97"/>
                <w:vertAlign w:val="superscript"/>
              </w:rPr>
              <w:t>(6)</w:t>
            </w:r>
          </w:p>
        </w:tc>
        <w:tc>
          <w:tcPr>
            <w:tcW w:w="10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3"/>
        </w:trPr>
        <w:tc>
          <w:tcPr>
            <w:tcW w:w="142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4/1/2025</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142,382</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2,719,496</w:t>
            </w:r>
            <w:r>
              <w:rPr>
                <w:rFonts w:ascii="Times New Roman" w:cs="Times New Roman" w:eastAsia="Times New Roman" w:hAnsi="Times New Roman"/>
                <w:sz w:val="18"/>
                <w:szCs w:val="18"/>
                <w:color w:val="auto"/>
                <w:w w:val="97"/>
                <w:vertAlign w:val="superscript"/>
              </w:rPr>
              <w:t>(7)</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Matthew Furlong</w:t>
            </w:r>
          </w:p>
        </w:tc>
        <w:tc>
          <w:tcPr>
            <w:tcW w:w="12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1/13/2025</w:t>
            </w: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8"/>
                <w:szCs w:val="28"/>
                <w:color w:val="auto"/>
                <w:w w:val="90"/>
                <w:vertAlign w:val="subscript"/>
              </w:rPr>
              <w:t>0</w:t>
            </w:r>
            <w:r>
              <w:rPr>
                <w:rFonts w:ascii="Times New Roman" w:cs="Times New Roman" w:eastAsia="Times New Roman" w:hAnsi="Times New Roman"/>
                <w:sz w:val="9"/>
                <w:szCs w:val="9"/>
                <w:color w:val="auto"/>
                <w:w w:val="90"/>
              </w:rPr>
              <w:t>(8)</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4"/>
          <w:szCs w:val="14"/>
          <w:color w:val="auto"/>
        </w:rPr>
        <w:t>4/1/2025</w:t>
      </w:r>
    </w:p>
    <w:p>
      <w:pPr>
        <w:ind w:left="8680"/>
        <w:spacing w:after="0" w:line="180" w:lineRule="auto"/>
        <w:rPr>
          <w:sz w:val="20"/>
          <w:szCs w:val="20"/>
          <w:color w:val="auto"/>
        </w:rPr>
      </w:pPr>
      <w:r>
        <w:rPr>
          <w:rFonts w:ascii="Times New Roman" w:cs="Times New Roman" w:eastAsia="Times New Roman" w:hAnsi="Times New Roman"/>
          <w:sz w:val="21"/>
          <w:szCs w:val="21"/>
          <w:color w:val="auto"/>
          <w:vertAlign w:val="subscript"/>
        </w:rPr>
        <w:t>0</w:t>
      </w:r>
      <w:r>
        <w:rPr>
          <w:rFonts w:ascii="Times New Roman" w:cs="Times New Roman" w:eastAsia="Times New Roman" w:hAnsi="Times New Roman"/>
          <w:sz w:val="8"/>
          <w:szCs w:val="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0"/>
          <w:szCs w:val="20"/>
          <w:color w:val="auto"/>
        </w:rPr>
      </w:pPr>
    </w:p>
    <w:p>
      <w:pPr>
        <w:ind w:left="660" w:hanging="652"/>
        <w:spacing w:after="0" w:line="258"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a price per share of our Common Stock of $19.10, which represents the closing price per share of our Common Stock on the NYSE on December 31, 2025.</w:t>
      </w:r>
    </w:p>
    <w:p>
      <w:pPr>
        <w:spacing w:after="0" w:line="19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full July 1, 2026.</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full July 1, 2026.</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full July 1, 2027.</w:t>
      </w:r>
    </w:p>
    <w:p>
      <w:pPr>
        <w:spacing w:after="0" w:line="8" w:lineRule="exact"/>
        <w:rPr>
          <w:rFonts w:ascii="Times New Roman" w:cs="Times New Roman" w:eastAsia="Times New Roman" w:hAnsi="Times New Roman"/>
          <w:sz w:val="16"/>
          <w:szCs w:val="16"/>
          <w:color w:val="auto"/>
        </w:rPr>
      </w:pPr>
    </w:p>
    <w:p>
      <w:pPr>
        <w:ind w:left="660" w:hanging="652"/>
        <w:spacing w:after="0" w:line="253"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multiple over 4 years. 25% of the grant will vest annually no later than the first and second anniversaries of the original grant date and 6.25% will vest quarterly after the second and third anniversaries.</w:t>
      </w: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three annual installments of 33.3%, 33.3% and 33.4%, respectively, beginning on November 1, 2024.</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RSU vests in three annual installments of 33.3%, 33.3% and 33.4%, respectively, beginning on April 1, 2025.</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his departure, the RSUs granted in 2025 to Mr. Furlong were forfeited as of September 2, 2025.</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2025</w:t>
      </w:r>
    </w:p>
    <w:p>
      <w:pPr>
        <w:spacing w:after="0" w:line="14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exercise of stock options and vesting of stock awards during fiscal 2025 for each of our named executive officers.</w:t>
      </w:r>
    </w:p>
    <w:p>
      <w:pPr>
        <w:sectPr>
          <w:pgSz w:w="11900" w:h="16838" w:orient="portrait"/>
          <w:cols w:equalWidth="0" w:num="1">
            <w:col w:w="11240"/>
          </w:cols>
          <w:pgMar w:left="320" w:top="1413" w:right="339" w:bottom="9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987" w:gutter="0" w:footer="0" w:header="0"/>
          <w:type w:val="continuous"/>
        </w:sectPr>
      </w:pPr>
    </w:p>
    <w:bookmarkStart w:id="23" w:name="page24"/>
    <w:bookmarkEnd w:id="2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27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400" w:type="dxa"/>
            <w:vAlign w:val="bottom"/>
          </w:tcPr>
          <w:p>
            <w:pPr>
              <w:spacing w:after="0"/>
              <w:rPr>
                <w:sz w:val="20"/>
                <w:szCs w:val="20"/>
                <w:color w:val="auto"/>
              </w:rPr>
            </w:pPr>
          </w:p>
        </w:tc>
        <w:tc>
          <w:tcPr>
            <w:tcW w:w="42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3"/>
        </w:trPr>
        <w:tc>
          <w:tcPr>
            <w:tcW w:w="20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Realized on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 Realized on</w:t>
            </w:r>
          </w:p>
        </w:tc>
        <w:tc>
          <w:tcPr>
            <w:tcW w:w="0" w:type="dxa"/>
            <w:vAlign w:val="bottom"/>
          </w:tcPr>
          <w:p>
            <w:pPr>
              <w:spacing w:after="0"/>
              <w:rPr>
                <w:sz w:val="1"/>
                <w:szCs w:val="1"/>
                <w:color w:val="auto"/>
              </w:rPr>
            </w:pPr>
          </w:p>
        </w:tc>
      </w:tr>
      <w:tr>
        <w:trPr>
          <w:trHeight w:val="215"/>
        </w:trPr>
        <w:tc>
          <w:tcPr>
            <w:tcW w:w="20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Acquired on Exercise</w:t>
            </w:r>
          </w:p>
        </w:tc>
        <w:tc>
          <w:tcPr>
            <w:tcW w:w="580" w:type="dxa"/>
            <w:vAlign w:val="bottom"/>
          </w:tcPr>
          <w:p>
            <w:pPr>
              <w:spacing w:after="0"/>
              <w:rPr>
                <w:sz w:val="18"/>
                <w:szCs w:val="18"/>
                <w:color w:val="auto"/>
              </w:rPr>
            </w:pPr>
          </w:p>
        </w:tc>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Acquired on Vesting</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0" w:type="dxa"/>
            <w:vAlign w:val="bottom"/>
          </w:tcPr>
          <w:p>
            <w:pPr>
              <w:spacing w:after="0"/>
              <w:rPr>
                <w:sz w:val="1"/>
                <w:szCs w:val="1"/>
                <w:color w:val="auto"/>
              </w:rPr>
            </w:pPr>
          </w:p>
        </w:tc>
      </w:tr>
      <w:tr>
        <w:trPr>
          <w:trHeight w:val="267"/>
        </w:trPr>
        <w:tc>
          <w:tcPr>
            <w:tcW w:w="20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5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8"/>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Jon Oringer</w:t>
            </w:r>
          </w:p>
        </w:tc>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78,280</w:t>
            </w:r>
            <w:r>
              <w:rPr>
                <w:rFonts w:ascii="Times New Roman" w:cs="Times New Roman" w:eastAsia="Times New Roman" w:hAnsi="Times New Roman"/>
                <w:sz w:val="23"/>
                <w:szCs w:val="23"/>
                <w:color w:val="auto"/>
                <w:w w:val="94"/>
                <w:vertAlign w:val="superscript"/>
              </w:rPr>
              <w:t>(2)</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1,456,008</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2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Paul Hennessy</w:t>
            </w:r>
          </w:p>
        </w:tc>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362,710</w:t>
            </w:r>
            <w:r>
              <w:rPr>
                <w:rFonts w:ascii="Times New Roman" w:cs="Times New Roman" w:eastAsia="Times New Roman" w:hAnsi="Times New Roman"/>
                <w:sz w:val="23"/>
                <w:szCs w:val="23"/>
                <w:color w:val="auto"/>
                <w:w w:val="94"/>
                <w:vertAlign w:val="superscript"/>
              </w:rPr>
              <w:t>(3)</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7,290,471</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vMerge w:val="continue"/>
          </w:tcPr>
          <w:p>
            <w:pPr>
              <w:spacing w:after="0"/>
              <w:rPr>
                <w:sz w:val="13"/>
                <w:szCs w:val="13"/>
                <w:color w:val="auto"/>
              </w:rPr>
            </w:pPr>
          </w:p>
        </w:tc>
        <w:tc>
          <w:tcPr>
            <w:tcW w:w="20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Rikki Powell</w:t>
            </w:r>
          </w:p>
        </w:tc>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24"/>
                <w:szCs w:val="24"/>
                <w:color w:val="auto"/>
              </w:rPr>
            </w:pPr>
          </w:p>
        </w:tc>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5,866</w:t>
            </w:r>
            <w:r>
              <w:rPr>
                <w:rFonts w:ascii="Times New Roman" w:cs="Times New Roman" w:eastAsia="Times New Roman" w:hAnsi="Times New Roman"/>
                <w:sz w:val="23"/>
                <w:szCs w:val="23"/>
                <w:color w:val="auto"/>
                <w:w w:val="92"/>
                <w:vertAlign w:val="superscript"/>
              </w:rPr>
              <w:t>(4)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135,827</w:t>
            </w:r>
          </w:p>
        </w:tc>
        <w:tc>
          <w:tcPr>
            <w:tcW w:w="0" w:type="dxa"/>
            <w:vAlign w:val="bottom"/>
          </w:tcPr>
          <w:p>
            <w:pPr>
              <w:spacing w:after="0"/>
              <w:rPr>
                <w:sz w:val="1"/>
                <w:szCs w:val="1"/>
                <w:color w:val="auto"/>
              </w:rPr>
            </w:pPr>
          </w:p>
        </w:tc>
      </w:tr>
      <w:tr>
        <w:trPr>
          <w:trHeight w:val="134"/>
        </w:trPr>
        <w:tc>
          <w:tcPr>
            <w:tcW w:w="20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Matthew Furlong</w:t>
            </w:r>
          </w:p>
        </w:tc>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140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66262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31" w:lineRule="exact"/>
        <w:rPr>
          <w:sz w:val="20"/>
          <w:szCs w:val="20"/>
          <w:color w:val="auto"/>
        </w:rPr>
      </w:pPr>
    </w:p>
    <w:p>
      <w:pPr>
        <w:ind w:left="660" w:right="20" w:hanging="652"/>
        <w:spacing w:after="0" w:line="258"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 realized was calculated by multiplying the number of shares that vested by the per share closing price of the Company’s Common Stock on the vesting date. The values do not include the payment of taxes by the NEOs.</w:t>
      </w:r>
    </w:p>
    <w:p>
      <w:pPr>
        <w:ind w:left="660" w:hanging="652"/>
        <w:spacing w:after="0" w:line="255"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Oringer’s restricted stock units, Mr. Oringer received 54,896 shares.</w:t>
      </w:r>
    </w:p>
    <w:p>
      <w:pPr>
        <w:ind w:left="660" w:right="20" w:hanging="652"/>
        <w:spacing w:after="0" w:line="255"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Hennessy’s restricted stock units, Mr. Hennessy received 180,651 shares.</w:t>
      </w:r>
    </w:p>
    <w:p>
      <w:pPr>
        <w:ind w:left="660" w:right="20" w:hanging="652"/>
        <w:spacing w:after="0" w:line="257"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shares were withheld by the Company to satisfy tax withholding obligations that arose upon the vesting of Mr. Powell’s restricted stock units, Mr. Powell received 3,502 shares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tables below reflect the amount of compensation that would have been owed to each of our NEOs in the event of employment termination or a termination upon a change of control on December 31, 2025. For compensation paid upon termination for Mr. Furlong and additional information with respect to our other named executive officers, see “Mr. Furlong Arrangements” below, “Employment Agreements and Compensatory Arrangements” and the Summary Compensation Table.</w:t>
      </w:r>
    </w:p>
    <w:p>
      <w:pPr>
        <w:spacing w:after="0" w:line="3" w:lineRule="exact"/>
        <w:rPr>
          <w:sz w:val="20"/>
          <w:szCs w:val="20"/>
          <w:color w:val="auto"/>
        </w:rPr>
      </w:pPr>
    </w:p>
    <w:p>
      <w:pPr>
        <w:ind w:right="260" w:firstLine="648"/>
        <w:spacing w:after="0" w:line="260" w:lineRule="auto"/>
        <w:rPr>
          <w:sz w:val="20"/>
          <w:szCs w:val="20"/>
          <w:color w:val="auto"/>
        </w:rPr>
      </w:pPr>
      <w:r>
        <w:rPr>
          <w:rFonts w:ascii="Times New Roman" w:cs="Times New Roman" w:eastAsia="Times New Roman" w:hAnsi="Times New Roman"/>
          <w:sz w:val="18"/>
          <w:szCs w:val="18"/>
          <w:color w:val="auto"/>
        </w:rPr>
        <w:t>Regardless of the reason for a named executive officer’s termination of employment, they may be entitled to receive amounts earned during the term of employment. Such amounts include, through the date of termination:</w:t>
      </w:r>
    </w:p>
    <w:p>
      <w:pPr>
        <w:spacing w:after="0" w:line="102"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but unpaid salary;</w:t>
      </w:r>
    </w:p>
    <w:p>
      <w:pPr>
        <w:ind w:left="1300" w:hanging="644"/>
        <w:spacing w:after="0" w:line="219"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w:t>
      </w:r>
    </w:p>
    <w:p>
      <w:pPr>
        <w:ind w:left="1300" w:hanging="644"/>
        <w:spacing w:after="0" w:line="203"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unreimbursed business expenses; and</w:t>
      </w: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exercise vested stock options for a limited period of time.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in the table below were calculated using the following assumptions:</w:t>
      </w:r>
    </w:p>
    <w:p>
      <w:pPr>
        <w:spacing w:after="0" w:line="158"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tables do not include the value of vested but unexercised stock options and vested restricted stock units; and</w:t>
      </w:r>
    </w:p>
    <w:p>
      <w:pPr>
        <w:spacing w:after="0" w:line="2" w:lineRule="exact"/>
        <w:rPr>
          <w:rFonts w:ascii="Times New Roman" w:cs="Times New Roman" w:eastAsia="Times New Roman" w:hAnsi="Times New Roman"/>
          <w:sz w:val="18"/>
          <w:szCs w:val="18"/>
          <w:color w:val="auto"/>
        </w:rPr>
      </w:pPr>
    </w:p>
    <w:p>
      <w:pPr>
        <w:ind w:left="1300" w:right="20" w:hanging="644"/>
        <w:spacing w:after="0" w:line="226"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 continuation expense was calculated using the Company’s costs for medical, dental, and life insurance coverage for each named executive officer as in effect on January 1, 2025, except where otherwise specified.</w:t>
      </w:r>
    </w:p>
    <w:p>
      <w:pPr>
        <w:spacing w:after="0" w:line="11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Because the payments to be made to the named executive officers depend on several factors, the actual amounts to be paid out upon a named executive officer’s termination of employment can be determined only at the time of his or her actual separation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Continued</w:t>
            </w: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Cash</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Participation in</w:t>
            </w:r>
          </w:p>
        </w:tc>
        <w:tc>
          <w:tcPr>
            <w:tcW w:w="1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Named Executive Cause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1060" w:type="dxa"/>
            <w:vAlign w:val="bottom"/>
            <w:gridSpan w:val="2"/>
            <w:vMerge w:val="restart"/>
          </w:tcPr>
          <w:p>
            <w:pPr>
              <w:jc w:val="right"/>
              <w:ind w:right="143"/>
              <w:spacing w:after="0"/>
              <w:rPr>
                <w:sz w:val="20"/>
                <w:szCs w:val="20"/>
                <w:color w:val="auto"/>
              </w:rPr>
            </w:pPr>
            <w:r>
              <w:rPr>
                <w:rFonts w:ascii="Times New Roman" w:cs="Times New Roman" w:eastAsia="Times New Roman" w:hAnsi="Times New Roman"/>
                <w:sz w:val="16"/>
                <w:szCs w:val="16"/>
                <w:b w:val="1"/>
                <w:bCs w:val="1"/>
                <w:color w:val="auto"/>
              </w:rPr>
              <w:t>Pro-Rata</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Acceleration of</w:t>
            </w:r>
          </w:p>
        </w:tc>
        <w:tc>
          <w:tcPr>
            <w:tcW w:w="16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Medical &amp; Dental</w:t>
            </w:r>
          </w:p>
        </w:tc>
        <w:tc>
          <w:tcPr>
            <w:tcW w:w="16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Outplacement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520" w:type="dxa"/>
            <w:vAlign w:val="bottom"/>
            <w:vMerge w:val="continue"/>
          </w:tcPr>
          <w:p>
            <w:pPr>
              <w:spacing w:after="0"/>
              <w:rPr>
                <w:sz w:val="4"/>
                <w:szCs w:val="4"/>
                <w:color w:val="auto"/>
              </w:rPr>
            </w:pPr>
          </w:p>
        </w:tc>
        <w:tc>
          <w:tcPr>
            <w:tcW w:w="114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9"/>
              </w:rPr>
              <w:t>Payment</w:t>
            </w:r>
          </w:p>
        </w:tc>
        <w:tc>
          <w:tcPr>
            <w:tcW w:w="1060" w:type="dxa"/>
            <w:vAlign w:val="bottom"/>
            <w:gridSpan w:val="2"/>
            <w:vMerge w:val="continue"/>
          </w:tcPr>
          <w:p>
            <w:pPr>
              <w:spacing w:after="0"/>
              <w:rPr>
                <w:sz w:val="4"/>
                <w:szCs w:val="4"/>
                <w:color w:val="auto"/>
              </w:rPr>
            </w:pPr>
          </w:p>
        </w:tc>
        <w:tc>
          <w:tcPr>
            <w:tcW w:w="142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Equity Awards</w:t>
            </w:r>
          </w:p>
        </w:tc>
        <w:tc>
          <w:tcPr>
            <w:tcW w:w="1600" w:type="dxa"/>
            <w:vAlign w:val="bottom"/>
            <w:vMerge w:val="restart"/>
          </w:tcPr>
          <w:p>
            <w:pPr>
              <w:jc w:val="center"/>
              <w:ind w:right="39"/>
              <w:spacing w:after="0" w:line="181" w:lineRule="exact"/>
              <w:rPr>
                <w:sz w:val="20"/>
                <w:szCs w:val="20"/>
                <w:color w:val="auto"/>
              </w:rPr>
            </w:pPr>
            <w:r>
              <w:rPr>
                <w:rFonts w:ascii="Times New Roman" w:cs="Times New Roman" w:eastAsia="Times New Roman" w:hAnsi="Times New Roman"/>
                <w:sz w:val="16"/>
                <w:szCs w:val="16"/>
                <w:b w:val="1"/>
                <w:bCs w:val="1"/>
                <w:color w:val="auto"/>
              </w:rPr>
              <w:t>Benefit Plans</w:t>
            </w:r>
          </w:p>
        </w:tc>
        <w:tc>
          <w:tcPr>
            <w:tcW w:w="1640" w:type="dxa"/>
            <w:vAlign w:val="bottom"/>
            <w:vMerge w:val="restart"/>
          </w:tcPr>
          <w:p>
            <w:pPr>
              <w:jc w:val="center"/>
              <w:ind w:right="159"/>
              <w:spacing w:after="0" w:line="181" w:lineRule="exact"/>
              <w:rPr>
                <w:sz w:val="20"/>
                <w:szCs w:val="20"/>
                <w:color w:val="auto"/>
              </w:rPr>
            </w:pPr>
            <w:r>
              <w:rPr>
                <w:rFonts w:ascii="Times New Roman" w:cs="Times New Roman" w:eastAsia="Times New Roman" w:hAnsi="Times New Roman"/>
                <w:sz w:val="16"/>
                <w:szCs w:val="16"/>
                <w:b w:val="1"/>
                <w:bCs w:val="1"/>
                <w:color w:val="auto"/>
              </w:rPr>
              <w:t>Benefits</w:t>
            </w:r>
          </w:p>
        </w:tc>
        <w:tc>
          <w:tcPr>
            <w:tcW w:w="1120" w:type="dxa"/>
            <w:vAlign w:val="bottom"/>
            <w:vMerge w:val="restart"/>
          </w:tcPr>
          <w:p>
            <w:pPr>
              <w:jc w:val="right"/>
              <w:ind w:right="379"/>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5"/>
        </w:trPr>
        <w:tc>
          <w:tcPr>
            <w:tcW w:w="25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Termination</w:t>
            </w:r>
          </w:p>
        </w:tc>
        <w:tc>
          <w:tcPr>
            <w:tcW w:w="1140" w:type="dxa"/>
            <w:vAlign w:val="bottom"/>
            <w:vMerge w:val="continue"/>
          </w:tcPr>
          <w:p>
            <w:pPr>
              <w:spacing w:after="0"/>
              <w:rPr>
                <w:sz w:val="10"/>
                <w:szCs w:val="10"/>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w w:val="97"/>
              </w:rPr>
              <w:t>Bonus ($)</w:t>
            </w:r>
          </w:p>
        </w:tc>
        <w:tc>
          <w:tcPr>
            <w:tcW w:w="280" w:type="dxa"/>
            <w:vAlign w:val="bottom"/>
          </w:tcPr>
          <w:p>
            <w:pPr>
              <w:jc w:val="right"/>
              <w:ind w:right="63"/>
              <w:spacing w:after="0" w:line="125" w:lineRule="exact"/>
              <w:rPr>
                <w:sz w:val="20"/>
                <w:szCs w:val="20"/>
                <w:color w:val="auto"/>
              </w:rPr>
            </w:pPr>
            <w:r>
              <w:rPr>
                <w:rFonts w:ascii="Times New Roman" w:cs="Times New Roman" w:eastAsia="Times New Roman" w:hAnsi="Times New Roman"/>
                <w:sz w:val="12"/>
                <w:szCs w:val="12"/>
                <w:b w:val="1"/>
                <w:bCs w:val="1"/>
                <w:color w:val="auto"/>
                <w:w w:val="85"/>
              </w:rPr>
              <w:t>(1)</w:t>
            </w:r>
          </w:p>
        </w:tc>
        <w:tc>
          <w:tcPr>
            <w:tcW w:w="14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vMerge w:val="continue"/>
          </w:tcPr>
          <w:p>
            <w:pPr>
              <w:spacing w:after="0"/>
              <w:rPr>
                <w:sz w:val="7"/>
                <w:szCs w:val="7"/>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20" w:type="dxa"/>
            <w:vAlign w:val="bottom"/>
            <w:vMerge w:val="restart"/>
          </w:tcPr>
          <w:p>
            <w:pPr>
              <w:jc w:val="center"/>
              <w:spacing w:after="0" w:line="253" w:lineRule="exact"/>
              <w:rPr>
                <w:sz w:val="20"/>
                <w:szCs w:val="20"/>
                <w:color w:val="auto"/>
              </w:rPr>
            </w:pPr>
            <w:r>
              <w:rPr>
                <w:rFonts w:ascii="Times New Roman" w:cs="Times New Roman" w:eastAsia="Times New Roman" w:hAnsi="Times New Roman"/>
                <w:sz w:val="16"/>
                <w:szCs w:val="16"/>
                <w:b w:val="1"/>
                <w:bCs w:val="1"/>
                <w:color w:val="auto"/>
                <w:w w:val="92"/>
              </w:rPr>
              <w:t>($)</w:t>
            </w:r>
            <w:r>
              <w:rPr>
                <w:rFonts w:ascii="Times New Roman" w:cs="Times New Roman" w:eastAsia="Times New Roman" w:hAnsi="Times New Roman"/>
                <w:sz w:val="23"/>
                <w:szCs w:val="23"/>
                <w:b w:val="1"/>
                <w:bCs w:val="1"/>
                <w:color w:val="auto"/>
                <w:w w:val="92"/>
                <w:vertAlign w:val="superscript"/>
              </w:rPr>
              <w:t>(2)</w:t>
            </w:r>
          </w:p>
        </w:tc>
        <w:tc>
          <w:tcPr>
            <w:tcW w:w="16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640" w:type="dxa"/>
            <w:vAlign w:val="bottom"/>
            <w:vMerge w:val="restart"/>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vMerge w:val="restart"/>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66"/>
        </w:trPr>
        <w:tc>
          <w:tcPr>
            <w:tcW w:w="2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Jonathan Oringer</w:t>
            </w: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color w:val="auto"/>
                <w:vertAlign w:val="superscript"/>
              </w:rPr>
              <w:t>(3)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3,533,978</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41,045</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3,580,023</w:t>
            </w:r>
          </w:p>
        </w:tc>
        <w:tc>
          <w:tcPr>
            <w:tcW w:w="0" w:type="dxa"/>
            <w:vAlign w:val="bottom"/>
          </w:tcPr>
          <w:p>
            <w:pPr>
              <w:spacing w:after="0"/>
              <w:rPr>
                <w:sz w:val="1"/>
                <w:szCs w:val="1"/>
                <w:color w:val="auto"/>
              </w:rPr>
            </w:pPr>
          </w:p>
        </w:tc>
      </w:tr>
      <w:tr>
        <w:trPr>
          <w:trHeight w:val="242"/>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Termination by Company without</w:t>
            </w: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1"/>
                <w:szCs w:val="21"/>
                <w:color w:val="auto"/>
              </w:rPr>
            </w:pPr>
          </w:p>
        </w:tc>
        <w:tc>
          <w:tcPr>
            <w:tcW w:w="280" w:type="dxa"/>
            <w:vAlign w:val="bottom"/>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1,176,694</w:t>
            </w:r>
          </w:p>
        </w:tc>
        <w:tc>
          <w:tcPr>
            <w:tcW w:w="1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41,045</w:t>
            </w:r>
          </w:p>
        </w:tc>
        <w:tc>
          <w:tcPr>
            <w:tcW w:w="1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1,222,739</w:t>
            </w:r>
          </w:p>
        </w:tc>
        <w:tc>
          <w:tcPr>
            <w:tcW w:w="0" w:type="dxa"/>
            <w:vAlign w:val="bottom"/>
          </w:tcPr>
          <w:p>
            <w:pPr>
              <w:spacing w:after="0"/>
              <w:rPr>
                <w:sz w:val="1"/>
                <w:szCs w:val="1"/>
                <w:color w:val="auto"/>
              </w:rPr>
            </w:pPr>
          </w:p>
        </w:tc>
      </w:tr>
      <w:tr>
        <w:trPr>
          <w:trHeight w:val="210"/>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“cause”</w:t>
            </w:r>
          </w:p>
        </w:tc>
        <w:tc>
          <w:tcPr>
            <w:tcW w:w="11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Death or disability</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8"/>
        </w:trPr>
        <w:tc>
          <w:tcPr>
            <w:tcW w:w="25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Paul Hennessy</w:t>
            </w: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color w:val="auto"/>
                <w:vertAlign w:val="superscript"/>
              </w:rPr>
              <w:t>(3)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1,050,000</w:t>
            </w:r>
          </w:p>
        </w:tc>
        <w:tc>
          <w:tcPr>
            <w:tcW w:w="106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auto"/>
              </w:rPr>
              <w:t>700,000</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11,304,049</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27,092</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13,081,140</w:t>
            </w:r>
          </w:p>
        </w:tc>
        <w:tc>
          <w:tcPr>
            <w:tcW w:w="0" w:type="dxa"/>
            <w:vAlign w:val="bottom"/>
          </w:tcPr>
          <w:p>
            <w:pPr>
              <w:spacing w:after="0"/>
              <w:rPr>
                <w:sz w:val="1"/>
                <w:szCs w:val="1"/>
                <w:color w:val="auto"/>
              </w:rPr>
            </w:pPr>
          </w:p>
        </w:tc>
      </w:tr>
      <w:tr>
        <w:trPr>
          <w:trHeight w:val="242"/>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Termination by Company without</w:t>
            </w: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1,050,000</w:t>
            </w:r>
          </w:p>
        </w:tc>
        <w:tc>
          <w:tcPr>
            <w:tcW w:w="10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700,000</w:t>
            </w: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11,304,049</w:t>
            </w:r>
          </w:p>
        </w:tc>
        <w:tc>
          <w:tcPr>
            <w:tcW w:w="1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40,638</w:t>
            </w:r>
          </w:p>
        </w:tc>
        <w:tc>
          <w:tcPr>
            <w:tcW w:w="1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13,094,686</w:t>
            </w:r>
          </w:p>
        </w:tc>
        <w:tc>
          <w:tcPr>
            <w:tcW w:w="0" w:type="dxa"/>
            <w:vAlign w:val="bottom"/>
          </w:tcPr>
          <w:p>
            <w:pPr>
              <w:spacing w:after="0"/>
              <w:rPr>
                <w:sz w:val="1"/>
                <w:szCs w:val="1"/>
                <w:color w:val="auto"/>
              </w:rPr>
            </w:pPr>
          </w:p>
        </w:tc>
      </w:tr>
      <w:tr>
        <w:trPr>
          <w:trHeight w:val="210"/>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“cause”</w:t>
            </w:r>
          </w:p>
        </w:tc>
        <w:tc>
          <w:tcPr>
            <w:tcW w:w="1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Death or disability</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78"/>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Rikki Powell</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Control</w:t>
            </w:r>
            <w:r>
              <w:rPr>
                <w:rFonts w:ascii="Times New Roman" w:cs="Times New Roman" w:eastAsia="Times New Roman" w:hAnsi="Times New Roman"/>
                <w:sz w:val="23"/>
                <w:szCs w:val="23"/>
                <w:b w:val="1"/>
                <w:bCs w:val="1"/>
                <w:color w:val="auto"/>
                <w:vertAlign w:val="superscript"/>
              </w:rPr>
              <w:t>(3)</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1060" w:type="dxa"/>
            <w:vAlign w:val="bottom"/>
            <w:gridSpan w:val="2"/>
          </w:tcPr>
          <w:p>
            <w:pPr>
              <w:jc w:val="right"/>
              <w:ind w:right="83"/>
              <w:spacing w:after="0"/>
              <w:rPr>
                <w:sz w:val="20"/>
                <w:szCs w:val="20"/>
                <w:color w:val="auto"/>
              </w:rPr>
            </w:pPr>
            <w:r>
              <w:rPr>
                <w:rFonts w:ascii="Times New Roman" w:cs="Times New Roman" w:eastAsia="Times New Roman" w:hAnsi="Times New Roman"/>
                <w:sz w:val="16"/>
                <w:szCs w:val="16"/>
                <w:color w:val="auto"/>
              </w:rPr>
              <w:t>385,000</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2,986,209</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27,092</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3,948,301</w:t>
            </w:r>
          </w:p>
        </w:tc>
        <w:tc>
          <w:tcPr>
            <w:tcW w:w="0" w:type="dxa"/>
            <w:vAlign w:val="bottom"/>
          </w:tcPr>
          <w:p>
            <w:pPr>
              <w:spacing w:after="0"/>
              <w:rPr>
                <w:sz w:val="1"/>
                <w:szCs w:val="1"/>
                <w:color w:val="auto"/>
              </w:rPr>
            </w:pPr>
          </w:p>
        </w:tc>
      </w:tr>
      <w:tr>
        <w:trPr>
          <w:trHeight w:val="242"/>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Termination by Company without</w:t>
            </w:r>
          </w:p>
        </w:tc>
        <w:tc>
          <w:tcPr>
            <w:tcW w:w="11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106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6"/>
                <w:szCs w:val="16"/>
                <w:color w:val="auto"/>
              </w:rPr>
              <w:t>385,000</w:t>
            </w:r>
          </w:p>
        </w:tc>
        <w:tc>
          <w:tcPr>
            <w:tcW w:w="14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1,029,165</w:t>
            </w:r>
          </w:p>
        </w:tc>
        <w:tc>
          <w:tcPr>
            <w:tcW w:w="16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27,092</w:t>
            </w:r>
          </w:p>
        </w:tc>
        <w:tc>
          <w:tcPr>
            <w:tcW w:w="164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1,991,257</w:t>
            </w:r>
          </w:p>
        </w:tc>
        <w:tc>
          <w:tcPr>
            <w:tcW w:w="0" w:type="dxa"/>
            <w:vAlign w:val="bottom"/>
          </w:tcPr>
          <w:p>
            <w:pPr>
              <w:spacing w:after="0"/>
              <w:rPr>
                <w:sz w:val="1"/>
                <w:szCs w:val="1"/>
                <w:color w:val="auto"/>
              </w:rPr>
            </w:pPr>
          </w:p>
        </w:tc>
      </w:tr>
      <w:tr>
        <w:trPr>
          <w:trHeight w:val="210"/>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“cause”</w:t>
            </w:r>
          </w:p>
        </w:tc>
        <w:tc>
          <w:tcPr>
            <w:tcW w:w="114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Death or disability</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24"/>
                <w:szCs w:val="24"/>
                <w:color w:val="auto"/>
              </w:rPr>
            </w:pPr>
          </w:p>
        </w:tc>
        <w:tc>
          <w:tcPr>
            <w:tcW w:w="2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60" w:hanging="652"/>
        <w:spacing w:after="0" w:line="255"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Hennessy and Mr. Powell’s employment agreements provide for a bonus payment equal to 100% of each of their targets for the year of termination in connection with a change in control.</w:t>
      </w:r>
    </w:p>
    <w:p>
      <w:pPr>
        <w:spacing w:after="0" w:line="2" w:lineRule="exact"/>
        <w:rPr>
          <w:rFonts w:ascii="Times New Roman" w:cs="Times New Roman" w:eastAsia="Times New Roman" w:hAnsi="Times New Roman"/>
          <w:sz w:val="16"/>
          <w:szCs w:val="16"/>
          <w:color w:val="auto"/>
        </w:rPr>
      </w:pPr>
    </w:p>
    <w:p>
      <w:pPr>
        <w:jc w:val="both"/>
        <w:ind w:left="660" w:hanging="652"/>
        <w:spacing w:after="0" w:line="254"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unvested equity awards, based on the closing market price of our common stock of $19.10 per share on December 31, 2025, that would vest on an accelerated basis upon the occurrence of certain events. For Mr. Oringer, includes acceleration of vesting for performance-based RSUs assuming target performance was achieved on the assumed date of termination on December 31, 2025 and does not include any amount for acceleration of vesting of performance-based stock options because the target price of such stock options was greater than the closing market price of our Common Stock on December 31, 2025.</w:t>
      </w:r>
    </w:p>
    <w:p>
      <w:pPr>
        <w:ind w:left="660" w:hanging="652"/>
        <w:spacing w:after="0" w:line="275"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change in control severance benefits based on a double-trigger arrangement, which assumes a “change in control” of the Company followed by the termination by the Company of an NEO without “cause”.</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Mr. Furlong Arrangements</w:t>
      </w:r>
    </w:p>
    <w:p>
      <w:pPr>
        <w:spacing w:after="0" w:line="14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August 8, 2025, Matthew Furlong notified the Company of his resignation as Chief Marketplace Officer, effective September 2, 2025. In connection with his voluntary resignation, Mr. Furlong received the accrued benefits for a voluntary resignation in accordance with Section 7(c) of the Furlong Employment Agreement. The dollar amount of all accrued benefits Mr. Furlong received pursuant to the terms of the Furlong Employment Agreement in connection with this resignation was $0.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Compensation</w:t>
      </w:r>
    </w:p>
    <w:p>
      <w:pPr>
        <w:spacing w:after="0" w:line="158"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overall goal of our director compensation program is to provide compensation for our non-employee directors in a manner that enables us to attract and retain outstanding director candidates and reflects the substantial time commitment necessary to oversee the Company’s affairs. Our director compensation program is also intended to align the interests of our directors and our stockholders, and we have chosen to do so by compensating our non-employee directors with a mix of cash and equity-based compensation. We also reimburse our non-employee directors for reasonable travel expenses and other out-of-pocket costs incurred in connection with attending Board and committee meetings.</w:t>
      </w:r>
    </w:p>
    <w:p>
      <w:pPr>
        <w:spacing w:after="0" w:line="129"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The Board reviews the recommendations of the</w:t>
      </w:r>
    </w:p>
    <w:p>
      <w:pPr>
        <w:sectPr>
          <w:pgSz w:w="11900" w:h="16838" w:orient="portrait"/>
          <w:cols w:equalWidth="0" w:num="1">
            <w:col w:w="11240"/>
          </w:cols>
          <w:pgMar w:left="320" w:top="1440" w:right="339" w:bottom="1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163" w:gutter="0" w:footer="0" w:header="0"/>
          <w:type w:val="continuous"/>
        </w:sectPr>
      </w:pPr>
    </w:p>
    <w:bookmarkStart w:id="25" w:name="page26"/>
    <w:bookmarkEnd w:id="25"/>
    <w:p>
      <w:pPr>
        <w:ind w:right="200"/>
        <w:spacing w:after="0" w:line="282" w:lineRule="auto"/>
        <w:rPr>
          <w:sz w:val="20"/>
          <w:szCs w:val="20"/>
          <w:color w:val="auto"/>
        </w:rPr>
      </w:pPr>
      <w:r>
        <w:rPr>
          <w:rFonts w:ascii="Times New Roman" w:cs="Times New Roman" w:eastAsia="Times New Roman" w:hAnsi="Times New Roman"/>
          <w:sz w:val="18"/>
          <w:szCs w:val="18"/>
          <w:color w:val="auto"/>
        </w:rPr>
        <w:t>Compensation Committee and determines the form and amount of director compensation. Directors who also serve as employees of the Company do not receive payment for services as a director.</w:t>
      </w:r>
    </w:p>
    <w:p>
      <w:pPr>
        <w:spacing w:after="0" w:line="10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Amended and Restated 2022 Plan limits the maximum aggregate value of awards granted under the Shutterstock, Inc. 2022 Omnibus Equity Incentive Plan (based on their grant date fair value for financial reporting purposes) and cash payable to any individual non-employee director in any fiscal year to $750,000, subject to extraordinary circumstances for any non-employee director as the Board may determine in its discretion and in accordance with the terms of the Amended and Restated 2022 Plan. The Board believes this is a meaningful limit on total director compensation.</w:t>
      </w:r>
    </w:p>
    <w:p>
      <w:pPr>
        <w:spacing w:after="0" w:line="70"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Our non-employee director compensation program provides for an annual fee of $50,000 and fees for the chairperson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our Audit, Compensation, and Nominating and Corporate Governance Committees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2025 Annual Retainer-</w:t>
            </w: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 Annual Retainer-Other</w:t>
            </w:r>
          </w:p>
        </w:tc>
        <w:tc>
          <w:tcPr>
            <w:tcW w:w="0" w:type="dxa"/>
            <w:vAlign w:val="bottom"/>
          </w:tcPr>
          <w:p>
            <w:pPr>
              <w:spacing w:after="0"/>
              <w:rPr>
                <w:sz w:val="1"/>
                <w:szCs w:val="1"/>
                <w:color w:val="auto"/>
              </w:rPr>
            </w:pPr>
          </w:p>
        </w:tc>
      </w:tr>
      <w:tr>
        <w:trPr>
          <w:trHeight w:val="216"/>
        </w:trPr>
        <w:tc>
          <w:tcPr>
            <w:tcW w:w="4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Role</w:t>
            </w:r>
          </w:p>
        </w:tc>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26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0" w:type="dxa"/>
            <w:vAlign w:val="bottom"/>
          </w:tcPr>
          <w:p>
            <w:pPr>
              <w:spacing w:after="0"/>
              <w:rPr>
                <w:sz w:val="1"/>
                <w:szCs w:val="1"/>
                <w:color w:val="auto"/>
              </w:rPr>
            </w:pPr>
          </w:p>
        </w:tc>
      </w:tr>
      <w:tr>
        <w:trPr>
          <w:trHeight w:val="103"/>
        </w:trPr>
        <w:tc>
          <w:tcPr>
            <w:tcW w:w="4760" w:type="dxa"/>
            <w:vAlign w:val="bottom"/>
            <w:vMerge w:val="continue"/>
          </w:tcPr>
          <w:p>
            <w:pPr>
              <w:spacing w:after="0"/>
              <w:rPr>
                <w:sz w:val="8"/>
                <w:szCs w:val="8"/>
                <w:color w:val="auto"/>
              </w:rPr>
            </w:pPr>
          </w:p>
        </w:tc>
        <w:tc>
          <w:tcPr>
            <w:tcW w:w="300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rPr>
              <w:t>($)</w:t>
            </w:r>
          </w:p>
        </w:tc>
        <w:tc>
          <w:tcPr>
            <w:tcW w:w="266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35"/>
        </w:trPr>
        <w:tc>
          <w:tcPr>
            <w:tcW w:w="4760" w:type="dxa"/>
            <w:vAlign w:val="bottom"/>
          </w:tcPr>
          <w:p>
            <w:pPr>
              <w:spacing w:after="0"/>
              <w:rPr>
                <w:sz w:val="11"/>
                <w:szCs w:val="11"/>
                <w:color w:val="auto"/>
              </w:rPr>
            </w:pPr>
          </w:p>
        </w:tc>
        <w:tc>
          <w:tcPr>
            <w:tcW w:w="3000" w:type="dxa"/>
            <w:vAlign w:val="bottom"/>
            <w:vMerge w:val="continue"/>
          </w:tcPr>
          <w:p>
            <w:pPr>
              <w:spacing w:after="0"/>
              <w:rPr>
                <w:sz w:val="11"/>
                <w:szCs w:val="11"/>
                <w:color w:val="auto"/>
              </w:rPr>
            </w:pPr>
          </w:p>
        </w:tc>
        <w:tc>
          <w:tcPr>
            <w:tcW w:w="2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Audit Committee</w:t>
            </w:r>
          </w:p>
        </w:tc>
        <w:tc>
          <w:tcPr>
            <w:tcW w:w="30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20,000</w:t>
            </w:r>
          </w:p>
        </w:tc>
        <w:tc>
          <w:tcPr>
            <w:tcW w:w="266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Compensation Committee</w:t>
            </w:r>
          </w:p>
        </w:tc>
        <w:tc>
          <w:tcPr>
            <w:tcW w:w="3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15,000</w:t>
            </w:r>
          </w:p>
        </w:tc>
        <w:tc>
          <w:tcPr>
            <w:tcW w:w="26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5,000</w:t>
            </w:r>
          </w:p>
        </w:tc>
        <w:tc>
          <w:tcPr>
            <w:tcW w:w="0" w:type="dxa"/>
            <w:vAlign w:val="bottom"/>
          </w:tcPr>
          <w:p>
            <w:pPr>
              <w:spacing w:after="0"/>
              <w:rPr>
                <w:sz w:val="1"/>
                <w:szCs w:val="1"/>
                <w:color w:val="auto"/>
              </w:rPr>
            </w:pPr>
          </w:p>
        </w:tc>
      </w:tr>
      <w:tr>
        <w:trPr>
          <w:trHeight w:val="157"/>
        </w:trPr>
        <w:tc>
          <w:tcPr>
            <w:tcW w:w="47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00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10,000</w:t>
            </w:r>
          </w:p>
        </w:tc>
        <w:tc>
          <w:tcPr>
            <w:tcW w:w="26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8"/>
              </w:rPr>
              <w:t>5,000</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annual cash retainer, the independent director who serves as the presiding director receives an additional annual cash retainer in the amount of $20,000. All fees are payable quarterly in arrears (and prorated in the event of service less than an entire quarter).</w:t>
      </w:r>
    </w:p>
    <w:p>
      <w:pPr>
        <w:spacing w:after="0" w:line="106"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2025 Non-Employee Director Equity Compensation: </w:t>
      </w:r>
      <w:r>
        <w:rPr>
          <w:rFonts w:ascii="Times New Roman" w:cs="Times New Roman" w:eastAsia="Times New Roman" w:hAnsi="Times New Roman"/>
          <w:sz w:val="18"/>
          <w:szCs w:val="18"/>
          <w:color w:val="auto"/>
        </w:rPr>
        <w:t>Our non-employee director compensation program also provides for a 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(“RSU”) award with a cash value equal to $175,000 annually upon election and annually thereafter, with the grant date of such annual award to be the date of our annual meeting of stockholders. These RSUs vest on the earlier of (i) the one-year anniversary of the date of grant and (ii) the date immediately preceding the date of our next annual meeting of stockholders, subject in each case to the non-employee director’s continued service to the Company through the vesting date. If a non-employee director is appointed to the Board at any point other than at the annual meeting of stockholders, the initial director grant is prorated.</w:t>
      </w:r>
    </w:p>
    <w:p>
      <w:pPr>
        <w:spacing w:after="0" w:line="13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the Amended and Restated 2022 Plan and the terms of the RSU agreements entered into between each non-employee director and the Company. Furthermore, pursuant to the terms of our director compensation policy, the RSUs fully vest upon a change in control of the Company.</w:t>
      </w:r>
    </w:p>
    <w:p>
      <w:pPr>
        <w:spacing w:after="0" w:line="1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the amount of compensation received by our non-employee directors for the year ended December 31, 2025. Information regarding the compensation of Mr. Oringer and Mr. Hennessy is set forth in the Summary Compensation Table included elsewhere in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6" w:name="page27"/>
    <w:bookmarkEnd w:id="26"/>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38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Fees Earned or Paid in Cash ($)</w:t>
            </w:r>
          </w:p>
        </w:tc>
        <w:tc>
          <w:tcPr>
            <w:tcW w:w="2560" w:type="dxa"/>
            <w:vAlign w:val="bottom"/>
            <w:vMerge w:val="restart"/>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5"/>
              </w:rPr>
              <w:t>Stock Awards ($)</w:t>
            </w:r>
            <w:r>
              <w:rPr>
                <w:rFonts w:ascii="Times New Roman" w:cs="Times New Roman" w:eastAsia="Times New Roman" w:hAnsi="Times New Roman"/>
                <w:sz w:val="23"/>
                <w:szCs w:val="23"/>
                <w:b w:val="1"/>
                <w:bCs w:val="1"/>
                <w:color w:val="auto"/>
                <w:w w:val="95"/>
                <w:vertAlign w:val="superscript"/>
              </w:rPr>
              <w:t>(2)</w:t>
            </w:r>
          </w:p>
        </w:tc>
        <w:tc>
          <w:tcPr>
            <w:tcW w:w="24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Total ($)</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jc w:val="center"/>
              <w:ind w:left="195"/>
              <w:spacing w:after="0"/>
              <w:rPr>
                <w:sz w:val="20"/>
                <w:szCs w:val="20"/>
                <w:color w:val="auto"/>
              </w:rPr>
            </w:pPr>
            <w:r>
              <w:rPr>
                <w:rFonts w:ascii="Times New Roman" w:cs="Times New Roman" w:eastAsia="Times New Roman" w:hAnsi="Times New Roman"/>
                <w:sz w:val="12"/>
                <w:szCs w:val="12"/>
                <w:b w:val="1"/>
                <w:bCs w:val="1"/>
                <w:color w:val="auto"/>
                <w:w w:val="99"/>
              </w:rPr>
              <w:t>(1)</w:t>
            </w:r>
          </w:p>
        </w:tc>
        <w:tc>
          <w:tcPr>
            <w:tcW w:w="2560" w:type="dxa"/>
            <w:vAlign w:val="bottom"/>
            <w:tcBorders>
              <w:bottom w:val="single" w:sz="8" w:color="auto"/>
            </w:tcBorders>
            <w:vMerge w:val="continue"/>
          </w:tcPr>
          <w:p>
            <w:pPr>
              <w:spacing w:after="0"/>
              <w:rPr>
                <w:sz w:val="18"/>
                <w:szCs w:val="18"/>
                <w:color w:val="auto"/>
              </w:rPr>
            </w:pPr>
          </w:p>
        </w:tc>
        <w:tc>
          <w:tcPr>
            <w:tcW w:w="2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Deirdre Bigley</w:t>
            </w:r>
            <w:r>
              <w:rPr>
                <w:rFonts w:ascii="Times New Roman" w:cs="Times New Roman" w:eastAsia="Times New Roman" w:hAnsi="Times New Roman"/>
                <w:sz w:val="23"/>
                <w:szCs w:val="23"/>
                <w:color w:val="auto"/>
                <w:vertAlign w:val="superscript"/>
              </w:rPr>
              <w:t>(3)</w:t>
            </w:r>
          </w:p>
        </w:tc>
        <w:tc>
          <w:tcPr>
            <w:tcW w:w="33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184,203</w:t>
            </w:r>
          </w:p>
        </w:tc>
        <w:tc>
          <w:tcPr>
            <w:tcW w:w="2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254,203</w:t>
            </w:r>
          </w:p>
        </w:tc>
        <w:tc>
          <w:tcPr>
            <w:tcW w:w="0" w:type="dxa"/>
            <w:vAlign w:val="bottom"/>
          </w:tcPr>
          <w:p>
            <w:pPr>
              <w:spacing w:after="0"/>
              <w:rPr>
                <w:sz w:val="1"/>
                <w:szCs w:val="1"/>
                <w:color w:val="auto"/>
              </w:rPr>
            </w:pPr>
          </w:p>
        </w:tc>
      </w:tr>
      <w:tr>
        <w:trPr>
          <w:trHeight w:val="157"/>
        </w:trPr>
        <w:tc>
          <w:tcPr>
            <w:tcW w:w="2080" w:type="dxa"/>
            <w:vAlign w:val="bottom"/>
            <w:vMerge w:val="continue"/>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3"/>
                <w:szCs w:val="23"/>
                <w:color w:val="auto"/>
                <w:vertAlign w:val="superscript"/>
              </w:rPr>
              <w:t>(4)</w:t>
            </w:r>
          </w:p>
        </w:tc>
        <w:tc>
          <w:tcPr>
            <w:tcW w:w="33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95,000</w:t>
            </w:r>
          </w:p>
        </w:tc>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184,203</w:t>
            </w: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279,203</w:t>
            </w:r>
          </w:p>
        </w:tc>
        <w:tc>
          <w:tcPr>
            <w:tcW w:w="0" w:type="dxa"/>
            <w:vAlign w:val="bottom"/>
          </w:tcPr>
          <w:p>
            <w:pPr>
              <w:spacing w:after="0"/>
              <w:rPr>
                <w:sz w:val="1"/>
                <w:szCs w:val="1"/>
                <w:color w:val="auto"/>
              </w:rPr>
            </w:pPr>
          </w:p>
        </w:tc>
      </w:tr>
      <w:tr>
        <w:trPr>
          <w:trHeight w:val="157"/>
        </w:trPr>
        <w:tc>
          <w:tcPr>
            <w:tcW w:w="208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Rachna Bhasin</w:t>
            </w:r>
            <w:r>
              <w:rPr>
                <w:rFonts w:ascii="Times New Roman" w:cs="Times New Roman" w:eastAsia="Times New Roman" w:hAnsi="Times New Roman"/>
                <w:sz w:val="23"/>
                <w:szCs w:val="23"/>
                <w:color w:val="auto"/>
                <w:vertAlign w:val="superscript"/>
              </w:rPr>
              <w:t>(5)</w:t>
            </w:r>
          </w:p>
        </w:tc>
        <w:tc>
          <w:tcPr>
            <w:tcW w:w="33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184,203</w:t>
            </w:r>
          </w:p>
        </w:tc>
        <w:tc>
          <w:tcPr>
            <w:tcW w:w="24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254,203</w:t>
            </w:r>
          </w:p>
        </w:tc>
        <w:tc>
          <w:tcPr>
            <w:tcW w:w="0" w:type="dxa"/>
            <w:vAlign w:val="bottom"/>
          </w:tcPr>
          <w:p>
            <w:pPr>
              <w:spacing w:after="0"/>
              <w:rPr>
                <w:sz w:val="1"/>
                <w:szCs w:val="1"/>
                <w:color w:val="auto"/>
              </w:rPr>
            </w:pPr>
          </w:p>
        </w:tc>
      </w:tr>
      <w:tr>
        <w:trPr>
          <w:trHeight w:val="157"/>
        </w:trPr>
        <w:tc>
          <w:tcPr>
            <w:tcW w:w="2080" w:type="dxa"/>
            <w:vAlign w:val="bottom"/>
            <w:vMerge w:val="continue"/>
            <w:shd w:val="clear" w:color="auto" w:fill="CCEEFF"/>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3"/>
                <w:szCs w:val="23"/>
                <w:color w:val="auto"/>
                <w:vertAlign w:val="superscript"/>
              </w:rPr>
              <w:t>(6)</w:t>
            </w:r>
          </w:p>
        </w:tc>
        <w:tc>
          <w:tcPr>
            <w:tcW w:w="3380" w:type="dxa"/>
            <w:vAlign w:val="bottom"/>
          </w:tcPr>
          <w:p>
            <w:pPr>
              <w:jc w:val="center"/>
              <w:ind w:left="195"/>
              <w:spacing w:after="0"/>
              <w:rPr>
                <w:sz w:val="20"/>
                <w:szCs w:val="20"/>
                <w:color w:val="auto"/>
              </w:rPr>
            </w:pPr>
            <w:r>
              <w:rPr>
                <w:rFonts w:ascii="Times New Roman" w:cs="Times New Roman" w:eastAsia="Times New Roman" w:hAnsi="Times New Roman"/>
                <w:sz w:val="18"/>
                <w:szCs w:val="18"/>
                <w:color w:val="auto"/>
              </w:rPr>
              <w:t>70,000</w:t>
            </w:r>
          </w:p>
        </w:tc>
        <w:tc>
          <w:tcPr>
            <w:tcW w:w="25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184,203</w:t>
            </w:r>
          </w:p>
        </w:tc>
        <w:tc>
          <w:tcPr>
            <w:tcW w:w="2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254,203</w:t>
            </w:r>
          </w:p>
        </w:tc>
        <w:tc>
          <w:tcPr>
            <w:tcW w:w="0" w:type="dxa"/>
            <w:vAlign w:val="bottom"/>
          </w:tcPr>
          <w:p>
            <w:pPr>
              <w:spacing w:after="0"/>
              <w:rPr>
                <w:sz w:val="1"/>
                <w:szCs w:val="1"/>
                <w:color w:val="auto"/>
              </w:rPr>
            </w:pPr>
          </w:p>
        </w:tc>
      </w:tr>
      <w:tr>
        <w:trPr>
          <w:trHeight w:val="157"/>
        </w:trPr>
        <w:tc>
          <w:tcPr>
            <w:tcW w:w="208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Jaime Teevan</w:t>
            </w:r>
            <w:r>
              <w:rPr>
                <w:rFonts w:ascii="Times New Roman" w:cs="Times New Roman" w:eastAsia="Times New Roman" w:hAnsi="Times New Roman"/>
                <w:sz w:val="23"/>
                <w:szCs w:val="23"/>
                <w:color w:val="auto"/>
                <w:vertAlign w:val="superscript"/>
              </w:rPr>
              <w:t>(7)</w:t>
            </w:r>
          </w:p>
        </w:tc>
        <w:tc>
          <w:tcPr>
            <w:tcW w:w="3380" w:type="dxa"/>
            <w:vAlign w:val="bottom"/>
            <w:vMerge w:val="restart"/>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50,000</w:t>
            </w:r>
          </w:p>
        </w:tc>
        <w:tc>
          <w:tcPr>
            <w:tcW w:w="2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rPr>
              <w:t>184,203</w:t>
            </w:r>
          </w:p>
        </w:tc>
        <w:tc>
          <w:tcPr>
            <w:tcW w:w="2400" w:type="dxa"/>
            <w:vAlign w:val="bottom"/>
            <w:vMerge w:val="restart"/>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234,203</w:t>
            </w:r>
          </w:p>
        </w:tc>
        <w:tc>
          <w:tcPr>
            <w:tcW w:w="0" w:type="dxa"/>
            <w:vAlign w:val="bottom"/>
          </w:tcPr>
          <w:p>
            <w:pPr>
              <w:spacing w:after="0"/>
              <w:rPr>
                <w:sz w:val="1"/>
                <w:szCs w:val="1"/>
                <w:color w:val="auto"/>
              </w:rPr>
            </w:pPr>
          </w:p>
        </w:tc>
      </w:tr>
      <w:tr>
        <w:trPr>
          <w:trHeight w:val="157"/>
        </w:trPr>
        <w:tc>
          <w:tcPr>
            <w:tcW w:w="2080" w:type="dxa"/>
            <w:vAlign w:val="bottom"/>
            <w:vMerge w:val="continue"/>
            <w:shd w:val="clear" w:color="auto" w:fill="CCEEFF"/>
          </w:tcPr>
          <w:p>
            <w:pPr>
              <w:spacing w:after="0"/>
              <w:rPr>
                <w:sz w:val="13"/>
                <w:szCs w:val="13"/>
                <w:color w:val="auto"/>
              </w:rPr>
            </w:pPr>
          </w:p>
        </w:tc>
        <w:tc>
          <w:tcPr>
            <w:tcW w:w="3380" w:type="dxa"/>
            <w:vAlign w:val="bottom"/>
            <w:vMerge w:val="continue"/>
            <w:shd w:val="clear" w:color="auto" w:fill="CCEEFF"/>
          </w:tcPr>
          <w:p>
            <w:pPr>
              <w:spacing w:after="0"/>
              <w:rPr>
                <w:sz w:val="13"/>
                <w:szCs w:val="13"/>
                <w:color w:val="auto"/>
              </w:rPr>
            </w:pPr>
          </w:p>
        </w:tc>
        <w:tc>
          <w:tcPr>
            <w:tcW w:w="2560" w:type="dxa"/>
            <w:vAlign w:val="bottom"/>
            <w:shd w:val="clear" w:color="auto" w:fill="CCEEFF"/>
          </w:tcPr>
          <w:p>
            <w:pPr>
              <w:spacing w:after="0"/>
              <w:rPr>
                <w:sz w:val="13"/>
                <w:szCs w:val="13"/>
                <w:color w:val="auto"/>
              </w:rPr>
            </w:pPr>
          </w:p>
        </w:tc>
        <w:tc>
          <w:tcPr>
            <w:tcW w:w="2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60" w:hanging="652"/>
        <w:spacing w:after="0" w:line="258"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all fees earned or paid in cash for services as a director for the fiscal year ended December 31, 2025, including annual retainer fees, committee chair and membership fees, as applicable.</w:t>
      </w:r>
    </w:p>
    <w:p>
      <w:pPr>
        <w:jc w:val="both"/>
        <w:ind w:left="660" w:hanging="652"/>
        <w:spacing w:after="0" w:line="253" w:lineRule="auto"/>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represent the aggregate grant date fair value of stock awards computed in accordance with Financial Accounting Board Accounting Standards Codification Topic 718, “Compensation - Stock Compensation.” Stock awards reflect a grant of RSUs with a value of approximately $184,203 on the June 10, 2025 because the Company did not hold its 2025 Annual Meeting of Stockholders within 12 months of the 2024 Annual Meeting, with the number of shares determined in accordance with our director compensation policy by dividing $175,000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$18.99 per share, which was the closing price of our Common Stock on June 10, 2025.</w:t>
      </w: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Ms. Bigley had 9,700 unvested RSUs.</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Mr. Evans had 9,700 unvested RSUs and 23,321 vested RSUs, the settlement of which has been deferred.</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Ms. Bhasin had 9,700 unvested RSUs and 3,539 vested RSUs, the settlement of which has been deferred.</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Mr. Upshaw had 9,700 unvested RSUs and 7,852 vested RSUs, the settlement of which has been deferred.</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Ms. Teevan had 9,700 unvested RSUs.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 Ratio</w:t>
      </w:r>
    </w:p>
    <w:p>
      <w:pPr>
        <w:spacing w:after="0" w:line="17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w:t>
      </w:r>
    </w:p>
    <w:p>
      <w:pPr>
        <w:spacing w:after="0" w:line="12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ratio of the fiscal 2025 total compensation of (i) our CEO, Mr. Hennessy, as reported in the Summary Compensation Table, to (ii) our median employee as computed in the same manner, is 82:1 based on the amounts of $11,810,597 to $142,811, respectively.</w:t>
      </w:r>
    </w:p>
    <w:p>
      <w:pPr>
        <w:spacing w:after="0" w:line="10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records and the methodology described below.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w:t>
      </w:r>
    </w:p>
    <w:p>
      <w:pPr>
        <w:spacing w:after="0" w:line="13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permitted by SEC rules, for purposes of calculating the 2025 pay ratio, we used the same median employee identified for determining our 2024 CEO pay ratio. For 2025, we determined that there had not been any changes to our employee population or compensation program that would significantly impact the pay ratio disclosure for 2025. We identified our median employee for the 2025 pay ratio analysis using the methodology and the material assumptions, adjustments, and estimates described below (as previously disclosed).</w:t>
      </w:r>
    </w:p>
    <w:p>
      <w:pPr>
        <w:spacing w:after="0" w:line="12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identified the median employee in 2024 by examining target annualized cash compensation as of December 31, 2024 for our global population of approximately 1,715 full-time and part-time employees, other than our CEO, who were employed by us on December 31, 2024. We included all employees, whether employed on a full-time or part-time basis (excluding any temporary employees and independent contractors), and did not make any estimates, assumptions or adjustments to any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base salaries. Base salaries for employees outside of the United States were converted into United States dollars by applying the applicable exchange rates in effect on December 31, 2024. No cost of living adjustments were applied in our methodology.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 Versus Performance</w:t>
      </w:r>
    </w:p>
    <w:p>
      <w:pPr>
        <w:spacing w:after="0" w:line="17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required by Item 402(v) of Regulation S-K. For information regarding the Company’s pay-for-performance philosophy and how the Company aligns executive compensation with the Company’s performance, refer to “Executive Compensation – Compensation Discussion and Analysis.”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Year-end value of $100 invested on</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12/31/2020 in:</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Summary</w:t>
            </w:r>
          </w:p>
        </w:tc>
        <w:tc>
          <w:tcPr>
            <w:tcW w:w="1040" w:type="dxa"/>
            <w:vAlign w:val="bottom"/>
          </w:tcPr>
          <w:p>
            <w:pPr>
              <w:spacing w:after="0"/>
              <w:rPr>
                <w:sz w:val="11"/>
                <w:szCs w:val="11"/>
                <w:color w:val="auto"/>
              </w:rPr>
            </w:pPr>
          </w:p>
        </w:tc>
        <w:tc>
          <w:tcPr>
            <w:tcW w:w="9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Summary</w:t>
            </w:r>
          </w:p>
        </w:tc>
        <w:tc>
          <w:tcPr>
            <w:tcW w:w="10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9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2"/>
                <w:szCs w:val="12"/>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S&amp;P Software &amp;</w:t>
            </w: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8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Table Total for</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SSTK Total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Svcs Total</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1320" w:type="dxa"/>
            <w:vAlign w:val="bottom"/>
            <w:gridSpan w:val="2"/>
          </w:tcPr>
          <w:p>
            <w:pPr>
              <w:jc w:val="center"/>
              <w:ind w:left="2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Paul Hennessy (1)</w:t>
            </w:r>
          </w:p>
        </w:tc>
        <w:tc>
          <w:tcPr>
            <w:tcW w:w="9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Actually Paid to</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Stan Pavlovsky (3)</w:t>
            </w:r>
          </w:p>
        </w:tc>
        <w:tc>
          <w:tcPr>
            <w:tcW w:w="196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Stan Pavlovsky  Non-CEO NEOs</w:t>
            </w:r>
          </w:p>
        </w:tc>
        <w:tc>
          <w:tcPr>
            <w:tcW w:w="10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Non-CEO NEOs</w:t>
            </w:r>
          </w:p>
        </w:tc>
        <w:tc>
          <w:tcPr>
            <w:tcW w:w="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8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Net Income (in</w:t>
            </w: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Adj. EBITDA</w:t>
            </w:r>
          </w:p>
        </w:tc>
        <w:tc>
          <w:tcPr>
            <w:tcW w:w="0" w:type="dxa"/>
            <w:vAlign w:val="bottom"/>
          </w:tcPr>
          <w:p>
            <w:pPr>
              <w:spacing w:after="0"/>
              <w:rPr>
                <w:sz w:val="1"/>
                <w:szCs w:val="1"/>
                <w:color w:val="auto"/>
              </w:rPr>
            </w:pPr>
          </w:p>
        </w:tc>
      </w:tr>
      <w:tr>
        <w:trPr>
          <w:trHeight w:val="155"/>
        </w:trPr>
        <w:tc>
          <w:tcPr>
            <w:tcW w:w="720" w:type="dxa"/>
            <w:vAlign w:val="bottom"/>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400" w:type="dxa"/>
            <w:vAlign w:val="bottom"/>
          </w:tcPr>
          <w:p>
            <w:pPr>
              <w:spacing w:after="0"/>
              <w:rPr>
                <w:sz w:val="13"/>
                <w:szCs w:val="13"/>
                <w:color w:val="auto"/>
              </w:rPr>
            </w:pPr>
          </w:p>
        </w:tc>
        <w:tc>
          <w:tcPr>
            <w:tcW w:w="9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Pr>
          <w:p>
            <w:pPr>
              <w:spacing w:after="0"/>
              <w:rPr>
                <w:sz w:val="13"/>
                <w:szCs w:val="13"/>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Paul Hennessy</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(2)(3) $</w:t>
            </w: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(4) $</w:t>
            </w:r>
          </w:p>
        </w:tc>
        <w:tc>
          <w:tcPr>
            <w:tcW w:w="100" w:type="dxa"/>
            <w:vAlign w:val="bottom"/>
          </w:tcPr>
          <w:p>
            <w:pPr>
              <w:spacing w:after="0"/>
              <w:rPr>
                <w:sz w:val="13"/>
                <w:szCs w:val="13"/>
                <w:color w:val="auto"/>
              </w:rPr>
            </w:pPr>
          </w:p>
        </w:tc>
        <w:tc>
          <w:tcPr>
            <w:tcW w:w="9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(2)(4) $</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Return $</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Return $</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millions) $</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 millions) $</w:t>
            </w:r>
          </w:p>
        </w:tc>
        <w:tc>
          <w:tcPr>
            <w:tcW w:w="0" w:type="dxa"/>
            <w:vAlign w:val="bottom"/>
          </w:tcPr>
          <w:p>
            <w:pPr>
              <w:spacing w:after="0"/>
              <w:rPr>
                <w:sz w:val="1"/>
                <w:szCs w:val="1"/>
                <w:color w:val="auto"/>
              </w:rPr>
            </w:pPr>
          </w:p>
        </w:tc>
      </w:tr>
      <w:tr>
        <w:trPr>
          <w:trHeight w:val="166"/>
        </w:trPr>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(1)(2) $</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2025</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11,810,597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7,207,773</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n/a $</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2,955,068</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924,471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30.78</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123.17</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45.5</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271.8</w:t>
            </w:r>
          </w:p>
        </w:tc>
        <w:tc>
          <w:tcPr>
            <w:tcW w:w="0" w:type="dxa"/>
            <w:vAlign w:val="bottom"/>
          </w:tcPr>
          <w:p>
            <w:pPr>
              <w:spacing w:after="0"/>
              <w:rPr>
                <w:sz w:val="1"/>
                <w:szCs w:val="1"/>
                <w:color w:val="auto"/>
              </w:rPr>
            </w:pPr>
          </w:p>
        </w:tc>
      </w:tr>
      <w:tr>
        <w:trPr>
          <w:trHeight w:val="218"/>
        </w:trPr>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7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2024</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7,176,468</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494,493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2,944,372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370,539</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45.71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124.15</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35.9</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247.1</w:t>
            </w:r>
          </w:p>
        </w:tc>
        <w:tc>
          <w:tcPr>
            <w:tcW w:w="0" w:type="dxa"/>
            <w:vAlign w:val="bottom"/>
          </w:tcPr>
          <w:p>
            <w:pPr>
              <w:spacing w:after="0"/>
              <w:rPr>
                <w:sz w:val="1"/>
                <w:szCs w:val="1"/>
                <w:color w:val="auto"/>
              </w:rPr>
            </w:pPr>
          </w:p>
        </w:tc>
      </w:tr>
      <w:tr>
        <w:trPr>
          <w:trHeight w:val="218"/>
        </w:trPr>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2023</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8,113,511</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5,010,678</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6,195,115</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4,169,842</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70.47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98.71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110.3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240.8</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2022</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20,883,260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18,201,281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5,913,330</w:t>
            </w:r>
          </w:p>
        </w:tc>
        <w:tc>
          <w:tcPr>
            <w:tcW w:w="10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(16,980,341)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4,003,445</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(5,794,986)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75.31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71.06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76.1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218.1</w:t>
            </w:r>
          </w:p>
        </w:tc>
        <w:tc>
          <w:tcPr>
            <w:tcW w:w="0" w:type="dxa"/>
            <w:vAlign w:val="bottom"/>
          </w:tcPr>
          <w:p>
            <w:pPr>
              <w:spacing w:after="0"/>
              <w:rPr>
                <w:sz w:val="1"/>
                <w:szCs w:val="1"/>
                <w:color w:val="auto"/>
              </w:rPr>
            </w:pPr>
          </w:p>
        </w:tc>
      </w:tr>
      <w:tr>
        <w:trPr>
          <w:trHeight w:val="205"/>
        </w:trPr>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7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2021</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5,717,651</w:t>
            </w: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22,508,915</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3,394,474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13,395,666</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155.96</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107.98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91.9</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640" w:hanging="632"/>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Hennessy became CEO of the Company on July 1, 2022.</w:t>
      </w:r>
    </w:p>
    <w:p>
      <w:pPr>
        <w:spacing w:after="0" w:line="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Deductions from, and additions to, total compensation in the Summary Compensation Table to calculate Compensation Actually Paid include: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13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Paul Hennessy</w:t>
            </w:r>
          </w:p>
        </w:tc>
        <w:tc>
          <w:tcPr>
            <w:tcW w:w="116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Average Non-</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Total Compensation from Summary Compensation Table</w:t>
            </w:r>
          </w:p>
        </w:tc>
        <w:tc>
          <w:tcPr>
            <w:tcW w:w="13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$11,810,597</w:t>
            </w: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$2,955,068</w:t>
            </w:r>
          </w:p>
        </w:tc>
        <w:tc>
          <w:tcPr>
            <w:tcW w:w="0" w:type="dxa"/>
            <w:vAlign w:val="bottom"/>
          </w:tcPr>
          <w:p>
            <w:pPr>
              <w:spacing w:after="0"/>
              <w:rPr>
                <w:sz w:val="1"/>
                <w:szCs w:val="1"/>
                <w:color w:val="auto"/>
              </w:rPr>
            </w:pPr>
          </w:p>
        </w:tc>
      </w:tr>
      <w:tr>
        <w:trPr>
          <w:trHeight w:val="165"/>
        </w:trPr>
        <w:tc>
          <w:tcPr>
            <w:tcW w:w="4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 for Equity Awards</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 for grant date values in the Summary Compensation Table</w:t>
            </w:r>
          </w:p>
        </w:tc>
        <w:tc>
          <w:tcPr>
            <w:tcW w:w="13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$(10,544,274)</w:t>
            </w: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$(2,549,712)</w:t>
            </w:r>
          </w:p>
        </w:tc>
        <w:tc>
          <w:tcPr>
            <w:tcW w:w="0" w:type="dxa"/>
            <w:vAlign w:val="bottom"/>
          </w:tcPr>
          <w:p>
            <w:pPr>
              <w:spacing w:after="0"/>
              <w:rPr>
                <w:sz w:val="1"/>
                <w:szCs w:val="1"/>
                <w:color w:val="auto"/>
              </w:rPr>
            </w:pPr>
          </w:p>
        </w:tc>
      </w:tr>
      <w:tr>
        <w:trPr>
          <w:trHeight w:val="165"/>
        </w:trPr>
        <w:tc>
          <w:tcPr>
            <w:tcW w:w="4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Year-end fair value of unvested awards granted in the current year</w:t>
            </w:r>
          </w:p>
        </w:tc>
        <w:tc>
          <w:tcPr>
            <w:tcW w:w="134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color w:val="auto"/>
              </w:rPr>
              <w:t>$10,269,191</w:t>
            </w: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$1,460,469</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7"/>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Year-over-year difference of year-end fair values for unvested awards granted in prior years</w:t>
            </w:r>
          </w:p>
        </w:tc>
        <w:tc>
          <w:tcPr>
            <w:tcW w:w="104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$(609,536)</w:t>
            </w:r>
          </w:p>
        </w:tc>
        <w:tc>
          <w:tcPr>
            <w:tcW w:w="300" w:type="dxa"/>
            <w:vAlign w:val="bottom"/>
            <w:shd w:val="clear" w:color="auto" w:fill="CCEEFF"/>
          </w:tcPr>
          <w:p>
            <w:pPr>
              <w:spacing w:after="0"/>
              <w:rPr>
                <w:sz w:val="21"/>
                <w:szCs w:val="21"/>
                <w:color w:val="auto"/>
              </w:rPr>
            </w:pP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$(620,667)</w:t>
            </w:r>
          </w:p>
        </w:tc>
        <w:tc>
          <w:tcPr>
            <w:tcW w:w="0" w:type="dxa"/>
            <w:vAlign w:val="bottom"/>
          </w:tcPr>
          <w:p>
            <w:pPr>
              <w:spacing w:after="0"/>
              <w:rPr>
                <w:sz w:val="1"/>
                <w:szCs w:val="1"/>
                <w:color w:val="auto"/>
              </w:rPr>
            </w:pPr>
          </w:p>
        </w:tc>
      </w:tr>
      <w:tr>
        <w:trPr>
          <w:trHeight w:val="165"/>
        </w:trPr>
        <w:tc>
          <w:tcPr>
            <w:tcW w:w="4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Fair values at vest date for awards granted and vested in current year</w:t>
            </w:r>
          </w:p>
        </w:tc>
        <w:tc>
          <w:tcPr>
            <w:tcW w:w="104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Difference in fair values between prior year-end fair values and vest date fair values for awards granted in prior years</w:t>
            </w:r>
          </w:p>
        </w:tc>
        <w:tc>
          <w:tcPr>
            <w:tcW w:w="1340" w:type="dxa"/>
            <w:vAlign w:val="bottom"/>
            <w:gridSpan w:val="3"/>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$(3,718,206)</w:t>
            </w: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$(320,687)</w:t>
            </w:r>
          </w:p>
        </w:tc>
        <w:tc>
          <w:tcPr>
            <w:tcW w:w="0" w:type="dxa"/>
            <w:vAlign w:val="bottom"/>
          </w:tcPr>
          <w:p>
            <w:pPr>
              <w:spacing w:after="0"/>
              <w:rPr>
                <w:sz w:val="1"/>
                <w:szCs w:val="1"/>
                <w:color w:val="auto"/>
              </w:rPr>
            </w:pPr>
          </w:p>
        </w:tc>
      </w:tr>
      <w:tr>
        <w:trPr>
          <w:trHeight w:val="165"/>
        </w:trPr>
        <w:tc>
          <w:tcPr>
            <w:tcW w:w="40" w:type="dxa"/>
            <w:vAlign w:val="bottom"/>
            <w:tcBorders>
              <w:bottom w:val="single" w:sz="8" w:color="CCEEFF"/>
            </w:tcBorders>
            <w:shd w:val="clear" w:color="auto" w:fill="CCEEFF"/>
          </w:tcPr>
          <w:p>
            <w:pPr>
              <w:spacing w:after="0"/>
              <w:rPr>
                <w:sz w:val="14"/>
                <w:szCs w:val="14"/>
                <w:color w:val="auto"/>
              </w:rPr>
            </w:pPr>
          </w:p>
        </w:tc>
        <w:tc>
          <w:tcPr>
            <w:tcW w:w="2680" w:type="dxa"/>
            <w:vAlign w:val="bottom"/>
            <w:tcBorders>
              <w:bottom w:val="single" w:sz="8" w:color="CCEEFF"/>
            </w:tcBorders>
            <w:shd w:val="clear" w:color="auto" w:fill="CCEEFF"/>
          </w:tcPr>
          <w:p>
            <w:pPr>
              <w:spacing w:after="0"/>
              <w:rPr>
                <w:sz w:val="14"/>
                <w:szCs w:val="14"/>
                <w:color w:val="auto"/>
              </w:rPr>
            </w:pPr>
          </w:p>
        </w:tc>
        <w:tc>
          <w:tcPr>
            <w:tcW w:w="43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0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Forfeitures during current year equal to prior year-end fair value</w:t>
            </w:r>
          </w:p>
        </w:tc>
        <w:tc>
          <w:tcPr>
            <w:tcW w:w="104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880" w:type="dxa"/>
            <w:vAlign w:val="bottom"/>
            <w:gridSpan w:val="2"/>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Dividends or dividend equivalents not otherwise included in the total compensation</w:t>
            </w:r>
          </w:p>
        </w:tc>
        <w:tc>
          <w:tcPr>
            <w:tcW w:w="1040" w:type="dxa"/>
            <w:vAlign w:val="bottom"/>
            <w:gridSpan w:val="2"/>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43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0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Total Adjustments for Equity Awards</w:t>
            </w:r>
          </w:p>
        </w:tc>
        <w:tc>
          <w:tcPr>
            <w:tcW w:w="134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$(4,602,825)</w:t>
            </w: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$(2,030,598)</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7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Actually Paid (as calculated)</w:t>
            </w:r>
          </w:p>
        </w:tc>
        <w:tc>
          <w:tcPr>
            <w:tcW w:w="1040" w:type="dxa"/>
            <w:vAlign w:val="bottom"/>
            <w:gridSpan w:val="2"/>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7,207,773</w:t>
            </w:r>
          </w:p>
        </w:tc>
        <w:tc>
          <w:tcPr>
            <w:tcW w:w="300" w:type="dxa"/>
            <w:vAlign w:val="bottom"/>
            <w:shd w:val="clear" w:color="auto" w:fill="CCEEFF"/>
          </w:tcPr>
          <w:p>
            <w:pPr>
              <w:spacing w:after="0"/>
              <w:rPr>
                <w:sz w:val="15"/>
                <w:szCs w:val="15"/>
                <w:color w:val="auto"/>
              </w:rPr>
            </w:pPr>
          </w:p>
        </w:tc>
        <w:tc>
          <w:tcPr>
            <w:tcW w:w="116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924,471</w:t>
            </w:r>
          </w:p>
        </w:tc>
        <w:tc>
          <w:tcPr>
            <w:tcW w:w="0" w:type="dxa"/>
            <w:vAlign w:val="bottom"/>
          </w:tcPr>
          <w:p>
            <w:pPr>
              <w:spacing w:after="0"/>
              <w:rPr>
                <w:sz w:val="1"/>
                <w:szCs w:val="1"/>
                <w:color w:val="auto"/>
              </w:rPr>
            </w:pPr>
          </w:p>
        </w:tc>
      </w:tr>
      <w:tr>
        <w:trPr>
          <w:trHeight w:val="169"/>
        </w:trPr>
        <w:tc>
          <w:tcPr>
            <w:tcW w:w="40" w:type="dxa"/>
            <w:vAlign w:val="bottom"/>
            <w:tcBorders>
              <w:top w:val="single" w:sz="8" w:color="CCEEFF"/>
            </w:tcBorders>
            <w:shd w:val="clear" w:color="auto" w:fill="CCEEFF"/>
          </w:tcPr>
          <w:p>
            <w:pPr>
              <w:spacing w:after="0"/>
              <w:rPr>
                <w:sz w:val="14"/>
                <w:szCs w:val="14"/>
                <w:color w:val="auto"/>
              </w:rPr>
            </w:pPr>
          </w:p>
        </w:tc>
        <w:tc>
          <w:tcPr>
            <w:tcW w:w="2680" w:type="dxa"/>
            <w:vAlign w:val="bottom"/>
            <w:tcBorders>
              <w:top w:val="single" w:sz="8" w:color="auto"/>
            </w:tcBorders>
            <w:shd w:val="clear" w:color="auto" w:fill="CCEEFF"/>
          </w:tcPr>
          <w:p>
            <w:pPr>
              <w:spacing w:after="0"/>
              <w:rPr>
                <w:sz w:val="14"/>
                <w:szCs w:val="14"/>
                <w:color w:val="auto"/>
              </w:rPr>
            </w:pPr>
          </w:p>
        </w:tc>
        <w:tc>
          <w:tcPr>
            <w:tcW w:w="432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43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Stan Pavlovsky became CEO of the Company on April 1, 2020 and served until May 3, 2022.</w:t>
      </w:r>
    </w:p>
    <w:p>
      <w:pPr>
        <w:spacing w:after="0" w:line="2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Non-CEO NEOs reflect the average summary Compensation Table total compensation and average Compensation Actuary Paid for the following executives by years:</w:t>
      </w:r>
    </w:p>
    <w:p>
      <w:pPr>
        <w:spacing w:after="0" w:line="185" w:lineRule="exact"/>
        <w:rPr>
          <w:rFonts w:ascii="Times New Roman" w:cs="Times New Roman" w:eastAsia="Times New Roman" w:hAnsi="Times New Roman"/>
          <w:sz w:val="14"/>
          <w:szCs w:val="14"/>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2025: Jonathan Oringer, Rikki Powell, and Matthew Furlong</w:t>
      </w:r>
    </w:p>
    <w:p>
      <w:pPr>
        <w:spacing w:after="0" w:line="10"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2024: Jonathan Oringer, Jarrod Yahes, John Caine and Rikki Powell</w:t>
      </w:r>
    </w:p>
    <w:p>
      <w:pPr>
        <w:spacing w:after="0" w:line="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2023: Jonathan Oringer, Jarrod Yahes and John Caine</w:t>
      </w:r>
    </w:p>
    <w:p>
      <w:pPr>
        <w:spacing w:after="0" w:line="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4"/>
          <w:szCs w:val="14"/>
          <w:color w:val="auto"/>
        </w:rPr>
        <w:t>2021 &amp; 2022: Jonathan Oringer, Jarrod Yahes and Peter Silvio</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charts address the relationship between compensation “actually paid” as disclosed in the Pay vs. Performance Table and:</w:t>
      </w:r>
    </w:p>
    <w:p>
      <w:pPr>
        <w:spacing w:after="0" w:line="171"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cumulative TSR;</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income;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Adjusted EBITDA.</w:t>
      </w:r>
    </w:p>
    <w:p>
      <w:pPr>
        <w:sectPr>
          <w:pgSz w:w="11900" w:h="16838" w:orient="portrait"/>
          <w:cols w:equalWidth="0" w:num="1">
            <w:col w:w="11120"/>
          </w:cols>
          <w:pgMar w:left="320" w:top="1417" w:right="459" w:bottom="388"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911860</wp:posOffset>
            </wp:positionV>
            <wp:extent cx="4560570" cy="510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60570" cy="510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1511300</wp:posOffset>
            </wp:positionH>
            <wp:positionV relativeFrom="page">
              <wp:posOffset>911860</wp:posOffset>
            </wp:positionV>
            <wp:extent cx="4526280" cy="2468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45262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list of the financial performance measures that we believe are the most important financial performance measures used to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 compensation to company performance:</w:t>
      </w:r>
    </w:p>
    <w:p>
      <w:pPr>
        <w:spacing w:after="0" w:line="153"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Margin,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w:t>
      </w:r>
    </w:p>
    <w:p>
      <w:pPr>
        <w:spacing w:after="0" w:line="15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more information, see “Executive Compensation – Compensation Discussion &amp; Analysis” in this proxy statement. Although we do not in practice use any performance measures to link compensation “actually paid” (as calculated herein) to company performance, we are providing this list in accordance with Item 402(v) of Regulation S-K to provide information on performance measures used by the Compensation Committee to determine NEO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authorized for issuance under equity compensation plans.</w:t>
      </w:r>
    </w:p>
    <w:p>
      <w:pPr>
        <w:spacing w:after="0" w:line="17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about the securities authorized for issuance under our Amended and Restated 2012 Plan (the “2012 Plan”) and our Amended and Restated 2022 Plan. Each of the 2012 Plan and the Amended and Restated 2022 Plan was adopted with the approval of our stockholders.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 securities to be issued</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Weighted-average exercise</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 available for</w:t>
            </w:r>
          </w:p>
        </w:tc>
      </w:tr>
      <w:tr>
        <w:trPr>
          <w:trHeight w:val="189"/>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upon exercise of outstanding options,</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issuance under equity compensation plans</w:t>
            </w:r>
          </w:p>
        </w:tc>
      </w:tr>
      <w:tr>
        <w:trPr>
          <w:trHeight w:val="203"/>
        </w:trPr>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(excluding securities reflected in column (a))</w:t>
            </w:r>
          </w:p>
        </w:tc>
      </w:tr>
      <w:tr>
        <w:trPr>
          <w:trHeight w:val="239"/>
        </w:trPr>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8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(b)</w:t>
            </w:r>
          </w:p>
        </w:tc>
        <w:tc>
          <w:tcPr>
            <w:tcW w:w="18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2"/>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w:t>
            </w:r>
          </w:p>
        </w:tc>
        <w:tc>
          <w:tcPr>
            <w:tcW w:w="2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57"/>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approved by security holders</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5,068,324</w:t>
            </w:r>
            <w:r>
              <w:rPr>
                <w:rFonts w:ascii="Times New Roman" w:cs="Times New Roman" w:eastAsia="Times New Roman" w:hAnsi="Times New Roman"/>
                <w:sz w:val="21"/>
                <w:szCs w:val="21"/>
                <w:color w:val="auto"/>
                <w:w w:val="94"/>
                <w:vertAlign w:val="superscript"/>
              </w:rPr>
              <w:t>(1)</w:t>
            </w:r>
          </w:p>
        </w:tc>
        <w:tc>
          <w:tcPr>
            <w:tcW w:w="18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32.95</w:t>
            </w:r>
            <w:r>
              <w:rPr>
                <w:rFonts w:ascii="Times New Roman" w:cs="Times New Roman" w:eastAsia="Times New Roman" w:hAnsi="Times New Roman"/>
                <w:sz w:val="21"/>
                <w:szCs w:val="21"/>
                <w:color w:val="auto"/>
                <w:w w:val="95"/>
                <w:vertAlign w:val="superscript"/>
              </w:rPr>
              <w:t>(2)</w:t>
            </w:r>
          </w:p>
        </w:tc>
        <w:tc>
          <w:tcPr>
            <w:tcW w:w="180" w:type="dxa"/>
            <w:vAlign w:val="bottom"/>
          </w:tcPr>
          <w:p>
            <w:pPr>
              <w:spacing w:after="0"/>
              <w:rPr>
                <w:sz w:val="22"/>
                <w:szCs w:val="22"/>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1,708,286</w:t>
            </w:r>
          </w:p>
        </w:tc>
      </w:tr>
      <w:tr>
        <w:trPr>
          <w:trHeight w:val="189"/>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Equity compensation plans</w:t>
            </w: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189"/>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not approved by security</w:t>
            </w:r>
          </w:p>
        </w:tc>
        <w:tc>
          <w:tcPr>
            <w:tcW w:w="2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37"/>
        </w:trPr>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holders</w:t>
            </w:r>
          </w:p>
        </w:tc>
        <w:tc>
          <w:tcPr>
            <w:tcW w:w="18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81"/>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w:t>
            </w: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5,068,324</w:t>
            </w:r>
            <w:r>
              <w:rPr>
                <w:rFonts w:ascii="Times New Roman" w:cs="Times New Roman" w:eastAsia="Times New Roman" w:hAnsi="Times New Roman"/>
                <w:sz w:val="21"/>
                <w:szCs w:val="21"/>
                <w:color w:val="auto"/>
                <w:w w:val="94"/>
                <w:vertAlign w:val="superscript"/>
              </w:rPr>
              <w:t>(1)</w:t>
            </w:r>
          </w:p>
        </w:tc>
        <w:tc>
          <w:tcPr>
            <w:tcW w:w="18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32.95</w:t>
            </w:r>
            <w:r>
              <w:rPr>
                <w:rFonts w:ascii="Times New Roman" w:cs="Times New Roman" w:eastAsia="Times New Roman" w:hAnsi="Times New Roman"/>
                <w:sz w:val="21"/>
                <w:szCs w:val="21"/>
                <w:color w:val="auto"/>
                <w:w w:val="95"/>
                <w:vertAlign w:val="superscript"/>
              </w:rPr>
              <w:t>(2)</w:t>
            </w:r>
          </w:p>
        </w:tc>
        <w:tc>
          <w:tcPr>
            <w:tcW w:w="18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1,708,286</w:t>
            </w:r>
          </w:p>
        </w:tc>
      </w:tr>
    </w:tbl>
    <w:p>
      <w:pPr>
        <w:spacing w:after="0" w:line="200" w:lineRule="exact"/>
        <w:rPr>
          <w:sz w:val="20"/>
          <w:szCs w:val="20"/>
          <w:color w:val="auto"/>
        </w:rPr>
      </w:pP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1" w:name="page32"/>
    <w:bookmarkEnd w:id="31"/>
    <w:p>
      <w:pPr>
        <w:jc w:val="both"/>
        <w:ind w:left="660" w:hanging="652"/>
        <w:spacing w:after="0" w:line="232" w:lineRule="auto"/>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263,742 shares of our Common Stock to be issued upon the exercise of outstanding stock options under the Amended and Restated 2012 Plan and 4,804,582 shares of our Common Stock to be issued upon the vesting of RSUs granted under the 2012 Plan and Amended and Restated 2022 Plan.The 2012 Plan expired on June 2, 2022 and no further shares are available for issuance under this plan.</w:t>
      </w:r>
    </w:p>
    <w:p>
      <w:pPr>
        <w:spacing w:after="0" w:line="1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Weighted-average exercise price relates to outstanding stock options. RSUs are deemed to have an exercise price of zero and are excluded from the calculation.</w:t>
      </w:r>
    </w:p>
    <w:p>
      <w:pPr>
        <w:spacing w:after="0" w:line="244"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On June 6, 2024, the Company’s stockholders approved the Amended and Restated 2022 Plan. The maximum aggregate number of shares that may be issued under the Amended and Restated 2022 Plan is 4,233,782 shares of our common stock and is subject to adjustment in connection with changes in capitalization, reorganization and change in control events. Shares subject to awards granted under the Amended and Restated 2022 Plan that expire unexercised or are forfeited, will become available for future grant under the Amended and Restated 2022 Plan. However, shares used to pay the exercise price of an award or to satisfy the tax withholding obligations related to an award will not become available for future grant under the Amended and Restated 2022 Plan. Awards granted subsequent to June 6, 2024 were granted under the Amended and Restated 2022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Security ownership of certain beneficial owners and management.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as of March 31, 2026 or as of the dates referenced below, regarding the beneficial ownership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by:</w:t>
      </w:r>
    </w:p>
    <w:p>
      <w:pPr>
        <w:spacing w:after="0" w:line="153" w:lineRule="exact"/>
        <w:rPr>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the outstanding shares of any class of our voting securities;</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current executive officers as a group.</w:t>
      </w:r>
    </w:p>
    <w:p>
      <w:pPr>
        <w:spacing w:after="0" w:line="207"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As of March 31, 2026, we had 35,554,795 shares of Common Stock outstanding. We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May 30, 2026 in connection with stock options or vesting of RSUs (not taking into account the withholding of shares of Common Stock to cover applicable taxes). Unless otherwise noted below, the address of each beneficial owner listed in the table below is c/o Shutterstock, Inc., 350 Fifth Avenue, 20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New York, New York 10118. Except as indicated by the footnotes below, we believe, based on information furnished to us, that the persons and entities named in the table below have sole voting and investment power with respect to all shares of Common Stock that they beneficially own.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7"/>
        </w:trPr>
        <w:tc>
          <w:tcPr>
            <w:tcW w:w="7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8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gridSpan w:val="2"/>
            <w:vMerge w:val="continue"/>
          </w:tcPr>
          <w:p>
            <w:pPr>
              <w:spacing w:after="0"/>
              <w:rPr>
                <w:sz w:val="20"/>
                <w:szCs w:val="20"/>
                <w:color w:val="auto"/>
              </w:rPr>
            </w:pPr>
          </w:p>
        </w:tc>
        <w:tc>
          <w:tcPr>
            <w:tcW w:w="184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5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7"/>
        </w:trPr>
        <w:tc>
          <w:tcPr>
            <w:tcW w:w="7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Jonathan Oringer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10,831,855</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30.5%</w:t>
            </w: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Paul J. Hennessy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312,333</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Furlong</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Rikki Powell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3,502</w:t>
            </w:r>
          </w:p>
        </w:tc>
        <w:tc>
          <w:tcPr>
            <w:tcW w:w="200" w:type="dxa"/>
            <w:vAlign w:val="bottom"/>
          </w:tcPr>
          <w:p>
            <w:pPr>
              <w:spacing w:after="0"/>
              <w:rPr>
                <w:sz w:val="20"/>
                <w:szCs w:val="2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3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Deirdre Bigley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18,882</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Rachna Bhasin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22,721</w:t>
            </w:r>
          </w:p>
        </w:tc>
        <w:tc>
          <w:tcPr>
            <w:tcW w:w="2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R. Evans</w:t>
            </w:r>
            <w:r>
              <w:rPr>
                <w:rFonts w:ascii="Times New Roman" w:cs="Times New Roman" w:eastAsia="Times New Roman" w:hAnsi="Times New Roman"/>
                <w:sz w:val="23"/>
                <w:szCs w:val="23"/>
                <w:color w:val="auto"/>
                <w:vertAlign w:val="superscript"/>
              </w:rPr>
              <w:t>(2)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31,664</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Jaime Teevan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4,168</w:t>
            </w:r>
          </w:p>
        </w:tc>
        <w:tc>
          <w:tcPr>
            <w:tcW w:w="200" w:type="dxa"/>
            <w:vAlign w:val="bottom"/>
          </w:tcPr>
          <w:p>
            <w:pPr>
              <w:spacing w:after="0"/>
              <w:rPr>
                <w:sz w:val="20"/>
                <w:szCs w:val="2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730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6"/>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Alfonse Upshaw</w:t>
            </w:r>
            <w:r>
              <w:rPr>
                <w:rFonts w:ascii="Times New Roman" w:cs="Times New Roman" w:eastAsia="Times New Roman" w:hAnsi="Times New Roman"/>
                <w:sz w:val="23"/>
                <w:szCs w:val="23"/>
                <w:color w:val="auto"/>
                <w:vertAlign w:val="superscript"/>
              </w:rPr>
              <w:t>(3)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10,633</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persons)</w:t>
            </w:r>
            <w:r>
              <w:rPr>
                <w:rFonts w:ascii="Times New Roman" w:cs="Times New Roman" w:eastAsia="Times New Roman" w:hAnsi="Times New Roman"/>
                <w:sz w:val="23"/>
                <w:szCs w:val="23"/>
                <w:b w:val="1"/>
                <w:bCs w:val="1"/>
                <w:color w:val="auto"/>
                <w:vertAlign w:val="superscript"/>
              </w:rPr>
              <w:t>(4)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11,235,758</w:t>
            </w:r>
          </w:p>
        </w:tc>
        <w:tc>
          <w:tcPr>
            <w:tcW w:w="20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31.6%</w:t>
            </w:r>
          </w:p>
        </w:tc>
        <w:tc>
          <w:tcPr>
            <w:tcW w:w="0" w:type="dxa"/>
            <w:vAlign w:val="bottom"/>
          </w:tcPr>
          <w:p>
            <w:pPr>
              <w:spacing w:after="0"/>
              <w:rPr>
                <w:sz w:val="1"/>
                <w:szCs w:val="1"/>
                <w:color w:val="auto"/>
              </w:rPr>
            </w:pPr>
          </w:p>
        </w:tc>
      </w:tr>
      <w:tr>
        <w:trPr>
          <w:trHeight w:val="194"/>
        </w:trPr>
        <w:tc>
          <w:tcPr>
            <w:tcW w:w="7300" w:type="dxa"/>
            <w:vAlign w:val="bottom"/>
            <w:gridSpan w:val="2"/>
            <w:vMerge w:val="continue"/>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Other 5% Stockholders:</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7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3,756,405</w:t>
            </w:r>
          </w:p>
        </w:tc>
        <w:tc>
          <w:tcPr>
            <w:tcW w:w="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*represents beneficial ownership of less than 1%.</w:t>
      </w:r>
    </w:p>
    <w:p>
      <w:pPr>
        <w:sectPr>
          <w:pgSz w:w="11900" w:h="16838" w:orient="portrait"/>
          <w:cols w:equalWidth="0" w:num="1">
            <w:col w:w="11240"/>
          </w:cols>
          <w:pgMar w:left="320" w:top="14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type w:val="continuous"/>
        </w:sectPr>
      </w:pPr>
    </w:p>
    <w:bookmarkStart w:id="32" w:name="page33"/>
    <w:bookmarkEnd w:id="32"/>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Furlong resigned as Chief Marketing Officer effective September 2, 2025. His information comes from his final Form 4 filing on April 3, 2025.</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29,409 shares of Common Stock and 2,255 shares issuable upon the vesting of RSUs at or within 60 days of March 31, 2026.</w:t>
      </w:r>
    </w:p>
    <w:p>
      <w:pPr>
        <w:spacing w:after="0" w:line="8"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2,781 shares of Common Stock and 7,852 shares issuable upon the vesting of RSUs at or within 60 days of March 31,2026.</w:t>
      </w:r>
    </w:p>
    <w:p>
      <w:pPr>
        <w:spacing w:after="0" w:line="1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10,107 shares issuable upon the vesting of RSUs at or within 60 days of March 31, 2026.</w:t>
      </w:r>
    </w:p>
    <w:p>
      <w:pPr>
        <w:spacing w:after="0" w:line="8" w:lineRule="exact"/>
        <w:rPr>
          <w:rFonts w:ascii="Times New Roman" w:cs="Times New Roman" w:eastAsia="Times New Roman" w:hAnsi="Times New Roman"/>
          <w:sz w:val="16"/>
          <w:szCs w:val="16"/>
          <w:color w:val="auto"/>
        </w:rPr>
      </w:pPr>
    </w:p>
    <w:p>
      <w:pPr>
        <w:jc w:val="both"/>
        <w:ind w:left="660" w:hanging="652"/>
        <w:spacing w:after="0" w:line="260" w:lineRule="auto"/>
        <w:tabs>
          <w:tab w:leader="none" w:pos="6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information is based solely on a Schedule 13G/A filed by Blackrock, Inc. (“Blackrock”) with the SEC on April 29, 2025, which reported ownership as of March 31, 2025. Of the 3,756,405 shares of our Common Stock deemed beneficially owned, Blackrock reported sole voting power as to 3,756,405 shares, shared voting power as to 0 shares and sole dispositive power as to all shares beneficially owned. The address of Blackrock is 50 Hudson Yards, New York, New York 10001.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Transactions with Related Persons</w:t>
      </w:r>
    </w:p>
    <w:p>
      <w:pPr>
        <w:spacing w:after="0" w:line="171"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 of whether the proposed transaction or situation is on terms that are comparable to the terms available to an unrelated third party or to employees generally.</w:t>
      </w:r>
    </w:p>
    <w:p>
      <w:pPr>
        <w:spacing w:after="0" w:line="13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Since January 1, 2025, there has not been, nor is there currently proposed, any transaction or series of similar transactions to which we have been or will be a party and in which:</w:t>
      </w:r>
    </w:p>
    <w:p>
      <w:pPr>
        <w:spacing w:after="0" w:line="108"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27" w:lineRule="exact"/>
        <w:rPr>
          <w:rFonts w:ascii="Times New Roman" w:cs="Times New Roman" w:eastAsia="Times New Roman" w:hAnsi="Times New Roman"/>
          <w:sz w:val="18"/>
          <w:szCs w:val="18"/>
          <w:color w:val="auto"/>
        </w:rPr>
      </w:pPr>
    </w:p>
    <w:p>
      <w:pPr>
        <w:ind w:left="660" w:right="60" w:hanging="652"/>
        <w:spacing w:after="0" w:line="26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nominee for director, executive officer, beneficial holder of more than 5% of our capital stock or any member of their immediate family had or will have a direct or indirect material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Independence</w:t>
      </w:r>
    </w:p>
    <w:p>
      <w:pPr>
        <w:spacing w:after="0" w:line="171"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w:t>
      </w:r>
    </w:p>
    <w:p>
      <w:pPr>
        <w:spacing w:after="0" w:line="13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Ms. Bhasin, Mr. Evans, Ms. Teevan and Mr. Upshaw, representing five of our seven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In addition, each committee of the Board is composed solely of independent directors, consistent with the applicable rules and regulations of the SEC and the listing requirements and rules of the NYSE.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w:t>
      </w:r>
    </w:p>
    <w:p>
      <w:pPr>
        <w:spacing w:after="0" w:line="13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our Audit Committee may pre-approve services that are expected to be provided to us by the independent registered public accounting firm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w:t>
      </w:r>
    </w:p>
    <w:p>
      <w:pPr>
        <w:spacing w:after="0" w:line="1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fees billed to us by PricewaterhouseCoopers for professional services rendered for the fiscal years ended</w:t>
      </w:r>
    </w:p>
    <w:p>
      <w:pPr>
        <w:spacing w:after="0"/>
        <w:rPr>
          <w:sz w:val="20"/>
          <w:szCs w:val="20"/>
          <w:color w:val="auto"/>
        </w:rPr>
      </w:pPr>
      <w:r>
        <w:rPr>
          <w:rFonts w:ascii="Times New Roman" w:cs="Times New Roman" w:eastAsia="Times New Roman" w:hAnsi="Times New Roman"/>
          <w:sz w:val="18"/>
          <w:szCs w:val="18"/>
          <w:color w:val="auto"/>
        </w:rPr>
        <w:t>December 31, 2025 and December 31, 2024:</w:t>
      </w:r>
    </w:p>
    <w:p>
      <w:pPr>
        <w:spacing w:after="0" w:line="26" w:lineRule="exact"/>
        <w:rPr>
          <w:sz w:val="20"/>
          <w:szCs w:val="20"/>
          <w:color w:val="auto"/>
        </w:rPr>
      </w:pPr>
    </w:p>
    <w:tbl>
      <w:tblPr>
        <w:tblLayout w:type="fixed"/>
        <w:tblInd w:w="2280" w:type="dxa"/>
        <w:tblCellMar>
          <w:top w:w="0" w:type="dxa"/>
          <w:left w:w="0" w:type="dxa"/>
          <w:bottom w:w="0" w:type="dxa"/>
          <w:right w:w="0" w:type="dxa"/>
        </w:tblCellMar>
      </w:tblPr>
      <w:tr>
        <w:trPr>
          <w:trHeight w:val="216"/>
        </w:trPr>
        <w:tc>
          <w:tcPr>
            <w:tcW w:w="1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Fee Category</w:t>
            </w:r>
          </w:p>
        </w:tc>
        <w:tc>
          <w:tcPr>
            <w:tcW w:w="14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5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7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$4,327,000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$4,014,500</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Audit-Related Fees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$116,000</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Fees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$210,000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$431,400</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Fees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$4,539,200</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$4,568,900</w:t>
            </w: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660" w:firstLine="648"/>
        <w:spacing w:after="0" w:line="281" w:lineRule="auto"/>
        <w:rPr>
          <w:sz w:val="20"/>
          <w:szCs w:val="20"/>
          <w:color w:val="auto"/>
        </w:rPr>
      </w:pPr>
      <w:r>
        <w:rPr>
          <w:rFonts w:ascii="Times New Roman" w:cs="Times New Roman" w:eastAsia="Times New Roman" w:hAnsi="Times New Roman"/>
          <w:sz w:val="18"/>
          <w:szCs w:val="18"/>
          <w:color w:val="auto"/>
        </w:rPr>
        <w:t>Audit Fees.  Audit fees consists of fees for professional services rendered for the annual audits of our consolidated and statutory financial statements and the review of our interim consolidated financial statements.</w:t>
      </w:r>
    </w:p>
    <w:p>
      <w:pPr>
        <w:spacing w:after="0" w:line="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Audit Related Fees.  Audit related fees consists of fees billed for professional services rendered for the annual audit of our consolidated financial statements, the review of the interim consolidated financial statements, and for the audit of statutory financial statements and are not reported under “Audit Fees”.</w:t>
      </w:r>
    </w:p>
    <w:p>
      <w:pPr>
        <w:spacing w:after="0" w:line="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Tax Fees.  Tax fees for the years ended December 31, 2025 and December 31, 2024 include fees related to tax compliance and consulting services.</w:t>
      </w:r>
    </w:p>
    <w:p>
      <w:pPr>
        <w:spacing w:after="0" w:line="75"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8"/>
          <w:szCs w:val="18"/>
          <w:color w:val="auto"/>
        </w:rPr>
        <w:t>All Other Fees.  For the years ended December 31, 2025 and December 31, 2024, all other fees consisted of fees related to certain accounting research software products.</w:t>
      </w:r>
    </w:p>
    <w:p>
      <w:pPr>
        <w:spacing w:after="0" w:line="1"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226"/>
        </w:trPr>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199"/>
        </w:trPr>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20" w:type="dxa"/>
            <w:vAlign w:val="bottom"/>
            <w:gridSpan w:val="26"/>
          </w:tcPr>
          <w:p>
            <w:pPr>
              <w:ind w:left="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26"/>
        </w:trPr>
        <w:tc>
          <w:tcPr>
            <w:tcW w:w="10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16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Agreement and Plan of Merger, dated as of October 5, 2012, between the Registrant</w:t>
              </w:r>
            </w:hyperlink>
          </w:p>
        </w:tc>
        <w:tc>
          <w:tcPr>
            <w:tcW w:w="140" w:type="dxa"/>
            <w:vAlign w:val="bottom"/>
            <w:gridSpan w:val="2"/>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4"/>
                <w:szCs w:val="1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5,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69">
              <w:r>
                <w:rPr>
                  <w:rFonts w:ascii="Times New Roman" w:cs="Times New Roman" w:eastAsia="Times New Roman" w:hAnsi="Times New Roman"/>
                  <w:sz w:val="14"/>
                  <w:szCs w:val="14"/>
                  <w:color w:val="0000FF"/>
                </w:rPr>
                <w:t>and Shutterstock Images LLC.</w:t>
              </w:r>
            </w:hyperlink>
          </w:p>
        </w:tc>
        <w:tc>
          <w:tcPr>
            <w:tcW w:w="3220" w:type="dxa"/>
            <w:vAlign w:val="bottom"/>
            <w:gridSpan w:val="26"/>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Agreement and Plan of Merger, dated as of October 5, 2012, among the Registrant,</w:t>
              </w:r>
            </w:hyperlink>
          </w:p>
        </w:tc>
        <w:tc>
          <w:tcPr>
            <w:tcW w:w="200" w:type="dxa"/>
            <w:vAlign w:val="bottom"/>
            <w:gridSpan w:val="4"/>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5,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Shutterstock Investors II, Inc., Insight Venture Partners (Cayman) V, L.P.,</w:t>
              </w:r>
            </w:hyperlink>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Shutterstock Investors III, Inc. and Insight Venture Partners V Coinvestment</w:t>
              </w:r>
            </w:hyperlink>
          </w:p>
        </w:tc>
        <w:tc>
          <w:tcPr>
            <w:tcW w:w="580" w:type="dxa"/>
            <w:vAlign w:val="bottom"/>
            <w:gridSpan w:val="1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83"/>
        </w:trPr>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0">
              <w:r>
                <w:rPr>
                  <w:rFonts w:ascii="Times New Roman" w:cs="Times New Roman" w:eastAsia="Times New Roman" w:hAnsi="Times New Roman"/>
                  <w:sz w:val="14"/>
                  <w:szCs w:val="14"/>
                  <w:color w:val="0000FF"/>
                </w:rPr>
                <w:t>Fund, L.P.</w:t>
              </w:r>
            </w:hyperlink>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9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1">
              <w:r>
                <w:rPr>
                  <w:rFonts w:ascii="Times New Roman" w:cs="Times New Roman" w:eastAsia="Times New Roman" w:hAnsi="Times New Roman"/>
                  <w:sz w:val="14"/>
                  <w:szCs w:val="14"/>
                  <w:color w:val="0000FF"/>
                </w:rPr>
                <w:t>Agreement and Plan of Merger, dated as of May 10, 2022.</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11, 2022</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Borders>
              <w:top w:val="single" w:sz="8" w:color="0000FF"/>
              <w:bottom w:val="single" w:sz="8" w:color="0000FF"/>
            </w:tcBorders>
            <w:gridSpan w:val="14"/>
          </w:tcPr>
          <w:p>
            <w:pPr>
              <w:spacing w:after="0"/>
              <w:rPr>
                <w:rFonts w:ascii="Times New Roman" w:cs="Times New Roman" w:eastAsia="Times New Roman" w:hAnsi="Times New Roman"/>
                <w:sz w:val="14"/>
                <w:szCs w:val="14"/>
                <w:color w:val="0000FF"/>
              </w:rPr>
            </w:pPr>
            <w:hyperlink r:id="rId72">
              <w:r>
                <w:rPr>
                  <w:rFonts w:ascii="Times New Roman" w:cs="Times New Roman" w:eastAsia="Times New Roman" w:hAnsi="Times New Roman"/>
                  <w:sz w:val="14"/>
                  <w:szCs w:val="14"/>
                  <w:color w:val="0000FF"/>
                </w:rPr>
                <w:t>Stock Purchase Agreement, dated May 22, 2023</w:t>
              </w:r>
            </w:hyperlink>
          </w:p>
        </w:tc>
        <w:tc>
          <w:tcPr>
            <w:tcW w:w="560" w:type="dxa"/>
            <w:vAlign w:val="bottom"/>
            <w:tcBorders>
              <w:top w:val="single" w:sz="8" w:color="0000FF"/>
            </w:tcBorders>
            <w:gridSpan w:val="2"/>
          </w:tcPr>
          <w:p>
            <w:pPr>
              <w:spacing w:after="0"/>
              <w:rPr>
                <w:sz w:val="24"/>
                <w:szCs w:val="24"/>
                <w:color w:val="auto"/>
              </w:rPr>
            </w:pPr>
          </w:p>
        </w:tc>
        <w:tc>
          <w:tcPr>
            <w:tcW w:w="1640" w:type="dxa"/>
            <w:vAlign w:val="bottom"/>
            <w:gridSpan w:val="18"/>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23, 2023</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3">
              <w:r>
                <w:rPr>
                  <w:rFonts w:ascii="Times New Roman" w:cs="Times New Roman" w:eastAsia="Times New Roman" w:hAnsi="Times New Roman"/>
                  <w:sz w:val="14"/>
                  <w:szCs w:val="14"/>
                  <w:color w:val="0000FF"/>
                </w:rPr>
                <w:t>Stock Purchase Agreement, dated May 1, 2024</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2024</w:t>
            </w: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Voting and Support Agreement, dated as of January 6, 2025, by and between Getty</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74">
              <w:r>
                <w:rPr>
                  <w:rFonts w:ascii="Times New Roman" w:cs="Times New Roman" w:eastAsia="Times New Roman" w:hAnsi="Times New Roman"/>
                  <w:sz w:val="14"/>
                  <w:szCs w:val="14"/>
                  <w:color w:val="0000FF"/>
                </w:rPr>
                <w:t>Images and Jonathan Oringer.</w:t>
              </w:r>
            </w:hyperlink>
          </w:p>
        </w:tc>
        <w:tc>
          <w:tcPr>
            <w:tcW w:w="3040" w:type="dxa"/>
            <w:vAlign w:val="bottom"/>
            <w:tcBorders>
              <w:top w:val="single" w:sz="8" w:color="0000FF"/>
            </w:tcBorders>
            <w:gridSpan w:val="22"/>
          </w:tcPr>
          <w:p>
            <w:pPr>
              <w:spacing w:after="0"/>
              <w:rPr>
                <w:sz w:val="14"/>
                <w:szCs w:val="14"/>
                <w:color w:val="auto"/>
              </w:rPr>
            </w:pPr>
          </w:p>
        </w:tc>
        <w:tc>
          <w:tcPr>
            <w:tcW w:w="220" w:type="dxa"/>
            <w:vAlign w:val="bottom"/>
            <w:gridSpan w:val="5"/>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Significant Stockholder Agreement, dated as of January 6, 2025, by and among</w:t>
              </w:r>
            </w:hyperlink>
          </w:p>
        </w:tc>
        <w:tc>
          <w:tcPr>
            <w:tcW w:w="400" w:type="dxa"/>
            <w:vAlign w:val="bottom"/>
            <w:gridSpan w:val="11"/>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bottom w:val="single" w:sz="8" w:color="0000FF"/>
            </w:tcBorders>
            <w:gridSpan w:val="28"/>
          </w:tcPr>
          <w:p>
            <w:pPr>
              <w:spacing w:after="0"/>
              <w:rPr>
                <w:rFonts w:ascii="Times New Roman" w:cs="Times New Roman" w:eastAsia="Times New Roman" w:hAnsi="Times New Roman"/>
                <w:sz w:val="14"/>
                <w:szCs w:val="14"/>
                <w:color w:val="0000FF"/>
              </w:rPr>
            </w:pPr>
            <w:hyperlink r:id="rId75">
              <w:r>
                <w:rPr>
                  <w:rFonts w:ascii="Times New Roman" w:cs="Times New Roman" w:eastAsia="Times New Roman" w:hAnsi="Times New Roman"/>
                  <w:sz w:val="14"/>
                  <w:szCs w:val="14"/>
                  <w:color w:val="0000FF"/>
                </w:rPr>
                <w:t>Getty Images, the Getty Family Stockholders, the Koch Stockholder and Jonathan</w:t>
              </w:r>
            </w:hyperlink>
          </w:p>
        </w:tc>
        <w:tc>
          <w:tcPr>
            <w:tcW w:w="24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w w:val="97"/>
              </w:rPr>
            </w:pPr>
            <w:hyperlink r:id="rId75">
              <w:r>
                <w:rPr>
                  <w:rFonts w:ascii="Times New Roman" w:cs="Times New Roman" w:eastAsia="Times New Roman" w:hAnsi="Times New Roman"/>
                  <w:sz w:val="14"/>
                  <w:szCs w:val="14"/>
                  <w:color w:val="0000FF"/>
                  <w:w w:val="97"/>
                </w:rPr>
                <w:t>Oringer.</w:t>
              </w:r>
            </w:hyperlink>
          </w:p>
        </w:tc>
        <w:tc>
          <w:tcPr>
            <w:tcW w:w="4500" w:type="dxa"/>
            <w:vAlign w:val="bottom"/>
            <w:gridSpan w:val="31"/>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Agreement and Plan of Merger, dated as of January 6, 2025, by and among Getty</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January 7, 2025</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4"/>
                <w:szCs w:val="14"/>
                <w:color w:val="0000FF"/>
              </w:rPr>
            </w:pPr>
            <w:hyperlink r:id="rId76">
              <w:r>
                <w:rPr>
                  <w:rFonts w:ascii="Times New Roman" w:cs="Times New Roman" w:eastAsia="Times New Roman" w:hAnsi="Times New Roman"/>
                  <w:sz w:val="14"/>
                  <w:szCs w:val="14"/>
                  <w:color w:val="0000FF"/>
                </w:rPr>
                <w:t>Images, Merger Sub 2, Merger Sub 3, Shutterstock, HoldCo and Merger Sub 1.</w:t>
              </w:r>
            </w:hyperlink>
          </w:p>
        </w:tc>
        <w:tc>
          <w:tcPr>
            <w:tcW w:w="100" w:type="dxa"/>
            <w:vAlign w:val="bottom"/>
            <w:tcBorders>
              <w:top w:val="single" w:sz="8" w:color="0000FF"/>
            </w:tcBorders>
            <w:gridSpan w:val="3"/>
          </w:tcPr>
          <w:p>
            <w:pPr>
              <w:spacing w:after="0"/>
              <w:rPr>
                <w:sz w:val="14"/>
                <w:szCs w:val="14"/>
                <w:color w:val="auto"/>
              </w:rPr>
            </w:pPr>
          </w:p>
        </w:tc>
        <w:tc>
          <w:tcPr>
            <w:tcW w:w="320" w:type="dxa"/>
            <w:vAlign w:val="bottom"/>
            <w:gridSpan w:val="9"/>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77">
              <w:r>
                <w:rPr>
                  <w:rFonts w:ascii="Times New Roman" w:cs="Times New Roman" w:eastAsia="Times New Roman" w:hAnsi="Times New Roman"/>
                  <w:sz w:val="14"/>
                  <w:szCs w:val="14"/>
                  <w:color w:val="0000FF"/>
                </w:rPr>
                <w:t>Amended and Restated Certificate of Incorporation of the Registrant, as currently in</w:t>
              </w:r>
            </w:hyperlink>
          </w:p>
        </w:tc>
        <w:tc>
          <w:tcPr>
            <w:tcW w:w="140" w:type="dxa"/>
            <w:vAlign w:val="bottom"/>
            <w:gridSpan w:val="2"/>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29,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5"/>
              </w:rPr>
            </w:pPr>
            <w:hyperlink r:id="rId77">
              <w:r>
                <w:rPr>
                  <w:rFonts w:ascii="Times New Roman" w:cs="Times New Roman" w:eastAsia="Times New Roman" w:hAnsi="Times New Roman"/>
                  <w:sz w:val="14"/>
                  <w:szCs w:val="14"/>
                  <w:color w:val="0000FF"/>
                  <w:w w:val="95"/>
                </w:rPr>
                <w:t>effect.</w:t>
              </w:r>
            </w:hyperlink>
          </w:p>
        </w:tc>
        <w:tc>
          <w:tcPr>
            <w:tcW w:w="4620" w:type="dxa"/>
            <w:vAlign w:val="bottom"/>
            <w:gridSpan w:val="32"/>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78">
              <w:r>
                <w:rPr>
                  <w:rFonts w:ascii="Times New Roman" w:cs="Times New Roman" w:eastAsia="Times New Roman" w:hAnsi="Times New Roman"/>
                  <w:sz w:val="14"/>
                  <w:szCs w:val="14"/>
                  <w:color w:val="0000FF"/>
                </w:rPr>
                <w:t>Amended and Restated Bylaws of the Registrant, as currently in effect.</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top w:val="single" w:sz="8" w:color="0000FF"/>
            </w:tcBorders>
            <w:gridSpan w:val="19"/>
          </w:tcPr>
          <w:p>
            <w:pPr>
              <w:spacing w:after="0"/>
              <w:rPr>
                <w:rFonts w:ascii="Times New Roman" w:cs="Times New Roman" w:eastAsia="Times New Roman" w:hAnsi="Times New Roman"/>
                <w:sz w:val="14"/>
                <w:szCs w:val="14"/>
                <w:color w:val="0000FF"/>
              </w:rPr>
            </w:pPr>
            <w:hyperlink r:id="rId79">
              <w:r>
                <w:rPr>
                  <w:rFonts w:ascii="Times New Roman" w:cs="Times New Roman" w:eastAsia="Times New Roman" w:hAnsi="Times New Roman"/>
                  <w:sz w:val="14"/>
                  <w:szCs w:val="14"/>
                  <w:color w:val="0000FF"/>
                </w:rPr>
                <w:t>Specimen Stock Certificate of the Registrant</w:t>
              </w:r>
            </w:hyperlink>
          </w:p>
        </w:tc>
        <w:tc>
          <w:tcPr>
            <w:tcW w:w="900" w:type="dxa"/>
            <w:vAlign w:val="bottom"/>
            <w:gridSpan w:val="15"/>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S-3ASR</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333-243706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10, 2020</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top w:val="single" w:sz="8" w:color="0000FF"/>
            </w:tcBorders>
            <w:gridSpan w:val="11"/>
          </w:tcPr>
          <w:p>
            <w:pPr>
              <w:spacing w:after="0"/>
              <w:rPr>
                <w:rFonts w:ascii="Times New Roman" w:cs="Times New Roman" w:eastAsia="Times New Roman" w:hAnsi="Times New Roman"/>
                <w:sz w:val="14"/>
                <w:szCs w:val="14"/>
                <w:color w:val="0000FF"/>
              </w:rPr>
            </w:pPr>
            <w:hyperlink r:id="rId80">
              <w:r>
                <w:rPr>
                  <w:rFonts w:ascii="Times New Roman" w:cs="Times New Roman" w:eastAsia="Times New Roman" w:hAnsi="Times New Roman"/>
                  <w:sz w:val="14"/>
                  <w:szCs w:val="14"/>
                  <w:color w:val="0000FF"/>
                </w:rPr>
                <w:t>Description of the Registrant’s Securities</w:t>
              </w:r>
            </w:hyperlink>
          </w:p>
        </w:tc>
        <w:tc>
          <w:tcPr>
            <w:tcW w:w="2420" w:type="dxa"/>
            <w:vAlign w:val="bottom"/>
            <w:gridSpan w:val="23"/>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10.1(a) §</w:t>
            </w: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Form of Indemnification Agreement between the Registrant and each of its Officers</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30,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4"/>
                <w:szCs w:val="14"/>
                <w:color w:val="0000FF"/>
              </w:rPr>
            </w:pPr>
            <w:hyperlink r:id="rId81">
              <w:r>
                <w:rPr>
                  <w:rFonts w:ascii="Times New Roman" w:cs="Times New Roman" w:eastAsia="Times New Roman" w:hAnsi="Times New Roman"/>
                  <w:sz w:val="14"/>
                  <w:szCs w:val="14"/>
                  <w:color w:val="0000FF"/>
                </w:rPr>
                <w:t>and Directors.</w:t>
              </w:r>
            </w:hyperlink>
          </w:p>
        </w:tc>
        <w:tc>
          <w:tcPr>
            <w:tcW w:w="4000" w:type="dxa"/>
            <w:vAlign w:val="bottom"/>
            <w:tcBorders>
              <w:top w:val="single" w:sz="8" w:color="0000FF"/>
            </w:tcBorders>
            <w:gridSpan w:val="26"/>
          </w:tcPr>
          <w:p>
            <w:pPr>
              <w:spacing w:after="0"/>
              <w:rPr>
                <w:sz w:val="14"/>
                <w:szCs w:val="14"/>
                <w:color w:val="auto"/>
              </w:rPr>
            </w:pPr>
          </w:p>
        </w:tc>
        <w:tc>
          <w:tcPr>
            <w:tcW w:w="16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06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82">
              <w:r>
                <w:rPr>
                  <w:rFonts w:ascii="Times New Roman" w:cs="Times New Roman" w:eastAsia="Times New Roman" w:hAnsi="Times New Roman"/>
                  <w:sz w:val="14"/>
                  <w:szCs w:val="14"/>
                  <w:color w:val="0000FF"/>
                </w:rPr>
                <w:t>2012 Omnibus Equity Incentive Plan and Form of Award Agreements.</w:t>
              </w:r>
            </w:hyperlink>
          </w:p>
        </w:tc>
        <w:tc>
          <w:tcPr>
            <w:tcW w:w="920" w:type="dxa"/>
            <w:vAlign w:val="bottom"/>
            <w:gridSpan w:val="16"/>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27, 2015</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3">
              <w:r>
                <w:rPr>
                  <w:rFonts w:ascii="Times New Roman" w:cs="Times New Roman" w:eastAsia="Times New Roman" w:hAnsi="Times New Roman"/>
                  <w:sz w:val="14"/>
                  <w:szCs w:val="14"/>
                  <w:color w:val="0000FF"/>
                </w:rPr>
                <w:t>2022 Omnibus Equity Incentive Plan and Form of Award Agreement</w:t>
              </w:r>
            </w:hyperlink>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14A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21, 2022</w:t>
            </w: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396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84">
              <w:r>
                <w:rPr>
                  <w:rFonts w:ascii="Times New Roman" w:cs="Times New Roman" w:eastAsia="Times New Roman" w:hAnsi="Times New Roman"/>
                  <w:sz w:val="14"/>
                  <w:szCs w:val="14"/>
                  <w:color w:val="0000FF"/>
                </w:rPr>
                <w:t>Shutterstock, Inc. Short-Term Incentive Plan.</w:t>
              </w:r>
            </w:hyperlink>
          </w:p>
        </w:tc>
        <w:tc>
          <w:tcPr>
            <w:tcW w:w="1020" w:type="dxa"/>
            <w:vAlign w:val="bottom"/>
            <w:gridSpan w:val="17"/>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August 30, 2012</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10.5(a) §</w:t>
            </w:r>
          </w:p>
        </w:tc>
        <w:tc>
          <w:tcPr>
            <w:tcW w:w="20" w:type="dxa"/>
            <w:vAlign w:val="bottom"/>
          </w:tcPr>
          <w:p>
            <w:pPr>
              <w:spacing w:after="0"/>
              <w:rPr>
                <w:sz w:val="24"/>
                <w:szCs w:val="24"/>
                <w:color w:val="auto"/>
              </w:rPr>
            </w:pPr>
          </w:p>
        </w:tc>
        <w:tc>
          <w:tcPr>
            <w:tcW w:w="472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Employment Agreement between Shutterstock Images LLC and Jonathan Oringer</w:t>
              </w:r>
            </w:hyperlink>
          </w:p>
        </w:tc>
        <w:tc>
          <w:tcPr>
            <w:tcW w:w="260" w:type="dxa"/>
            <w:vAlign w:val="bottom"/>
            <w:gridSpan w:val="7"/>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85">
              <w:r>
                <w:rPr>
                  <w:rFonts w:ascii="Times New Roman" w:cs="Times New Roman" w:eastAsia="Times New Roman" w:hAnsi="Times New Roman"/>
                  <w:sz w:val="14"/>
                  <w:szCs w:val="14"/>
                  <w:color w:val="0000FF"/>
                </w:rPr>
                <w:t>dated September 24, 2012.</w:t>
              </w:r>
            </w:hyperlink>
          </w:p>
        </w:tc>
        <w:tc>
          <w:tcPr>
            <w:tcW w:w="3440" w:type="dxa"/>
            <w:vAlign w:val="bottom"/>
            <w:gridSpan w:val="28"/>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10.5(b) §</w:t>
            </w:r>
          </w:p>
        </w:tc>
        <w:tc>
          <w:tcPr>
            <w:tcW w:w="20" w:type="dxa"/>
            <w:vAlign w:val="bottom"/>
          </w:tcPr>
          <w:p>
            <w:pPr>
              <w:spacing w:after="0"/>
              <w:rPr>
                <w:sz w:val="24"/>
                <w:szCs w:val="24"/>
                <w:color w:val="auto"/>
              </w:rPr>
            </w:pPr>
          </w:p>
        </w:tc>
        <w:tc>
          <w:tcPr>
            <w:tcW w:w="46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Severance and Change in Control Agreement between Shutterstock Images LLC</w:t>
              </w:r>
            </w:hyperlink>
          </w:p>
        </w:tc>
        <w:tc>
          <w:tcPr>
            <w:tcW w:w="340" w:type="dxa"/>
            <w:vAlign w:val="bottom"/>
            <w:gridSpan w:val="10"/>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S-1/A</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333-181376</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10.8(b)</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27, 2012</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34"/>
          </w:tcPr>
          <w:p>
            <w:pPr>
              <w:spacing w:after="0"/>
              <w:rPr>
                <w:rFonts w:ascii="Times New Roman" w:cs="Times New Roman" w:eastAsia="Times New Roman" w:hAnsi="Times New Roman"/>
                <w:sz w:val="14"/>
                <w:szCs w:val="14"/>
                <w:color w:val="0000FF"/>
              </w:rPr>
            </w:pPr>
            <w:hyperlink r:id="rId86">
              <w:r>
                <w:rPr>
                  <w:rFonts w:ascii="Times New Roman" w:cs="Times New Roman" w:eastAsia="Times New Roman" w:hAnsi="Times New Roman"/>
                  <w:sz w:val="14"/>
                  <w:szCs w:val="14"/>
                  <w:color w:val="0000FF"/>
                </w:rPr>
                <w:t>and Jonathan Oringer dated September 24, 2012.</w:t>
              </w:r>
            </w:hyperlink>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10.5(c) §</w:t>
            </w:r>
          </w:p>
        </w:tc>
        <w:tc>
          <w:tcPr>
            <w:tcW w:w="20" w:type="dxa"/>
            <w:vAlign w:val="bottom"/>
          </w:tcPr>
          <w:p>
            <w:pPr>
              <w:spacing w:after="0"/>
              <w:rPr>
                <w:sz w:val="24"/>
                <w:szCs w:val="24"/>
                <w:color w:val="auto"/>
              </w:rPr>
            </w:pPr>
          </w:p>
        </w:tc>
        <w:tc>
          <w:tcPr>
            <w:tcW w:w="4700" w:type="dxa"/>
            <w:vAlign w:val="bottom"/>
            <w:tcBorders>
              <w:bottom w:val="single" w:sz="8" w:color="0000FF"/>
            </w:tcBorders>
            <w:gridSpan w:val="26"/>
          </w:tcPr>
          <w:p>
            <w:pPr>
              <w:spacing w:after="0"/>
              <w:rPr>
                <w:rFonts w:ascii="Times New Roman" w:cs="Times New Roman" w:eastAsia="Times New Roman" w:hAnsi="Times New Roman"/>
                <w:sz w:val="14"/>
                <w:szCs w:val="14"/>
                <w:color w:val="0000FF"/>
              </w:rPr>
            </w:pPr>
            <w:hyperlink r:id="rId87">
              <w:r>
                <w:rPr>
                  <w:rFonts w:ascii="Times New Roman" w:cs="Times New Roman" w:eastAsia="Times New Roman" w:hAnsi="Times New Roman"/>
                  <w:sz w:val="14"/>
                  <w:szCs w:val="14"/>
                  <w:color w:val="0000FF"/>
                </w:rPr>
                <w:t>Summary of Compensatory Arrangements with Jonathan Oringer, dated April 24,</w:t>
              </w:r>
            </w:hyperlink>
          </w:p>
        </w:tc>
        <w:tc>
          <w:tcPr>
            <w:tcW w:w="280" w:type="dxa"/>
            <w:vAlign w:val="bottom"/>
            <w:gridSpan w:val="8"/>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N/A</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2014</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tcPr>
          <w:p>
            <w:pPr>
              <w:ind w:left="20"/>
              <w:spacing w:after="0"/>
              <w:rPr>
                <w:rFonts w:ascii="Times New Roman" w:cs="Times New Roman" w:eastAsia="Times New Roman" w:hAnsi="Times New Roman"/>
                <w:sz w:val="14"/>
                <w:szCs w:val="14"/>
                <w:color w:val="0000FF"/>
                <w:w w:val="95"/>
              </w:rPr>
            </w:pPr>
            <w:hyperlink r:id="rId87">
              <w:r>
                <w:rPr>
                  <w:rFonts w:ascii="Times New Roman" w:cs="Times New Roman" w:eastAsia="Times New Roman" w:hAnsi="Times New Roman"/>
                  <w:sz w:val="14"/>
                  <w:szCs w:val="14"/>
                  <w:color w:val="0000FF"/>
                  <w:w w:val="95"/>
                </w:rPr>
                <w:t>2014.</w:t>
              </w:r>
            </w:hyperlink>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860" w:type="dxa"/>
            <w:vAlign w:val="bottom"/>
            <w:gridSpan w:val="2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10.5(d) §</w:t>
            </w:r>
          </w:p>
        </w:tc>
        <w:tc>
          <w:tcPr>
            <w:tcW w:w="20" w:type="dxa"/>
            <w:vAlign w:val="bottom"/>
          </w:tcPr>
          <w:p>
            <w:pPr>
              <w:spacing w:after="0"/>
              <w:rPr>
                <w:sz w:val="24"/>
                <w:szCs w:val="24"/>
                <w:color w:val="auto"/>
              </w:rPr>
            </w:pPr>
          </w:p>
        </w:tc>
        <w:tc>
          <w:tcPr>
            <w:tcW w:w="484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Amendment to Employment Agreement, dated February 11, 2020, by and between</w:t>
              </w:r>
            </w:hyperlink>
          </w:p>
        </w:tc>
        <w:tc>
          <w:tcPr>
            <w:tcW w:w="140" w:type="dxa"/>
            <w:vAlign w:val="bottom"/>
            <w:gridSpan w:val="2"/>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10.5(d)</w:t>
            </w: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February 13, 2020</w:t>
            </w: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bottom w:val="single" w:sz="8" w:color="0000FF"/>
            </w:tcBorders>
            <w:gridSpan w:val="9"/>
          </w:tcPr>
          <w:p>
            <w:pPr>
              <w:spacing w:after="0"/>
              <w:rPr>
                <w:rFonts w:ascii="Times New Roman" w:cs="Times New Roman" w:eastAsia="Times New Roman" w:hAnsi="Times New Roman"/>
                <w:sz w:val="14"/>
                <w:szCs w:val="14"/>
                <w:color w:val="0000FF"/>
              </w:rPr>
            </w:pPr>
            <w:hyperlink r:id="rId88">
              <w:r>
                <w:rPr>
                  <w:rFonts w:ascii="Times New Roman" w:cs="Times New Roman" w:eastAsia="Times New Roman" w:hAnsi="Times New Roman"/>
                  <w:sz w:val="14"/>
                  <w:szCs w:val="14"/>
                  <w:color w:val="0000FF"/>
                </w:rPr>
                <w:t>Jon Oringer and Shutterstock, Inc.</w:t>
              </w:r>
            </w:hyperlink>
          </w:p>
        </w:tc>
        <w:tc>
          <w:tcPr>
            <w:tcW w:w="3000" w:type="dxa"/>
            <w:vAlign w:val="bottom"/>
            <w:gridSpan w:val="25"/>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type w:val="continuous"/>
        </w:sectPr>
      </w:pPr>
    </w:p>
    <w:bookmarkStart w:id="35" w:name="page36"/>
    <w:bookmarkEnd w:id="35"/>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0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0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80" w:type="dxa"/>
            <w:vAlign w:val="bottom"/>
            <w:gridSpan w:val="23"/>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26"/>
        </w:trPr>
        <w:tc>
          <w:tcPr>
            <w:tcW w:w="1000" w:type="dxa"/>
            <w:vAlign w:val="bottom"/>
            <w:tcBorders>
              <w:bottom w:val="single" w:sz="8" w:color="auto"/>
            </w:tcBorders>
          </w:tcPr>
          <w:p>
            <w:pPr>
              <w:spacing w:after="0"/>
              <w:rPr>
                <w:sz w:val="19"/>
                <w:szCs w:val="19"/>
                <w:color w:val="auto"/>
              </w:rPr>
            </w:pPr>
          </w:p>
        </w:tc>
        <w:tc>
          <w:tcPr>
            <w:tcW w:w="4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10.5(e)</w:t>
            </w:r>
          </w:p>
        </w:tc>
        <w:tc>
          <w:tcPr>
            <w:tcW w:w="4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Amendment to Severance and Change in Control Agreement, dated February 11,</w:t>
              </w:r>
            </w:hyperlink>
          </w:p>
        </w:tc>
        <w:tc>
          <w:tcPr>
            <w:tcW w:w="140" w:type="dxa"/>
            <w:vAlign w:val="bottom"/>
            <w:gridSpan w:val="2"/>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14"/>
                <w:szCs w:val="14"/>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10.5(e)</w:t>
            </w: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February 13, 2020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0">
              <w:r>
                <w:rPr>
                  <w:rFonts w:ascii="Times New Roman" w:cs="Times New Roman" w:eastAsia="Times New Roman" w:hAnsi="Times New Roman"/>
                  <w:sz w:val="14"/>
                  <w:szCs w:val="14"/>
                  <w:color w:val="0000FF"/>
                </w:rPr>
                <w:t>2020, by and between Jon Oringer and Shutterstock, Inc.</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8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Lease Agreement, between Shutterstock, Inc. and Empire State Building</w:t>
              </w:r>
            </w:hyperlink>
          </w:p>
        </w:tc>
        <w:tc>
          <w:tcPr>
            <w:tcW w:w="740" w:type="dxa"/>
            <w:vAlign w:val="bottom"/>
            <w:gridSpan w:val="13"/>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10, 2013</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91">
              <w:r>
                <w:rPr>
                  <w:rFonts w:ascii="Times New Roman" w:cs="Times New Roman" w:eastAsia="Times New Roman" w:hAnsi="Times New Roman"/>
                  <w:sz w:val="14"/>
                  <w:szCs w:val="14"/>
                  <w:color w:val="0000FF"/>
                </w:rPr>
                <w:t>Company LLC, dated March 21, 2013.</w:t>
              </w:r>
            </w:hyperlink>
          </w:p>
        </w:tc>
        <w:tc>
          <w:tcPr>
            <w:tcW w:w="2680" w:type="dxa"/>
            <w:vAlign w:val="bottom"/>
            <w:gridSpan w:val="21"/>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First Lease Modification Agreement, by and between Shutterstock, Inc. and ESRT</w:t>
              </w:r>
            </w:hyperlink>
          </w:p>
        </w:tc>
        <w:tc>
          <w:tcPr>
            <w:tcW w:w="180" w:type="dxa"/>
            <w:vAlign w:val="bottom"/>
            <w:gridSpan w:val="3"/>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6, 2015</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2">
              <w:r>
                <w:rPr>
                  <w:rFonts w:ascii="Times New Roman" w:cs="Times New Roman" w:eastAsia="Times New Roman" w:hAnsi="Times New Roman"/>
                  <w:sz w:val="14"/>
                  <w:szCs w:val="14"/>
                  <w:color w:val="0000FF"/>
                </w:rPr>
                <w:t>Empire State Building, L.L.C., dated August 31, 2015.</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Second Lease Modification and Extension Agreement, by and between</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January 13, 2016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93">
              <w:r>
                <w:rPr>
                  <w:rFonts w:ascii="Times New Roman" w:cs="Times New Roman" w:eastAsia="Times New Roman" w:hAnsi="Times New Roman"/>
                  <w:sz w:val="14"/>
                  <w:szCs w:val="14"/>
                  <w:color w:val="0000FF"/>
                </w:rPr>
                <w:t>Shutterstock, Inc. and ESRT Empire State Building, L.L.C., dated January 8, 2016.</w:t>
              </w:r>
            </w:hyperlink>
          </w:p>
        </w:tc>
        <w:tc>
          <w:tcPr>
            <w:tcW w:w="1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Third Lease Modification Agreement, dated July 19, 2016, by and between</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August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7"/>
          </w:tcPr>
          <w:p>
            <w:pPr>
              <w:spacing w:after="0"/>
              <w:rPr>
                <w:rFonts w:ascii="Times New Roman" w:cs="Times New Roman" w:eastAsia="Times New Roman" w:hAnsi="Times New Roman"/>
                <w:sz w:val="14"/>
                <w:szCs w:val="14"/>
                <w:color w:val="0000FF"/>
              </w:rPr>
            </w:pPr>
            <w:hyperlink r:id="rId94">
              <w:r>
                <w:rPr>
                  <w:rFonts w:ascii="Times New Roman" w:cs="Times New Roman" w:eastAsia="Times New Roman" w:hAnsi="Times New Roman"/>
                  <w:sz w:val="14"/>
                  <w:szCs w:val="14"/>
                  <w:color w:val="0000FF"/>
                </w:rPr>
                <w:t>Shutterstock, Inc. and ESRT Empire State Building, L.L.C.</w:t>
              </w:r>
            </w:hyperlink>
          </w:p>
        </w:tc>
        <w:tc>
          <w:tcPr>
            <w:tcW w:w="600" w:type="dxa"/>
            <w:vAlign w:val="bottom"/>
            <w:gridSpan w:val="10"/>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280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4"/>
                <w:szCs w:val="14"/>
                <w:color w:val="0000FF"/>
              </w:rPr>
            </w:pPr>
            <w:hyperlink r:id="rId95">
              <w:r>
                <w:rPr>
                  <w:rFonts w:ascii="Times New Roman" w:cs="Times New Roman" w:eastAsia="Times New Roman" w:hAnsi="Times New Roman"/>
                  <w:sz w:val="14"/>
                  <w:szCs w:val="14"/>
                  <w:color w:val="0000FF"/>
                </w:rPr>
                <w:t>Shutterstock, Inc. Director Compensation Policy</w:t>
              </w:r>
            </w:hyperlink>
          </w:p>
        </w:tc>
        <w:tc>
          <w:tcPr>
            <w:tcW w:w="600" w:type="dxa"/>
            <w:vAlign w:val="bottom"/>
            <w:tcBorders>
              <w:top w:val="single" w:sz="8" w:color="0000FF"/>
            </w:tcBorders>
            <w:gridSpan w:val="3"/>
          </w:tcPr>
          <w:p>
            <w:pPr>
              <w:spacing w:after="0"/>
              <w:rPr>
                <w:sz w:val="24"/>
                <w:szCs w:val="24"/>
                <w:color w:val="auto"/>
              </w:rPr>
            </w:pPr>
          </w:p>
        </w:tc>
        <w:tc>
          <w:tcPr>
            <w:tcW w:w="1520" w:type="dxa"/>
            <w:vAlign w:val="bottom"/>
            <w:gridSpan w:val="15"/>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2, 2024</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Shutterstock, Inc. Form of 2012 Omnibus Equity Incentive Plan Restricted Stock</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23"/>
          </w:tcPr>
          <w:p>
            <w:pPr>
              <w:spacing w:after="0"/>
              <w:rPr>
                <w:rFonts w:ascii="Times New Roman" w:cs="Times New Roman" w:eastAsia="Times New Roman" w:hAnsi="Times New Roman"/>
                <w:sz w:val="14"/>
                <w:szCs w:val="14"/>
                <w:color w:val="0000FF"/>
              </w:rPr>
            </w:pPr>
            <w:hyperlink r:id="rId96">
              <w:r>
                <w:rPr>
                  <w:rFonts w:ascii="Times New Roman" w:cs="Times New Roman" w:eastAsia="Times New Roman" w:hAnsi="Times New Roman"/>
                  <w:sz w:val="14"/>
                  <w:szCs w:val="14"/>
                  <w:color w:val="0000FF"/>
                </w:rPr>
                <w:t>Unit Award Agreement</w:t>
              </w:r>
            </w:hyperlink>
          </w:p>
        </w:tc>
        <w:tc>
          <w:tcPr>
            <w:tcW w:w="26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Shutterstock, Inc. Form of 2012 Omnibus Equity Incentive Plan Restricted Stock</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23"/>
          </w:tcPr>
          <w:p>
            <w:pPr>
              <w:spacing w:after="0"/>
              <w:rPr>
                <w:rFonts w:ascii="Times New Roman" w:cs="Times New Roman" w:eastAsia="Times New Roman" w:hAnsi="Times New Roman"/>
                <w:sz w:val="14"/>
                <w:szCs w:val="14"/>
                <w:color w:val="0000FF"/>
              </w:rPr>
            </w:pPr>
            <w:hyperlink r:id="rId97">
              <w:r>
                <w:rPr>
                  <w:rFonts w:ascii="Times New Roman" w:cs="Times New Roman" w:eastAsia="Times New Roman" w:hAnsi="Times New Roman"/>
                  <w:sz w:val="14"/>
                  <w:szCs w:val="14"/>
                  <w:color w:val="0000FF"/>
                </w:rPr>
                <w:t>Unit Award Agreement for Canadian Employees</w:t>
              </w:r>
            </w:hyperlink>
          </w:p>
        </w:tc>
        <w:tc>
          <w:tcPr>
            <w:tcW w:w="260" w:type="dxa"/>
            <w:vAlign w:val="bottom"/>
            <w:gridSpan w:val="4"/>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Shutterstock, Inc. Form of 2012 Omnibus Equity Incentive Plan Deferred</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May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98">
              <w:r>
                <w:rPr>
                  <w:rFonts w:ascii="Times New Roman" w:cs="Times New Roman" w:eastAsia="Times New Roman" w:hAnsi="Times New Roman"/>
                  <w:sz w:val="14"/>
                  <w:szCs w:val="14"/>
                  <w:color w:val="0000FF"/>
                </w:rPr>
                <w:t>Restricted Stock Unit Award Agreement</w:t>
              </w:r>
            </w:hyperlink>
          </w:p>
        </w:tc>
        <w:tc>
          <w:tcPr>
            <w:tcW w:w="700" w:type="dxa"/>
            <w:vAlign w:val="bottom"/>
            <w:gridSpan w:val="1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8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99">
              <w:r>
                <w:rPr>
                  <w:rFonts w:ascii="Times New Roman" w:cs="Times New Roman" w:eastAsia="Times New Roman" w:hAnsi="Times New Roman"/>
                  <w:sz w:val="14"/>
                  <w:szCs w:val="14"/>
                  <w:color w:val="0000FF"/>
                </w:rPr>
                <w:t>Shutterstock, Inc. Amended and Restated 2012 Omnibus Equity Incentive Plan</w:t>
              </w:r>
            </w:hyperlink>
          </w:p>
        </w:tc>
        <w:tc>
          <w:tcPr>
            <w:tcW w:w="340" w:type="dxa"/>
            <w:vAlign w:val="bottom"/>
            <w:gridSpan w:val="6"/>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August 4, 2016</w:t>
            </w: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Restricted Stock Unit Award Agreement, as amended September 15, 2016</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80" w:type="dxa"/>
            <w:vAlign w:val="bottom"/>
            <w:gridSpan w:val="8"/>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4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Restricted Stock Unit Award Agreement for Canadian Employees, as amended</w:t>
              </w:r>
            </w:hyperlink>
          </w:p>
        </w:tc>
        <w:tc>
          <w:tcPr>
            <w:tcW w:w="380" w:type="dxa"/>
            <w:vAlign w:val="bottom"/>
            <w:gridSpan w:val="8"/>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September 15, 2016</w:t>
              </w:r>
            </w:hyperlink>
          </w:p>
        </w:tc>
        <w:tc>
          <w:tcPr>
            <w:tcW w:w="3760" w:type="dxa"/>
            <w:vAlign w:val="bottom"/>
            <w:gridSpan w:val="24"/>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4, 2016</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Deferred Restricted Stock Unit Award Agreement, as amended September 15,</w:t>
              </w:r>
            </w:hyperlink>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gridSpan w:val="2"/>
          </w:tcPr>
          <w:p>
            <w:pPr>
              <w:ind w:left="20"/>
              <w:spacing w:after="0"/>
              <w:rPr>
                <w:rFonts w:ascii="Times New Roman" w:cs="Times New Roman" w:eastAsia="Times New Roman" w:hAnsi="Times New Roman"/>
                <w:sz w:val="14"/>
                <w:szCs w:val="14"/>
                <w:color w:val="0000FF"/>
                <w:w w:val="92"/>
              </w:rPr>
            </w:pPr>
            <w:hyperlink r:id="rId102">
              <w:r>
                <w:rPr>
                  <w:rFonts w:ascii="Times New Roman" w:cs="Times New Roman" w:eastAsia="Times New Roman" w:hAnsi="Times New Roman"/>
                  <w:sz w:val="14"/>
                  <w:szCs w:val="14"/>
                  <w:color w:val="0000FF"/>
                  <w:w w:val="92"/>
                </w:rPr>
                <w:t>2016</w:t>
              </w:r>
            </w:hyperlink>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February 11, 2020</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Performance Stock Unit Award Agreement</w:t>
              </w:r>
            </w:hyperlink>
          </w:p>
        </w:tc>
        <w:tc>
          <w:tcPr>
            <w:tcW w:w="2440" w:type="dxa"/>
            <w:vAlign w:val="bottom"/>
            <w:gridSpan w:val="19"/>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560" w:type="dxa"/>
            <w:vAlign w:val="bottom"/>
            <w:tcBorders>
              <w:bottom w:val="single" w:sz="8" w:color="0000FF"/>
            </w:tcBorders>
            <w:gridSpan w:val="20"/>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Shutterstock, Inc. 2012 Amended and Restated Omnibus Equity Incentive Plan</w:t>
              </w:r>
            </w:hyperlink>
          </w:p>
        </w:tc>
        <w:tc>
          <w:tcPr>
            <w:tcW w:w="360" w:type="dxa"/>
            <w:vAlign w:val="bottom"/>
            <w:gridSpan w:val="7"/>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April 27, 2021</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Restricted Stock Unit Award Agreement, for grants subsequent to April 2020</w:t>
              </w:r>
            </w:hyperlink>
          </w:p>
        </w:tc>
        <w:tc>
          <w:tcPr>
            <w:tcW w:w="440" w:type="dxa"/>
            <w:vAlign w:val="bottom"/>
            <w:gridSpan w:val="9"/>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10.20(a) §</w:t>
            </w:r>
          </w:p>
        </w:tc>
        <w:tc>
          <w:tcPr>
            <w:tcW w:w="20" w:type="dxa"/>
            <w:vAlign w:val="bottom"/>
          </w:tcPr>
          <w:p>
            <w:pPr>
              <w:spacing w:after="0"/>
              <w:rPr>
                <w:sz w:val="24"/>
                <w:szCs w:val="24"/>
                <w:color w:val="auto"/>
              </w:rPr>
            </w:pPr>
          </w:p>
        </w:tc>
        <w:tc>
          <w:tcPr>
            <w:tcW w:w="4920" w:type="dxa"/>
            <w:vAlign w:val="bottom"/>
            <w:gridSpan w:val="27"/>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Employment Agreement, dated August 5, 2019, by and between the Company and</w:t>
              </w:r>
            </w:hyperlink>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August 6, 2019</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4"/>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Steven Ciardiello</w:t>
              </w:r>
            </w:hyperlink>
          </w:p>
        </w:tc>
        <w:tc>
          <w:tcPr>
            <w:tcW w:w="180" w:type="dxa"/>
            <w:vAlign w:val="bottom"/>
            <w:gridSpan w:val="3"/>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540" w:type="dxa"/>
            <w:vAlign w:val="bottom"/>
            <w:gridSpan w:val="1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4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color w:val="auto"/>
              </w:rPr>
              <w:t>10.20(b) §</w:t>
            </w:r>
          </w:p>
        </w:tc>
        <w:tc>
          <w:tcPr>
            <w:tcW w:w="20" w:type="dxa"/>
            <w:vAlign w:val="bottom"/>
          </w:tcPr>
          <w:p>
            <w:pPr>
              <w:spacing w:after="0"/>
              <w:rPr>
                <w:sz w:val="24"/>
                <w:szCs w:val="24"/>
                <w:color w:val="auto"/>
              </w:rPr>
            </w:pPr>
          </w:p>
        </w:tc>
        <w:tc>
          <w:tcPr>
            <w:tcW w:w="478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Amendment to Employment Agreement, dated November 5, 2019, by and between</w:t>
              </w:r>
            </w:hyperlink>
          </w:p>
        </w:tc>
        <w:tc>
          <w:tcPr>
            <w:tcW w:w="140" w:type="dxa"/>
            <w:vAlign w:val="bottom"/>
            <w:gridSpan w:val="2"/>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10-Q</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5, 2019</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the Company and Steven Ciardiello</w:t>
              </w:r>
            </w:hyperlink>
          </w:p>
        </w:tc>
        <w:tc>
          <w:tcPr>
            <w:tcW w:w="2860" w:type="dxa"/>
            <w:vAlign w:val="bottom"/>
            <w:gridSpan w:val="22"/>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4"/>
                <w:szCs w:val="24"/>
                <w:color w:val="auto"/>
              </w:rPr>
            </w:pPr>
          </w:p>
        </w:tc>
        <w:tc>
          <w:tcPr>
            <w:tcW w:w="460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Employment Agreement, dated May 8, 2022, by and between the Company and</w:t>
              </w:r>
            </w:hyperlink>
          </w:p>
        </w:tc>
        <w:tc>
          <w:tcPr>
            <w:tcW w:w="320" w:type="dxa"/>
            <w:vAlign w:val="bottom"/>
            <w:gridSpan w:val="5"/>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9"/>
              </w:rPr>
              <w:t>May 11, 2022</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Paul J. Hennessy</w:t>
              </w:r>
            </w:hyperlink>
          </w:p>
        </w:tc>
        <w:tc>
          <w:tcPr>
            <w:tcW w:w="3920" w:type="dxa"/>
            <w:vAlign w:val="bottom"/>
            <w:gridSpan w:val="25"/>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6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type w:val="continuous"/>
        </w:sectPr>
      </w:pPr>
    </w:p>
    <w:bookmarkStart w:id="36" w:name="page37"/>
    <w:bookmarkEnd w:id="36"/>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40" w:type="dxa"/>
            <w:vAlign w:val="bottom"/>
            <w:gridSpan w:val="21"/>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9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226"/>
        </w:trPr>
        <w:tc>
          <w:tcPr>
            <w:tcW w:w="9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May 11, 2022</w:t>
            </w:r>
          </w:p>
        </w:tc>
        <w:tc>
          <w:tcPr>
            <w:tcW w:w="0" w:type="dxa"/>
            <w:vAlign w:val="bottom"/>
          </w:tcPr>
          <w:p>
            <w:pPr>
              <w:spacing w:after="0"/>
              <w:rPr>
                <w:sz w:val="1"/>
                <w:szCs w:val="1"/>
                <w:color w:val="auto"/>
              </w:rPr>
            </w:pPr>
          </w:p>
        </w:tc>
      </w:tr>
      <w:tr>
        <w:trPr>
          <w:trHeight w:val="169"/>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460" w:type="dxa"/>
            <w:vAlign w:val="bottom"/>
          </w:tcPr>
          <w:p>
            <w:pPr>
              <w:spacing w:after="0"/>
              <w:rPr>
                <w:sz w:val="14"/>
                <w:szCs w:val="14"/>
                <w:color w:val="auto"/>
              </w:rPr>
            </w:pPr>
          </w:p>
        </w:tc>
        <w:tc>
          <w:tcPr>
            <w:tcW w:w="44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Credit Agreement, dated as of May 6, 2022, by and among Shutterstock, Inc.,</w:t>
              </w:r>
            </w:hyperlink>
          </w:p>
        </w:tc>
        <w:tc>
          <w:tcPr>
            <w:tcW w:w="300" w:type="dxa"/>
            <w:vAlign w:val="bottom"/>
            <w:gridSpan w:val="7"/>
          </w:tcPr>
          <w:p>
            <w:pPr>
              <w:spacing w:after="0"/>
              <w:rPr>
                <w:sz w:val="14"/>
                <w:szCs w:val="14"/>
                <w:color w:val="auto"/>
              </w:rPr>
            </w:pPr>
          </w:p>
        </w:tc>
        <w:tc>
          <w:tcPr>
            <w:tcW w:w="9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as borrower, certain subsidiary guarantors, certain financial institutions, as</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lenders, and Bank of America, N.A., as administrative agent for such lenders.</w:t>
              </w:r>
            </w:hyperlink>
          </w:p>
        </w:tc>
        <w:tc>
          <w:tcPr>
            <w:tcW w:w="300" w:type="dxa"/>
            <w:vAlign w:val="bottom"/>
            <w:gridSpan w:val="7"/>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0000FF"/>
            </w:tcBorders>
            <w:gridSpan w:val="12"/>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2022 Nonqualified Deferred Compensation Plan</w:t>
              </w:r>
            </w:hyperlink>
          </w:p>
        </w:tc>
        <w:tc>
          <w:tcPr>
            <w:tcW w:w="1980" w:type="dxa"/>
            <w:vAlign w:val="bottom"/>
            <w:gridSpan w:val="17"/>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October 25, 2022</w:t>
            </w: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Borders>
              <w:bottom w:val="single" w:sz="8" w:color="0000FF"/>
            </w:tcBorders>
            <w:gridSpan w:val="27"/>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Employment Agreement, dated January 13, 2025, by and between the Company</w:t>
              </w:r>
            </w:hyperlink>
          </w:p>
        </w:tc>
        <w:tc>
          <w:tcPr>
            <w:tcW w:w="160" w:type="dxa"/>
            <w:vAlign w:val="bottom"/>
            <w:gridSpan w:val="2"/>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and Matthew Furlong</w:t>
              </w:r>
            </w:hyperlink>
          </w:p>
        </w:tc>
        <w:tc>
          <w:tcPr>
            <w:tcW w:w="3520" w:type="dxa"/>
            <w:vAlign w:val="bottom"/>
            <w:gridSpan w:val="25"/>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10.25</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8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Employment Agreement Amendment, dated March 19, 2025, by and between</w:t>
              </w:r>
            </w:hyperlink>
          </w:p>
        </w:tc>
        <w:tc>
          <w:tcPr>
            <w:tcW w:w="300" w:type="dxa"/>
            <w:vAlign w:val="bottom"/>
            <w:gridSpan w:val="7"/>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10.38</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March 28, 2025</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12">
              <w:r>
                <w:rPr>
                  <w:rFonts w:ascii="Times New Roman" w:cs="Times New Roman" w:eastAsia="Times New Roman" w:hAnsi="Times New Roman"/>
                  <w:sz w:val="14"/>
                  <w:szCs w:val="14"/>
                  <w:color w:val="0000FF"/>
                </w:rPr>
                <w:t>the Company and Matthew Furlong</w:t>
              </w:r>
            </w:hyperlink>
          </w:p>
        </w:tc>
        <w:tc>
          <w:tcPr>
            <w:tcW w:w="2720" w:type="dxa"/>
            <w:vAlign w:val="bottom"/>
            <w:gridSpan w:val="19"/>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52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Shutterstock Inc. Amended and Restated 2022 Omnibus Equity Incentive Plan</w:t>
              </w:r>
            </w:hyperlink>
          </w:p>
        </w:tc>
        <w:tc>
          <w:tcPr>
            <w:tcW w:w="260" w:type="dxa"/>
            <w:vAlign w:val="bottom"/>
            <w:gridSpan w:val="5"/>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June 7, 2024</w:t>
            </w: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8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Amendment to the Employment Agreement, dated June 28, 2024, by and</w:t>
              </w:r>
            </w:hyperlink>
          </w:p>
        </w:tc>
        <w:tc>
          <w:tcPr>
            <w:tcW w:w="500" w:type="dxa"/>
            <w:vAlign w:val="bottom"/>
            <w:gridSpan w:val="12"/>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July 3, 2024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between Shutterstock, Inc. and Paul J. Hennessy</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Shutterstock, Inc. Form of Amended and Restated 2022 Omnibus Equity</w:t>
              </w:r>
            </w:hyperlink>
          </w:p>
        </w:tc>
        <w:tc>
          <w:tcPr>
            <w:tcW w:w="580" w:type="dxa"/>
            <w:vAlign w:val="bottom"/>
            <w:gridSpan w:val="14"/>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July 3, 2024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Incentive Plan Restricted Stock Unit Award Agreement</w:t>
              </w:r>
            </w:hyperlink>
          </w:p>
        </w:tc>
        <w:tc>
          <w:tcPr>
            <w:tcW w:w="1580" w:type="dxa"/>
            <w:vAlign w:val="bottom"/>
            <w:gridSpan w:val="16"/>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20" w:type="dxa"/>
            <w:vAlign w:val="bottom"/>
            <w:tcBorders>
              <w:bottom w:val="single" w:sz="8" w:color="0000FF"/>
            </w:tcBorders>
            <w:gridSpan w:val="16"/>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Shutterstock, Inc. Form of Amended and Restated 2022 Omnibus Equity</w:t>
              </w:r>
            </w:hyperlink>
          </w:p>
        </w:tc>
        <w:tc>
          <w:tcPr>
            <w:tcW w:w="560" w:type="dxa"/>
            <w:vAlign w:val="bottom"/>
            <w:gridSpan w:val="13"/>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10.27</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17, 2026</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2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Incentive Plan Restricted Stock Unit Award Agreement for Paul J. Hennessy</w:t>
              </w:r>
            </w:hyperlink>
          </w:p>
        </w:tc>
        <w:tc>
          <w:tcPr>
            <w:tcW w:w="360" w:type="dxa"/>
            <w:vAlign w:val="bottom"/>
            <w:gridSpan w:val="10"/>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20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Shutterstock, Inc. Form of Amended and Restated 2022 Omnibus Equity</w:t>
              </w:r>
            </w:hyperlink>
          </w:p>
        </w:tc>
        <w:tc>
          <w:tcPr>
            <w:tcW w:w="580" w:type="dxa"/>
            <w:vAlign w:val="bottom"/>
            <w:gridSpan w:val="14"/>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July 3, 2024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Incentive Plan Performance Stock Unit Award Agreement</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460" w:type="dxa"/>
            <w:vAlign w:val="bottom"/>
          </w:tcPr>
          <w:p>
            <w:pPr>
              <w:spacing w:after="0"/>
              <w:rPr>
                <w:sz w:val="24"/>
                <w:szCs w:val="24"/>
                <w:color w:val="auto"/>
              </w:rPr>
            </w:pPr>
          </w:p>
        </w:tc>
        <w:tc>
          <w:tcPr>
            <w:tcW w:w="43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Amended and Restated Credit Agreement, dated as of July 22, 2024, by and</w:t>
              </w:r>
            </w:hyperlink>
          </w:p>
        </w:tc>
        <w:tc>
          <w:tcPr>
            <w:tcW w:w="400" w:type="dxa"/>
            <w:vAlign w:val="bottom"/>
            <w:gridSpan w:val="11"/>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July 22, 2024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among Shutterstock, Inc., as borrower, certain subsidiary guarantors, certain</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580" w:type="dxa"/>
            <w:vAlign w:val="bottom"/>
            <w:tcBorders>
              <w:right w:val="single" w:sz="8" w:color="0000FF"/>
            </w:tcBorders>
            <w:gridSpan w:val="9"/>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00" w:type="dxa"/>
            <w:vAlign w:val="bottom"/>
            <w:tcBorders>
              <w:bottom w:val="single" w:sz="8" w:color="0000FF"/>
            </w:tcBorders>
            <w:gridSpan w:val="23"/>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financial institutions, as lenders and Bank of America, N.A., as administrative</w:t>
              </w:r>
            </w:hyperlink>
          </w:p>
        </w:tc>
        <w:tc>
          <w:tcPr>
            <w:tcW w:w="280" w:type="dxa"/>
            <w:vAlign w:val="bottom"/>
            <w:gridSpan w:val="6"/>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Borders>
              <w:bottom w:val="single" w:sz="8" w:color="0000FF"/>
            </w:tcBorders>
            <w:gridSpan w:val="6"/>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agent for such lenders.</w:t>
              </w:r>
            </w:hyperlink>
          </w:p>
        </w:tc>
        <w:tc>
          <w:tcPr>
            <w:tcW w:w="3460" w:type="dxa"/>
            <w:vAlign w:val="bottom"/>
            <w:gridSpan w:val="23"/>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80" w:type="dxa"/>
            <w:vAlign w:val="bottom"/>
            <w:gridSpan w:val="29"/>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Employment Agreement by and between Rik Powell and Shutterstock, Inc.,</w:t>
              </w:r>
            </w:hyperlink>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10.2</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November 1, 2024</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dated October 30, 2024.</w:t>
              </w:r>
            </w:hyperlink>
          </w:p>
        </w:tc>
        <w:tc>
          <w:tcPr>
            <w:tcW w:w="2980" w:type="dxa"/>
            <w:vAlign w:val="bottom"/>
            <w:tcBorders>
              <w:top w:val="single" w:sz="8" w:color="0000FF"/>
            </w:tcBorders>
            <w:gridSpan w:val="11"/>
          </w:tcPr>
          <w:p>
            <w:pPr>
              <w:spacing w:after="0"/>
              <w:rPr>
                <w:sz w:val="14"/>
                <w:szCs w:val="14"/>
                <w:color w:val="auto"/>
              </w:rPr>
            </w:pPr>
          </w:p>
        </w:tc>
        <w:tc>
          <w:tcPr>
            <w:tcW w:w="400" w:type="dxa"/>
            <w:vAlign w:val="bottom"/>
            <w:gridSpan w:val="11"/>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460" w:type="dxa"/>
            <w:vAlign w:val="bottom"/>
          </w:tcPr>
          <w:p>
            <w:pPr>
              <w:spacing w:after="0"/>
              <w:rPr>
                <w:sz w:val="24"/>
                <w:szCs w:val="2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Letter Agreement, dated as of January 6, 2025, by and among Getty Images and</w:t>
              </w:r>
            </w:hyperlink>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10.3</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January 7, 2025</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0" w:type="dxa"/>
            <w:vAlign w:val="bottom"/>
            <w:tcBorders>
              <w:top w:val="single" w:sz="8" w:color="0000FF"/>
            </w:tcBorders>
            <w:gridSpan w:val="26"/>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the Getty Family Stockholders.</w:t>
              </w:r>
            </w:hyperlink>
          </w:p>
        </w:tc>
        <w:tc>
          <w:tcPr>
            <w:tcW w:w="180" w:type="dxa"/>
            <w:vAlign w:val="bottom"/>
            <w:gridSpan w:val="3"/>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460" w:type="dxa"/>
            <w:vAlign w:val="bottom"/>
          </w:tcPr>
          <w:p>
            <w:pPr>
              <w:spacing w:after="0"/>
              <w:rPr>
                <w:sz w:val="24"/>
                <w:szCs w:val="24"/>
                <w:color w:val="auto"/>
              </w:rPr>
            </w:pPr>
          </w:p>
        </w:tc>
        <w:tc>
          <w:tcPr>
            <w:tcW w:w="4460" w:type="dxa"/>
            <w:vAlign w:val="bottom"/>
            <w:tcBorders>
              <w:bottom w:val="single" w:sz="8" w:color="0000FF"/>
            </w:tcBorders>
            <w:gridSpan w:val="21"/>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Letter Agreement, dated as of January 6, 2025, by and between Getty Images</w:t>
              </w:r>
            </w:hyperlink>
          </w:p>
        </w:tc>
        <w:tc>
          <w:tcPr>
            <w:tcW w:w="320" w:type="dxa"/>
            <w:vAlign w:val="bottom"/>
            <w:gridSpan w:val="8"/>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10.4</w:t>
            </w:r>
          </w:p>
        </w:tc>
        <w:tc>
          <w:tcPr>
            <w:tcW w:w="14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January 7, 2025</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and the Koch Stockholder.</w:t>
              </w:r>
            </w:hyperlink>
          </w:p>
        </w:tc>
        <w:tc>
          <w:tcPr>
            <w:tcW w:w="3240" w:type="dxa"/>
            <w:vAlign w:val="bottom"/>
            <w:gridSpan w:val="21"/>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60" w:type="dxa"/>
            <w:vAlign w:val="bottom"/>
          </w:tcPr>
          <w:p>
            <w:pPr>
              <w:spacing w:after="0"/>
              <w:rPr>
                <w:sz w:val="24"/>
                <w:szCs w:val="24"/>
                <w:color w:val="auto"/>
              </w:rPr>
            </w:pPr>
          </w:p>
        </w:tc>
        <w:tc>
          <w:tcPr>
            <w:tcW w:w="130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Insider Trading Policy</w:t>
              </w:r>
            </w:hyperlink>
          </w:p>
        </w:tc>
        <w:tc>
          <w:tcPr>
            <w:tcW w:w="3480" w:type="dxa"/>
            <w:vAlign w:val="bottom"/>
            <w:gridSpan w:val="24"/>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w w:val="99"/>
              </w:rPr>
              <w:t>19</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460" w:type="dxa"/>
            <w:vAlign w:val="bottom"/>
          </w:tcPr>
          <w:p>
            <w:pPr>
              <w:spacing w:after="0"/>
              <w:rPr>
                <w:sz w:val="24"/>
                <w:szCs w:val="24"/>
                <w:color w:val="auto"/>
              </w:rPr>
            </w:pPr>
          </w:p>
        </w:tc>
        <w:tc>
          <w:tcPr>
            <w:tcW w:w="1160" w:type="dxa"/>
            <w:vAlign w:val="bottom"/>
            <w:tcBorders>
              <w:bottom w:val="single" w:sz="8" w:color="0000FF"/>
            </w:tcBorders>
            <w:gridSpan w:val="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List of Subsidiaries.</w:t>
              </w:r>
            </w:hyperlink>
          </w:p>
        </w:tc>
        <w:tc>
          <w:tcPr>
            <w:tcW w:w="3620" w:type="dxa"/>
            <w:vAlign w:val="bottom"/>
            <w:gridSpan w:val="26"/>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21.1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25, 2025</w:t>
            </w:r>
          </w:p>
        </w:tc>
        <w:tc>
          <w:tcPr>
            <w:tcW w:w="0" w:type="dxa"/>
            <w:vAlign w:val="bottom"/>
          </w:tcPr>
          <w:p>
            <w:pPr>
              <w:spacing w:after="0"/>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460" w:type="dxa"/>
            <w:vAlign w:val="bottom"/>
          </w:tcPr>
          <w:p>
            <w:pPr>
              <w:spacing w:after="0"/>
              <w:rPr>
                <w:sz w:val="24"/>
                <w:szCs w:val="24"/>
                <w:color w:val="auto"/>
              </w:rPr>
            </w:pPr>
          </w:p>
        </w:tc>
        <w:tc>
          <w:tcPr>
            <w:tcW w:w="428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Consent of PricewaterhouseCoopers LLP, Independent Registered Public</w:t>
              </w:r>
            </w:hyperlink>
          </w:p>
        </w:tc>
        <w:tc>
          <w:tcPr>
            <w:tcW w:w="500" w:type="dxa"/>
            <w:vAlign w:val="bottom"/>
            <w:gridSpan w:val="12"/>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23.1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17, 2026</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Accounting Firm.</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2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460" w:type="dxa"/>
            <w:vAlign w:val="bottom"/>
          </w:tcPr>
          <w:p>
            <w:pPr>
              <w:spacing w:after="0"/>
              <w:rPr>
                <w:sz w:val="24"/>
                <w:szCs w:val="2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Certification of Chief Executive Officer pursuant to Exchange Act Rules 13a-</w:t>
              </w:r>
            </w:hyperlink>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31.1</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17, 2026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20" w:type="dxa"/>
            <w:vAlign w:val="bottom"/>
            <w:gridSpan w:val="19"/>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14(a) and 15d-14(a), as adopted pursuant to Section 302 of the Sarbanes-Oxley</w:t>
              </w:r>
            </w:hyperlink>
          </w:p>
        </w:tc>
        <w:tc>
          <w:tcPr>
            <w:tcW w:w="22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Act of 2002.</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720" w:type="dxa"/>
            <w:vAlign w:val="bottom"/>
            <w:gridSpan w:val="19"/>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60" w:type="dxa"/>
            <w:vAlign w:val="bottom"/>
          </w:tcPr>
          <w:p>
            <w:pPr>
              <w:spacing w:after="0"/>
              <w:rPr>
                <w:sz w:val="24"/>
                <w:szCs w:val="2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Certification of Chief Financial Officer pursuant to Exchange Act Rules 13a-</w:t>
              </w:r>
            </w:hyperlink>
          </w:p>
        </w:tc>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001-35669</w:t>
            </w:r>
          </w:p>
        </w:tc>
        <w:tc>
          <w:tcPr>
            <w:tcW w:w="120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31.2</w:t>
            </w:r>
          </w:p>
        </w:tc>
        <w:tc>
          <w:tcPr>
            <w:tcW w:w="148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February 17, 2026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gridSpan w:val="20"/>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14(a) and 15d-14(a), as adopted pursuant to Section 302 of the Sarbanes-Oxley</w:t>
              </w:r>
            </w:hyperlink>
          </w:p>
        </w:tc>
        <w:tc>
          <w:tcPr>
            <w:tcW w:w="22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Act of 2002.</w:t>
              </w:r>
            </w:hyperlink>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60" w:type="dxa"/>
            <w:vAlign w:val="bottom"/>
            <w:gridSpan w:val="2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Exchange Act Rules 13a-</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80" w:type="dxa"/>
            <w:vAlign w:val="bottom"/>
            <w:gridSpan w:val="22"/>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22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Act of 2002.</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60" w:type="dxa"/>
            <w:vAlign w:val="bottom"/>
            <w:gridSpan w:val="28"/>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Exchange Act Rules 13a-</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40" w:type="dxa"/>
            <w:vAlign w:val="bottom"/>
            <w:gridSpan w:val="20"/>
            <w:shd w:val="clear" w:color="auto" w:fill="0000FF"/>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14(a) and 15d-14(a), as adopted pursuant to Section 302 of the Sarbanes-Oxley</w:t>
            </w:r>
          </w:p>
        </w:tc>
        <w:tc>
          <w:tcPr>
            <w:tcW w:w="220" w:type="dxa"/>
            <w:vAlign w:val="bottom"/>
            <w:gridSpan w:val="4"/>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780" w:type="dxa"/>
            <w:vAlign w:val="bottom"/>
            <w:gridSpan w:val="29"/>
          </w:tcPr>
          <w:p>
            <w:pPr>
              <w:spacing w:after="0"/>
              <w:rPr>
                <w:sz w:val="20"/>
                <w:szCs w:val="20"/>
                <w:color w:val="auto"/>
              </w:rPr>
            </w:pPr>
            <w:r>
              <w:rPr>
                <w:rFonts w:ascii="Times New Roman" w:cs="Times New Roman" w:eastAsia="Times New Roman" w:hAnsi="Times New Roman"/>
                <w:sz w:val="14"/>
                <w:szCs w:val="14"/>
                <w:color w:val="0000FF"/>
              </w:rPr>
              <w:t>Act of 2002.</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918" w:orient="portrait"/>
          <w:cols w:equalWidth="0" w:num="1">
            <w:col w:w="10940"/>
          </w:cols>
          <w:pgMar w:left="480" w:top="1440" w:right="4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918" w:orient="portrait"/>
          <w:cols w:equalWidth="0" w:num="1">
            <w:col w:w="10940"/>
          </w:cols>
          <w:pgMar w:left="480" w:top="1440" w:right="479" w:bottom="0" w:gutter="0" w:footer="0" w:header="0"/>
          <w:type w:val="continuous"/>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153035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9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161290</wp:posOffset>
            </wp:positionV>
            <wp:extent cx="6254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161925</wp:posOffset>
            </wp:positionV>
            <wp:extent cx="31203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67" w:lineRule="exact"/>
        <w:rPr>
          <w:sz w:val="20"/>
          <w:szCs w:val="20"/>
          <w:color w:val="auto"/>
        </w:rPr>
      </w:pPr>
    </w:p>
    <w:p>
      <w:pPr>
        <w:jc w:val="both"/>
        <w:spacing w:after="0" w:line="302" w:lineRule="auto"/>
        <w:rPr>
          <w:rFonts w:ascii="Times New Roman" w:cs="Times New Roman" w:eastAsia="Times New Roman" w:hAnsi="Times New Roman"/>
          <w:sz w:val="14"/>
          <w:szCs w:val="14"/>
          <w:u w:val="single" w:color="auto"/>
          <w:color w:val="0000FF"/>
        </w:rPr>
      </w:pPr>
      <w:hyperlink r:id="rId130">
        <w:r>
          <w:rPr>
            <w:rFonts w:ascii="Times New Roman" w:cs="Times New Roman" w:eastAsia="Times New Roman" w:hAnsi="Times New Roman"/>
            <w:sz w:val="14"/>
            <w:szCs w:val="14"/>
            <w:u w:val="single" w:color="auto"/>
            <w:color w:val="0000FF"/>
          </w:rPr>
          <w:t>Certifications of Chief Executive Officer and Chief Financial Officer pursuant to 18</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U.S.C. Section 1350, as adopted pursuant to Section 906 of the Sarbanes-Oxley Act</w:t>
        </w:r>
      </w:hyperlink>
      <w:r>
        <w:rPr>
          <w:rFonts w:ascii="Times New Roman" w:cs="Times New Roman" w:eastAsia="Times New Roman" w:hAnsi="Times New Roman"/>
          <w:sz w:val="14"/>
          <w:szCs w:val="14"/>
          <w:u w:val="single" w:color="auto"/>
          <w:color w:val="0000FF"/>
        </w:rPr>
        <w:t xml:space="preserve"> </w:t>
      </w:r>
      <w:hyperlink r:id="rId130">
        <w:r>
          <w:rPr>
            <w:rFonts w:ascii="Times New Roman" w:cs="Times New Roman" w:eastAsia="Times New Roman" w:hAnsi="Times New Roman"/>
            <w:sz w:val="14"/>
            <w:szCs w:val="14"/>
            <w:u w:val="single" w:color="auto"/>
            <w:color w:val="0000FF"/>
          </w:rPr>
          <w:t>of 2002.</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br w:type="column"/>
      </w:r>
    </w:p>
    <w:p>
      <w:pPr>
        <w:spacing w:after="0" w:line="19" w:lineRule="exact"/>
        <w:rPr>
          <w:rFonts w:ascii="Times New Roman" w:cs="Times New Roman" w:eastAsia="Times New Roman" w:hAnsi="Times New Roman"/>
          <w:sz w:val="14"/>
          <w:szCs w:val="14"/>
          <w:u w:val="single" w:color="auto"/>
          <w:color w:val="0000FF"/>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-176530</wp:posOffset>
            </wp:positionH>
            <wp:positionV relativeFrom="paragraph">
              <wp:posOffset>161925</wp:posOffset>
            </wp:positionV>
            <wp:extent cx="30257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1">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265" w:lineRule="exact"/>
        <w:rPr>
          <w:rFonts w:ascii="Times New Roman" w:cs="Times New Roman" w:eastAsia="Times New Roman" w:hAnsi="Times New Roman"/>
          <w:sz w:val="14"/>
          <w:szCs w:val="14"/>
          <w:u w:val="single" w:color="auto"/>
          <w:color w:val="0000FF"/>
        </w:rPr>
      </w:pPr>
    </w:p>
    <w:p>
      <w:pPr>
        <w:spacing w:after="0"/>
        <w:tabs>
          <w:tab w:leader="none" w:pos="1020" w:val="left"/>
          <w:tab w:leader="none" w:pos="2060" w:val="left"/>
          <w:tab w:leader="none" w:pos="328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File No.</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73" w:lineRule="exact"/>
        <w:rPr>
          <w:rFonts w:ascii="Times New Roman" w:cs="Times New Roman" w:eastAsia="Times New Roman" w:hAnsi="Times New Roman"/>
          <w:sz w:val="14"/>
          <w:szCs w:val="14"/>
          <w:u w:val="single" w:color="auto"/>
          <w:color w:val="0000FF"/>
        </w:rPr>
      </w:pPr>
    </w:p>
    <w:p>
      <w:pPr>
        <w:ind w:left="40"/>
        <w:spacing w:after="0"/>
        <w:tabs>
          <w:tab w:leader="none" w:pos="940" w:val="left"/>
          <w:tab w:leader="none" w:pos="2220" w:val="left"/>
          <w:tab w:leader="none" w:pos="3100" w:val="left"/>
        </w:tabs>
        <w:rPr>
          <w:sz w:val="20"/>
          <w:szCs w:val="20"/>
          <w:color w:val="auto"/>
        </w:rPr>
      </w:pPr>
      <w:r>
        <w:rPr>
          <w:rFonts w:ascii="Times New Roman" w:cs="Times New Roman" w:eastAsia="Times New Roman" w:hAnsi="Times New Roman"/>
          <w:sz w:val="14"/>
          <w:szCs w:val="14"/>
          <w:color w:val="auto"/>
        </w:rPr>
        <w:t>10-K</w:t>
      </w:r>
      <w:r>
        <w:rPr>
          <w:sz w:val="20"/>
          <w:szCs w:val="20"/>
          <w:color w:val="auto"/>
        </w:rPr>
        <w:tab/>
      </w:r>
      <w:r>
        <w:rPr>
          <w:rFonts w:ascii="Times New Roman" w:cs="Times New Roman" w:eastAsia="Times New Roman" w:hAnsi="Times New Roman"/>
          <w:sz w:val="14"/>
          <w:szCs w:val="14"/>
          <w:color w:val="auto"/>
        </w:rPr>
        <w:t>001-35669</w:t>
      </w:r>
      <w:r>
        <w:rPr>
          <w:sz w:val="20"/>
          <w:szCs w:val="20"/>
          <w:color w:val="auto"/>
        </w:rPr>
        <w:tab/>
      </w: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color w:val="auto"/>
        </w:rPr>
        <w:t>February 17, 2026</w:t>
      </w:r>
    </w:p>
    <w:p>
      <w:pPr>
        <w:spacing w:after="0" w:line="660" w:lineRule="exact"/>
        <w:rPr>
          <w:rFonts w:ascii="Times New Roman" w:cs="Times New Roman" w:eastAsia="Times New Roman" w:hAnsi="Times New Roman"/>
          <w:sz w:val="14"/>
          <w:szCs w:val="14"/>
          <w:u w:val="single" w:color="auto"/>
          <w:color w:val="0000FF"/>
        </w:rPr>
      </w:pPr>
    </w:p>
    <w:p>
      <w:pPr>
        <w:sectPr>
          <w:pgSz w:w="11900" w:h="16838" w:orient="portrait"/>
          <w:cols w:equalWidth="0" w:num="3">
            <w:col w:w="1100" w:space="360"/>
            <w:col w:w="4820" w:space="460"/>
            <w:col w:w="4240"/>
          </w:cols>
          <w:pgMar w:left="320" w:top="1440" w:right="599" w:bottom="1440" w:gutter="0" w:footer="0" w:header="0"/>
        </w:sectPr>
      </w:pPr>
    </w:p>
    <w:p>
      <w:pPr>
        <w:spacing w:after="0" w:line="2" w:lineRule="exact"/>
        <w:rPr>
          <w:rFonts w:ascii="Times New Roman" w:cs="Times New Roman" w:eastAsia="Times New Roman" w:hAnsi="Times New Roman"/>
          <w:sz w:val="14"/>
          <w:szCs w:val="14"/>
          <w:u w:val="single" w:color="auto"/>
          <w:color w:val="0000FF"/>
        </w:rPr>
      </w:pPr>
    </w:p>
    <w:p>
      <w:pPr>
        <w:ind w:left="800"/>
        <w:spacing w:after="0"/>
        <w:tabs>
          <w:tab w:leader="none" w:pos="1440" w:val="left"/>
          <w:tab w:leader="none" w:pos="6740" w:val="left"/>
          <w:tab w:leader="none" w:pos="7680" w:val="left"/>
          <w:tab w:leader="none" w:pos="8960" w:val="left"/>
          <w:tab w:leader="none" w:pos="9840" w:val="left"/>
        </w:tabs>
        <w:rPr>
          <w:rFonts w:ascii="Times New Roman" w:cs="Times New Roman" w:eastAsia="Times New Roman" w:hAnsi="Times New Roman"/>
          <w:sz w:val="14"/>
          <w:szCs w:val="14"/>
          <w:color w:val="0000FF"/>
        </w:rPr>
      </w:pPr>
      <w:r>
        <w:rPr>
          <w:rFonts w:ascii="Times New Roman" w:cs="Times New Roman" w:eastAsia="Times New Roman" w:hAnsi="Times New Roman"/>
          <w:sz w:val="14"/>
          <w:szCs w:val="14"/>
          <w:color w:val="auto"/>
        </w:rPr>
        <w:t>97</w:t>
      </w:r>
      <w:r>
        <w:rPr>
          <w:sz w:val="20"/>
          <w:szCs w:val="20"/>
          <w:color w:val="auto"/>
        </w:rPr>
        <w:tab/>
      </w:r>
      <w:hyperlink r:id="rId132">
        <w:r>
          <w:rPr>
            <w:rFonts w:ascii="Times New Roman" w:cs="Times New Roman" w:eastAsia="Times New Roman" w:hAnsi="Times New Roman"/>
            <w:sz w:val="14"/>
            <w:szCs w:val="14"/>
            <w:u w:val="single" w:color="auto"/>
            <w:color w:val="0000FF"/>
          </w:rPr>
          <w:t>2023 Executive Compensation Clawback Policy</w:t>
        </w:r>
      </w:hyperlink>
      <w:r>
        <w:rPr>
          <w:rFonts w:ascii="Times New Roman" w:cs="Times New Roman" w:eastAsia="Times New Roman" w:hAnsi="Times New Roman"/>
          <w:sz w:val="14"/>
          <w:szCs w:val="14"/>
          <w:color w:val="0000FF"/>
        </w:rPr>
        <w:tab/>
        <w:t>10-K</w:t>
        <w:tab/>
        <w:t>001-35669</w:t>
        <w:tab/>
        <w:t>97</w:t>
        <w:tab/>
        <w:t>February 26, 2024</w:t>
      </w:r>
    </w:p>
    <w:p>
      <w:pPr>
        <w:spacing w:after="0" w:line="271" w:lineRule="exact"/>
        <w:rPr>
          <w:rFonts w:ascii="Times New Roman" w:cs="Times New Roman" w:eastAsia="Times New Roman" w:hAnsi="Times New Roman"/>
          <w:sz w:val="14"/>
          <w:szCs w:val="14"/>
          <w:u w:val="single" w:color="auto"/>
          <w:color w:val="0000FF"/>
        </w:rPr>
      </w:pPr>
    </w:p>
    <w:p>
      <w:pPr>
        <w:ind w:left="500"/>
        <w:spacing w:after="0"/>
        <w:tabs>
          <w:tab w:leader="none" w:pos="1440" w:val="left"/>
        </w:tabs>
        <w:rPr>
          <w:sz w:val="20"/>
          <w:szCs w:val="20"/>
          <w:color w:val="auto"/>
        </w:rPr>
      </w:pPr>
      <w:r>
        <w:rPr>
          <w:rFonts w:ascii="Times New Roman" w:cs="Times New Roman" w:eastAsia="Times New Roman" w:hAnsi="Times New Roman"/>
          <w:sz w:val="14"/>
          <w:szCs w:val="14"/>
          <w:color w:val="auto"/>
        </w:rPr>
        <w:t>101.INS *</w:t>
      </w:r>
      <w:r>
        <w:rPr>
          <w:sz w:val="20"/>
          <w:szCs w:val="20"/>
          <w:color w:val="auto"/>
        </w:rPr>
        <w:tab/>
      </w:r>
      <w:r>
        <w:rPr>
          <w:rFonts w:ascii="Times New Roman" w:cs="Times New Roman" w:eastAsia="Times New Roman" w:hAnsi="Times New Roman"/>
          <w:sz w:val="14"/>
          <w:szCs w:val="14"/>
          <w:color w:val="auto"/>
        </w:rPr>
        <w:t>XBRL Instance Document.</w:t>
      </w:r>
    </w:p>
    <w:p>
      <w:pPr>
        <w:spacing w:after="0" w:line="271" w:lineRule="exact"/>
        <w:rPr>
          <w:rFonts w:ascii="Times New Roman" w:cs="Times New Roman" w:eastAsia="Times New Roman" w:hAnsi="Times New Roman"/>
          <w:sz w:val="14"/>
          <w:szCs w:val="14"/>
          <w:u w:val="single" w:color="auto"/>
          <w:color w:val="0000FF"/>
        </w:rPr>
      </w:pPr>
    </w:p>
    <w:p>
      <w:pPr>
        <w:ind w:left="460"/>
        <w:spacing w:after="0"/>
        <w:tabs>
          <w:tab w:leader="none" w:pos="1440" w:val="left"/>
        </w:tabs>
        <w:rPr>
          <w:sz w:val="20"/>
          <w:szCs w:val="20"/>
          <w:color w:val="auto"/>
        </w:rPr>
      </w:pPr>
      <w:r>
        <w:rPr>
          <w:rFonts w:ascii="Times New Roman" w:cs="Times New Roman" w:eastAsia="Times New Roman" w:hAnsi="Times New Roman"/>
          <w:sz w:val="14"/>
          <w:szCs w:val="14"/>
          <w:color w:val="auto"/>
        </w:rPr>
        <w:t>101.SCH *</w:t>
      </w:r>
      <w:r>
        <w:rPr>
          <w:sz w:val="20"/>
          <w:szCs w:val="20"/>
          <w:color w:val="auto"/>
        </w:rPr>
        <w:tab/>
      </w:r>
      <w:r>
        <w:rPr>
          <w:rFonts w:ascii="Times New Roman" w:cs="Times New Roman" w:eastAsia="Times New Roman" w:hAnsi="Times New Roman"/>
          <w:sz w:val="14"/>
          <w:szCs w:val="14"/>
          <w:color w:val="auto"/>
        </w:rPr>
        <w:t>XBRL Taxonomy Extension Schema Document.</w:t>
      </w:r>
    </w:p>
    <w:p>
      <w:pPr>
        <w:spacing w:after="0" w:line="271" w:lineRule="exact"/>
        <w:rPr>
          <w:rFonts w:ascii="Times New Roman" w:cs="Times New Roman" w:eastAsia="Times New Roman" w:hAnsi="Times New Roman"/>
          <w:sz w:val="14"/>
          <w:szCs w:val="14"/>
          <w:u w:val="single" w:color="auto"/>
          <w:color w:val="0000FF"/>
        </w:rPr>
      </w:pPr>
    </w:p>
    <w:p>
      <w:pPr>
        <w:ind w:left="440"/>
        <w:spacing w:after="0"/>
        <w:tabs>
          <w:tab w:leader="none" w:pos="1440" w:val="left"/>
        </w:tabs>
        <w:rPr>
          <w:sz w:val="20"/>
          <w:szCs w:val="20"/>
          <w:color w:val="auto"/>
        </w:rPr>
      </w:pPr>
      <w:r>
        <w:rPr>
          <w:rFonts w:ascii="Times New Roman" w:cs="Times New Roman" w:eastAsia="Times New Roman" w:hAnsi="Times New Roman"/>
          <w:sz w:val="14"/>
          <w:szCs w:val="14"/>
          <w:color w:val="auto"/>
        </w:rPr>
        <w:t>101.CAL *</w:t>
      </w:r>
      <w:r>
        <w:rPr>
          <w:sz w:val="20"/>
          <w:szCs w:val="20"/>
          <w:color w:val="auto"/>
        </w:rPr>
        <w:tab/>
      </w:r>
      <w:r>
        <w:rPr>
          <w:rFonts w:ascii="Times New Roman" w:cs="Times New Roman" w:eastAsia="Times New Roman" w:hAnsi="Times New Roman"/>
          <w:sz w:val="14"/>
          <w:szCs w:val="14"/>
          <w:color w:val="auto"/>
        </w:rPr>
        <w:t>XBRL Taxonomy Extension Calculation Linkbase Document.</w:t>
      </w:r>
    </w:p>
    <w:p>
      <w:pPr>
        <w:spacing w:after="0" w:line="271" w:lineRule="exact"/>
        <w:rPr>
          <w:rFonts w:ascii="Times New Roman" w:cs="Times New Roman" w:eastAsia="Times New Roman" w:hAnsi="Times New Roman"/>
          <w:sz w:val="14"/>
          <w:szCs w:val="14"/>
          <w:u w:val="single" w:color="auto"/>
          <w:color w:val="0000FF"/>
        </w:rPr>
      </w:pPr>
    </w:p>
    <w:p>
      <w:pPr>
        <w:ind w:left="460"/>
        <w:spacing w:after="0"/>
        <w:tabs>
          <w:tab w:leader="none" w:pos="1440" w:val="left"/>
        </w:tabs>
        <w:rPr>
          <w:sz w:val="20"/>
          <w:szCs w:val="20"/>
          <w:color w:val="auto"/>
        </w:rPr>
      </w:pPr>
      <w:r>
        <w:rPr>
          <w:rFonts w:ascii="Times New Roman" w:cs="Times New Roman" w:eastAsia="Times New Roman" w:hAnsi="Times New Roman"/>
          <w:sz w:val="14"/>
          <w:szCs w:val="14"/>
          <w:color w:val="auto"/>
        </w:rPr>
        <w:t>101.DEF *</w:t>
      </w:r>
      <w:r>
        <w:rPr>
          <w:sz w:val="20"/>
          <w:szCs w:val="20"/>
          <w:color w:val="auto"/>
        </w:rPr>
        <w:tab/>
      </w:r>
      <w:r>
        <w:rPr>
          <w:rFonts w:ascii="Times New Roman" w:cs="Times New Roman" w:eastAsia="Times New Roman" w:hAnsi="Times New Roman"/>
          <w:sz w:val="14"/>
          <w:szCs w:val="14"/>
          <w:color w:val="auto"/>
        </w:rPr>
        <w:t>XBRL Taxonomy Extension Definition Linkbase Document.</w:t>
      </w:r>
    </w:p>
    <w:p>
      <w:pPr>
        <w:spacing w:after="0" w:line="271" w:lineRule="exact"/>
        <w:rPr>
          <w:rFonts w:ascii="Times New Roman" w:cs="Times New Roman" w:eastAsia="Times New Roman" w:hAnsi="Times New Roman"/>
          <w:sz w:val="14"/>
          <w:szCs w:val="14"/>
          <w:u w:val="single" w:color="auto"/>
          <w:color w:val="0000FF"/>
        </w:rPr>
      </w:pPr>
    </w:p>
    <w:p>
      <w:pPr>
        <w:ind w:left="440"/>
        <w:spacing w:after="0"/>
        <w:tabs>
          <w:tab w:leader="none" w:pos="1440" w:val="left"/>
        </w:tabs>
        <w:rPr>
          <w:sz w:val="20"/>
          <w:szCs w:val="20"/>
          <w:color w:val="auto"/>
        </w:rPr>
      </w:pPr>
      <w:r>
        <w:rPr>
          <w:rFonts w:ascii="Times New Roman" w:cs="Times New Roman" w:eastAsia="Times New Roman" w:hAnsi="Times New Roman"/>
          <w:sz w:val="14"/>
          <w:szCs w:val="14"/>
          <w:color w:val="auto"/>
        </w:rPr>
        <w:t>101.LAB *</w:t>
      </w:r>
      <w:r>
        <w:rPr>
          <w:sz w:val="20"/>
          <w:szCs w:val="20"/>
          <w:color w:val="auto"/>
        </w:rPr>
        <w:tab/>
      </w:r>
      <w:r>
        <w:rPr>
          <w:rFonts w:ascii="Times New Roman" w:cs="Times New Roman" w:eastAsia="Times New Roman" w:hAnsi="Times New Roman"/>
          <w:sz w:val="14"/>
          <w:szCs w:val="14"/>
          <w:color w:val="auto"/>
        </w:rPr>
        <w:t>XBRL Taxonomy Extension Label Linkbase Document.</w:t>
      </w:r>
    </w:p>
    <w:p>
      <w:pPr>
        <w:spacing w:after="0" w:line="271" w:lineRule="exact"/>
        <w:rPr>
          <w:rFonts w:ascii="Times New Roman" w:cs="Times New Roman" w:eastAsia="Times New Roman" w:hAnsi="Times New Roman"/>
          <w:sz w:val="14"/>
          <w:szCs w:val="14"/>
          <w:u w:val="single" w:color="auto"/>
          <w:color w:val="0000FF"/>
        </w:rPr>
      </w:pPr>
    </w:p>
    <w:p>
      <w:pPr>
        <w:ind w:left="480"/>
        <w:spacing w:after="0"/>
        <w:tabs>
          <w:tab w:leader="none" w:pos="1440" w:val="left"/>
        </w:tabs>
        <w:rPr>
          <w:sz w:val="20"/>
          <w:szCs w:val="20"/>
          <w:color w:val="auto"/>
        </w:rPr>
      </w:pPr>
      <w:r>
        <w:rPr>
          <w:rFonts w:ascii="Times New Roman" w:cs="Times New Roman" w:eastAsia="Times New Roman" w:hAnsi="Times New Roman"/>
          <w:sz w:val="14"/>
          <w:szCs w:val="14"/>
          <w:color w:val="auto"/>
        </w:rPr>
        <w:t>101.PRE *</w:t>
      </w:r>
      <w:r>
        <w:rPr>
          <w:sz w:val="20"/>
          <w:szCs w:val="20"/>
          <w:color w:val="auto"/>
        </w:rPr>
        <w:tab/>
      </w:r>
      <w:r>
        <w:rPr>
          <w:rFonts w:ascii="Times New Roman" w:cs="Times New Roman" w:eastAsia="Times New Roman" w:hAnsi="Times New Roman"/>
          <w:sz w:val="14"/>
          <w:szCs w:val="14"/>
          <w:color w:val="auto"/>
        </w:rPr>
        <w:t>XBRL Taxonomy Extension Presentation Linkbase Document.</w:t>
      </w:r>
    </w:p>
    <w:p>
      <w:pPr>
        <w:spacing w:after="0" w:line="271" w:lineRule="exact"/>
        <w:rPr>
          <w:rFonts w:ascii="Times New Roman" w:cs="Times New Roman" w:eastAsia="Times New Roman" w:hAnsi="Times New Roman"/>
          <w:sz w:val="14"/>
          <w:szCs w:val="14"/>
          <w:u w:val="single" w:color="auto"/>
          <w:color w:val="0000FF"/>
        </w:rPr>
      </w:pPr>
    </w:p>
    <w:p>
      <w:pPr>
        <w:ind w:left="780"/>
        <w:spacing w:after="0"/>
        <w:tabs>
          <w:tab w:leader="none" w:pos="1440" w:val="left"/>
        </w:tabs>
        <w:rPr>
          <w:sz w:val="20"/>
          <w:szCs w:val="20"/>
          <w:color w:val="auto"/>
        </w:rPr>
      </w:pPr>
      <w:r>
        <w:rPr>
          <w:rFonts w:ascii="Times New Roman" w:cs="Times New Roman" w:eastAsia="Times New Roman" w:hAnsi="Times New Roman"/>
          <w:sz w:val="14"/>
          <w:szCs w:val="14"/>
          <w:color w:val="auto"/>
        </w:rPr>
        <w:t>104 *</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w:t>
      </w:r>
    </w:p>
    <w:p>
      <w:pPr>
        <w:spacing w:after="0" w:line="28" w:lineRule="exact"/>
        <w:rPr>
          <w:rFonts w:ascii="Times New Roman" w:cs="Times New Roman" w:eastAsia="Times New Roman" w:hAnsi="Times New Roman"/>
          <w:sz w:val="14"/>
          <w:szCs w:val="14"/>
          <w:u w:val="single" w:color="auto"/>
          <w:color w:val="0000FF"/>
        </w:rPr>
      </w:pPr>
    </w:p>
    <w:p>
      <w:pPr>
        <w:ind w:left="1460"/>
        <w:spacing w:after="0"/>
        <w:rPr>
          <w:sz w:val="20"/>
          <w:szCs w:val="20"/>
          <w:color w:val="auto"/>
        </w:rPr>
      </w:pPr>
      <w:r>
        <w:rPr>
          <w:rFonts w:ascii="Times New Roman" w:cs="Times New Roman" w:eastAsia="Times New Roman" w:hAnsi="Times New Roman"/>
          <w:sz w:val="14"/>
          <w:szCs w:val="14"/>
          <w:color w:val="auto"/>
        </w:rPr>
        <w:t>Exhibit 101)</w:t>
      </w:r>
    </w:p>
    <w:p>
      <w:pPr>
        <w:spacing w:after="0" w:line="329" w:lineRule="exact"/>
        <w:rPr>
          <w:rFonts w:ascii="Times New Roman" w:cs="Times New Roman" w:eastAsia="Times New Roman" w:hAnsi="Times New Roman"/>
          <w:sz w:val="14"/>
          <w:szCs w:val="14"/>
          <w:u w:val="single" w:color="auto"/>
          <w:color w:val="0000FF"/>
        </w:rPr>
      </w:pPr>
    </w:p>
    <w:p>
      <w:pPr>
        <w:ind w:left="20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8" w:lineRule="exact"/>
        <w:rPr>
          <w:rFonts w:ascii="Times New Roman" w:cs="Times New Roman" w:eastAsia="Times New Roman" w:hAnsi="Times New Roman"/>
          <w:sz w:val="14"/>
          <w:szCs w:val="14"/>
          <w:u w:val="single" w:color="auto"/>
          <w:color w:val="0000FF"/>
        </w:rPr>
      </w:pPr>
    </w:p>
    <w:p>
      <w:pPr>
        <w:ind w:firstLine="8"/>
        <w:spacing w:after="0" w:line="211" w:lineRule="auto"/>
        <w:tabs>
          <w:tab w:leader="none" w:pos="243"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Management contract or compensatory plan or arrangement.</w:t>
      </w:r>
    </w:p>
    <w:p>
      <w:pPr>
        <w:ind w:right="100"/>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00" w:lineRule="exact"/>
        <w:rPr>
          <w:rFonts w:ascii="Times New Roman" w:cs="Times New Roman" w:eastAsia="Times New Roman" w:hAnsi="Times New Roman"/>
          <w:sz w:val="14"/>
          <w:szCs w:val="14"/>
          <w:u w:val="single" w:color="auto"/>
          <w:color w:val="0000FF"/>
        </w:rPr>
      </w:pPr>
    </w:p>
    <w:p>
      <w:pPr>
        <w:spacing w:after="0" w:line="263" w:lineRule="exact"/>
        <w:rPr>
          <w:rFonts w:ascii="Times New Roman" w:cs="Times New Roman" w:eastAsia="Times New Roman" w:hAnsi="Times New Roman"/>
          <w:sz w:val="14"/>
          <w:szCs w:val="14"/>
          <w:u w:val="single" w:color="auto"/>
          <w:color w:val="0000FF"/>
        </w:rPr>
      </w:pPr>
    </w:p>
    <w:p>
      <w:pPr>
        <w:jc w:val="center"/>
        <w:ind w:right="-2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type w:val="continuous"/>
        </w:sectPr>
      </w:pPr>
    </w:p>
    <w:bookmarkStart w:id="39" w:name="page40"/>
    <w:bookmarkEnd w:id="3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67" w:lineRule="exact"/>
        <w:rPr>
          <w:sz w:val="20"/>
          <w:szCs w:val="20"/>
          <w:color w:val="auto"/>
        </w:rPr>
      </w:pPr>
    </w:p>
    <w:p>
      <w:pPr>
        <w:ind w:left="440"/>
        <w:spacing w:after="0"/>
        <w:tabs>
          <w:tab w:leader="none" w:pos="4380" w:val="left"/>
          <w:tab w:leader="none" w:pos="7740" w:val="left"/>
        </w:tabs>
        <w:rPr>
          <w:sz w:val="20"/>
          <w:szCs w:val="20"/>
          <w:color w:val="auto"/>
        </w:rPr>
      </w:pPr>
      <w:r>
        <w:rPr>
          <w:rFonts w:ascii="Times New Roman" w:cs="Times New Roman" w:eastAsia="Times New Roman" w:hAnsi="Times New Roman"/>
          <w:sz w:val="18"/>
          <w:szCs w:val="18"/>
          <w:color w:val="auto"/>
        </w:rPr>
        <w:t>Date: April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J.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34290</wp:posOffset>
            </wp:positionV>
            <wp:extent cx="3514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Paul J. Hennessy</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140,482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138,742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157,581</w:t>
            </w: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271,818</w:t>
            </w:r>
          </w:p>
        </w:tc>
        <w:tc>
          <w:tcPr>
            <w:tcW w:w="80" w:type="dxa"/>
            <w:vAlign w:val="bottom"/>
          </w:tcPr>
          <w:p>
            <w:pPr>
              <w:spacing w:after="0"/>
              <w:rPr>
                <w:sz w:val="19"/>
                <w:szCs w:val="19"/>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247,115</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240,776</w:t>
            </w:r>
          </w:p>
        </w:tc>
        <w:tc>
          <w:tcPr>
            <w:tcW w:w="0" w:type="dxa"/>
            <w:vAlign w:val="bottom"/>
          </w:tcPr>
          <w:p>
            <w:pPr>
              <w:spacing w:after="0"/>
              <w:rPr>
                <w:sz w:val="1"/>
                <w:szCs w:val="1"/>
                <w:color w:val="auto"/>
              </w:rPr>
            </w:pPr>
          </w:p>
        </w:tc>
      </w:tr>
      <w:tr>
        <w:trPr>
          <w:trHeight w:val="222"/>
        </w:trPr>
        <w:tc>
          <w:tcPr>
            <w:tcW w:w="5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149,517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108,693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138,468</w:t>
            </w: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13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13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w:t>
      </w:r>
    </w:p>
    <w:p>
      <w:pPr>
        <w:sectPr>
          <w:pgSz w:w="11900" w:h="16838" w:orient="portrait"/>
          <w:cols w:equalWidth="0" w:num="1">
            <w:col w:w="11200"/>
          </w:cols>
          <w:pgMar w:left="320" w:top="14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41" w:name="page42"/>
    <w:bookmarkEnd w:id="41"/>
    <w:p>
      <w:pPr>
        <w:ind w:right="400"/>
        <w:spacing w:after="0" w:line="282" w:lineRule="auto"/>
        <w:rPr>
          <w:sz w:val="20"/>
          <w:szCs w:val="20"/>
          <w:color w:val="auto"/>
        </w:rPr>
      </w:pPr>
      <w:r>
        <w:rPr>
          <w:rFonts w:ascii="Times New Roman" w:cs="Times New Roman" w:eastAsia="Times New Roman" w:hAnsi="Times New Roman"/>
          <w:sz w:val="18"/>
          <w:szCs w:val="18"/>
          <w:color w:val="auto"/>
        </w:rPr>
        <w:t>costs to support the Company’s ongoing business operations and provides them with the same measures that management uses as the basis for making resource allocation decisions.</w:t>
      </w:r>
    </w:p>
    <w:p>
      <w:pPr>
        <w:spacing w:after="0" w:line="9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1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twelve months ended December 31, 2025, the Company also incurred $16.8 million of Giphy Retention Compensation expense related to recurring employee costs, which is included in operating expenses, and is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173"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impairment of lease assets, impairment loss on long-term investment, bargain purchase gain related to the acquisition of Giphy, Giphy Retention Compensation Expense - non-recurring, cost incurred associated with the Getty merger, unrealized gains and losses on investments, severance costs associated with strategic workforce optimizations, legal contingencies, and the estimated tax impact of such adjustments. We define adjusted net income per diluted common share as adjusted net income divided by weighted average diluted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r>
      <w:tr>
        <w:trPr>
          <w:trHeight w:val="37"/>
        </w:trPr>
        <w:tc>
          <w:tcPr>
            <w:tcW w:w="74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2"/>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27"/>
        </w:trPr>
        <w:tc>
          <w:tcPr>
            <w:tcW w:w="7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7"/>
        </w:trPr>
        <w:tc>
          <w:tcPr>
            <w:tcW w:w="7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110,269</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305"/>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3"/>
                <w:szCs w:val="23"/>
                <w:color w:val="auto"/>
                <w:vertAlign w:val="superscript"/>
              </w:rPr>
              <w:t>(1)(2)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w:t>
            </w:r>
          </w:p>
        </w:tc>
      </w:tr>
      <w:tr>
        <w:trPr>
          <w:trHeight w:val="127"/>
        </w:trPr>
        <w:tc>
          <w:tcPr>
            <w:tcW w:w="7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30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37,967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34,737</w:t>
            </w:r>
          </w:p>
        </w:tc>
      </w:tr>
      <w:tr>
        <w:trPr>
          <w:trHeight w:val="113"/>
        </w:trPr>
        <w:tc>
          <w:tcPr>
            <w:tcW w:w="7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305"/>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(8,163)</w:t>
            </w:r>
          </w:p>
        </w:tc>
      </w:tr>
      <w:tr>
        <w:trPr>
          <w:trHeight w:val="113"/>
        </w:trPr>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31,577</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(7,421)</w:t>
            </w:r>
          </w:p>
        </w:tc>
      </w:tr>
      <w:tr>
        <w:trPr>
          <w:trHeight w:val="113"/>
        </w:trPr>
        <w:tc>
          <w:tcPr>
            <w:tcW w:w="7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0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merger-related costs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13"/>
        </w:trPr>
        <w:tc>
          <w:tcPr>
            <w:tcW w:w="74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305"/>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3"/>
                <w:szCs w:val="23"/>
                <w:color w:val="auto"/>
                <w:vertAlign w:val="superscript"/>
              </w:rPr>
              <w:t>(4)</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12,493</w:t>
            </w:r>
          </w:p>
        </w:tc>
      </w:tr>
      <w:tr>
        <w:trPr>
          <w:trHeight w:val="113"/>
        </w:trPr>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305"/>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113"/>
        </w:trPr>
        <w:tc>
          <w:tcPr>
            <w:tcW w:w="740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r>
      <w:tr>
        <w:trPr>
          <w:trHeight w:val="28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r>
              <w:rPr>
                <w:rFonts w:ascii="Times New Roman" w:cs="Times New Roman" w:eastAsia="Times New Roman" w:hAnsi="Times New Roman"/>
                <w:sz w:val="23"/>
                <w:szCs w:val="23"/>
                <w:color w:val="auto"/>
                <w:vertAlign w:val="superscript"/>
              </w:rPr>
              <w:t>(4)</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$ 138,742</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$ 157,581</w:t>
            </w:r>
          </w:p>
        </w:tc>
      </w:tr>
      <w:tr>
        <w:trPr>
          <w:trHeight w:val="127"/>
        </w:trPr>
        <w:tc>
          <w:tcPr>
            <w:tcW w:w="74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50"/>
        </w:trPr>
        <w:tc>
          <w:tcPr>
            <w:tcW w:w="7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$ 3.04</w:t>
            </w: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$ 4.35</w:t>
            </w: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379"/>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36,242</w:t>
            </w:r>
          </w:p>
        </w:tc>
      </w:tr>
    </w:tbl>
    <w:p>
      <w:pPr>
        <w:spacing w:after="0" w:line="200" w:lineRule="exact"/>
        <w:rPr>
          <w:sz w:val="20"/>
          <w:szCs w:val="20"/>
          <w:color w:val="auto"/>
        </w:rPr>
      </w:pPr>
    </w:p>
    <w:p>
      <w:pPr>
        <w:spacing w:after="0" w:line="247"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tax rates are used to calculate the tax effect of the adjustments.</w:t>
      </w:r>
    </w:p>
    <w:p>
      <w:pPr>
        <w:spacing w:after="0" w:line="27" w:lineRule="exact"/>
        <w:rPr>
          <w:rFonts w:ascii="Times New Roman" w:cs="Times New Roman" w:eastAsia="Times New Roman" w:hAnsi="Times New Roman"/>
          <w:sz w:val="18"/>
          <w:szCs w:val="18"/>
          <w:color w:val="auto"/>
        </w:rPr>
      </w:pPr>
    </w:p>
    <w:p>
      <w:pPr>
        <w:jc w:val="both"/>
        <w:ind w:right="160" w:firstLine="8"/>
        <w:spacing w:after="0" w:line="250"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December 31, 2024, the tax effect of non-cash equity-based compensation includes a $6.2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1" w:lineRule="exact"/>
        <w:rPr>
          <w:rFonts w:ascii="Times New Roman" w:cs="Times New Roman" w:eastAsia="Times New Roman" w:hAnsi="Times New Roman"/>
          <w:sz w:val="18"/>
          <w:szCs w:val="18"/>
          <w:color w:val="auto"/>
        </w:rPr>
      </w:pPr>
    </w:p>
    <w:p>
      <w:pPr>
        <w:ind w:right="380" w:firstLine="8"/>
        <w:spacing w:after="0" w:line="250"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these amounts, $35.7 million, $32.7 million and $31.6 million are included in cost of revenue for the years ended December 31, 2025, 2024 and 2023, respectively. The remainder of acquisition-related amortization expense is included in general and administrative expense in the Statement of Operations.</w:t>
      </w:r>
    </w:p>
    <w:p>
      <w:pPr>
        <w:spacing w:after="0" w:line="1" w:lineRule="exact"/>
        <w:rPr>
          <w:rFonts w:ascii="Times New Roman" w:cs="Times New Roman" w:eastAsia="Times New Roman" w:hAnsi="Times New Roman"/>
          <w:sz w:val="18"/>
          <w:szCs w:val="18"/>
          <w:color w:val="auto"/>
        </w:rPr>
      </w:pPr>
    </w:p>
    <w:p>
      <w:pPr>
        <w:ind w:right="300" w:firstLine="8"/>
        <w:spacing w:after="0" w:line="260" w:lineRule="auto"/>
        <w:tabs>
          <w:tab w:leader="none" w:pos="2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of unrealized gains and losses on investments, severance costs associated with strategic workforce optimizations, impairment charges recorded for long-term investments and lease assets, and legal contingencies.</w:t>
      </w:r>
    </w:p>
    <w:p>
      <w:pPr>
        <w:sectPr>
          <w:pgSz w:w="11900" w:h="16838" w:orient="portrait"/>
          <w:cols w:equalWidth="0" w:num="1">
            <w:col w:w="11240"/>
          </w:cols>
          <w:pgMar w:left="320" w:top="1415" w:right="339" w:bottom="6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663"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17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define adjusted EBITDA as net income adjusted for depreciation and amortization, non-cash equity-based compensation, impairment of lease assets, bargain purchase gain related to the acquisition of Giphy, Giphy Retention Compensation Expense - non-recurring, foreign currency transaction gains and losses, severance costs associated with strategic workforce optimizations, impairment loss on long-term investment, unrealized gains and losses on investments, transaction costs associated with the Getty merger, legal contingencies, interest income and expense and income taxes. We define adjusted EBITDA margin as </w:t>
      </w:r>
      <w:r>
        <w:rPr>
          <w:rFonts w:ascii="Times New Roman" w:cs="Times New Roman" w:eastAsia="Times New Roman" w:hAnsi="Times New Roman"/>
          <w:sz w:val="17"/>
          <w:szCs w:val="17"/>
          <w:color w:val="auto"/>
        </w:rPr>
        <w:t>the ratio of adjusted EBITDA to revenue.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199"/>
        </w:trPr>
        <w:tc>
          <w:tcPr>
            <w:tcW w:w="7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6"/>
        </w:trPr>
        <w:tc>
          <w:tcPr>
            <w:tcW w:w="7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7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27"/>
        </w:trPr>
        <w:tc>
          <w:tcPr>
            <w:tcW w:w="7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r>
      <w:tr>
        <w:trPr>
          <w:trHeight w:val="199"/>
        </w:trPr>
        <w:tc>
          <w:tcPr>
            <w:tcW w:w="7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45,496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$ 35,932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$ 110,269</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w:t>
            </w:r>
          </w:p>
        </w:tc>
      </w:tr>
      <w:tr>
        <w:trPr>
          <w:trHeight w:val="20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12,199</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90,894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79,729</w:t>
            </w:r>
          </w:p>
        </w:tc>
      </w:tr>
      <w:tr>
        <w:trPr>
          <w:trHeight w:val="208"/>
        </w:trPr>
        <w:tc>
          <w:tcPr>
            <w:tcW w:w="7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04"/>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179,399</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199,269</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70"/>
        </w:trPr>
        <w:tc>
          <w:tcPr>
            <w:tcW w:w="7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48,577</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Bargain purchase gain</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31,577</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Merger-related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34,906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gain on investment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1"/>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13,447</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12,493</w:t>
            </w:r>
          </w:p>
        </w:tc>
      </w:tr>
      <w:tr>
        <w:trPr>
          <w:trHeight w:val="138"/>
        </w:trPr>
        <w:tc>
          <w:tcPr>
            <w:tcW w:w="7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10"/>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Adjusted EBITDA</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$ 247,115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$ 240,776</w:t>
            </w:r>
          </w:p>
        </w:tc>
      </w:tr>
      <w:tr>
        <w:trPr>
          <w:trHeight w:val="208"/>
        </w:trPr>
        <w:tc>
          <w:tcPr>
            <w:tcW w:w="73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83"/>
        </w:trPr>
        <w:tc>
          <w:tcPr>
            <w:tcW w:w="7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0"/>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Revenue</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989,925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935,262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874,587</w:t>
            </w:r>
          </w:p>
        </w:tc>
      </w:tr>
      <w:tr>
        <w:trPr>
          <w:trHeight w:val="208"/>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7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08"/>
        </w:trPr>
        <w:tc>
          <w:tcPr>
            <w:tcW w:w="7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0"/>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Adjusted EBITDA margin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27.5 %</w:t>
            </w:r>
          </w:p>
        </w:tc>
      </w:tr>
    </w:tbl>
    <w:p>
      <w:pPr>
        <w:spacing w:after="0" w:line="200" w:lineRule="exact"/>
        <w:rPr>
          <w:sz w:val="20"/>
          <w:szCs w:val="20"/>
          <w:color w:val="auto"/>
        </w:rPr>
      </w:pPr>
    </w:p>
    <w:p>
      <w:pPr>
        <w:spacing w:after="0" w:line="327" w:lineRule="exact"/>
        <w:rPr>
          <w:sz w:val="20"/>
          <w:szCs w:val="20"/>
          <w:color w:val="auto"/>
        </w:rPr>
      </w:pPr>
    </w:p>
    <w:p>
      <w:pPr>
        <w:ind w:left="340" w:right="300" w:hanging="8"/>
        <w:spacing w:after="0" w:line="266" w:lineRule="auto"/>
        <w:tabs>
          <w:tab w:leader="none" w:pos="55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Other consists of severance costs associated with strategic workforce optimizations, impairment charges recorded for long-term investments and lease assets, and legal contingencies.</w:t>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distribution channel) on a Constant Currency Basis</w:t>
      </w:r>
    </w:p>
    <w:p>
      <w:pPr>
        <w:spacing w:after="0" w:line="173" w:lineRule="exact"/>
        <w:rPr>
          <w:sz w:val="20"/>
          <w:szCs w:val="20"/>
          <w:color w:val="auto"/>
        </w:rPr>
      </w:pPr>
    </w:p>
    <w:p>
      <w:pPr>
        <w:ind w:right="220" w:firstLine="648"/>
        <w:spacing w:after="0" w:line="294" w:lineRule="auto"/>
        <w:rPr>
          <w:sz w:val="20"/>
          <w:szCs w:val="20"/>
          <w:color w:val="auto"/>
        </w:rPr>
      </w:pPr>
      <w:r>
        <w:rPr>
          <w:rFonts w:ascii="Times New Roman" w:cs="Times New Roman" w:eastAsia="Times New Roman" w:hAnsi="Times New Roman"/>
          <w:sz w:val="17"/>
          <w:szCs w:val="17"/>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980" w:type="dxa"/>
            <w:vAlign w:val="bottom"/>
            <w:gridSpan w:val="5"/>
          </w:tcPr>
          <w:p>
            <w:pPr>
              <w:ind w:lef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r>
      <w:tr>
        <w:trPr>
          <w:trHeight w:val="199"/>
        </w:trPr>
        <w:tc>
          <w:tcPr>
            <w:tcW w:w="73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86"/>
        </w:trPr>
        <w:tc>
          <w:tcPr>
            <w:tcW w:w="7300" w:type="dxa"/>
            <w:vAlign w:val="bottom"/>
          </w:tcPr>
          <w:p>
            <w:pPr>
              <w:spacing w:after="0"/>
              <w:rPr>
                <w:sz w:val="16"/>
                <w:szCs w:val="16"/>
                <w:color w:val="auto"/>
              </w:rPr>
            </w:pPr>
          </w:p>
        </w:tc>
        <w:tc>
          <w:tcPr>
            <w:tcW w:w="13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9"/>
        </w:trPr>
        <w:tc>
          <w:tcPr>
            <w:tcW w:w="73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34"/>
        </w:trPr>
        <w:tc>
          <w:tcPr>
            <w:tcW w:w="7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$989,925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$ 935,262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$ 874,587</w:t>
            </w:r>
          </w:p>
        </w:tc>
      </w:tr>
      <w:tr>
        <w:trPr>
          <w:trHeight w:val="208"/>
        </w:trPr>
        <w:tc>
          <w:tcPr>
            <w:tcW w:w="7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r>
      <w:tr>
        <w:trPr>
          <w:trHeight w:val="206"/>
        </w:trPr>
        <w:tc>
          <w:tcPr>
            <w:tcW w:w="7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r>
      <w:tr>
        <w:trPr>
          <w:trHeight w:val="206"/>
        </w:trPr>
        <w:tc>
          <w:tcPr>
            <w:tcW w:w="7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0"/>
        </w:trPr>
        <w:tc>
          <w:tcPr>
            <w:tcW w:w="7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$786,661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$ 760,011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$ 737,264</w:t>
            </w:r>
          </w:p>
        </w:tc>
      </w:tr>
      <w:tr>
        <w:trPr>
          <w:trHeight w:val="208"/>
        </w:trPr>
        <w:tc>
          <w:tcPr>
            <w:tcW w:w="7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06"/>
        </w:trPr>
        <w:tc>
          <w:tcPr>
            <w:tcW w:w="7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(7) %</w:t>
            </w:r>
          </w:p>
        </w:tc>
      </w:tr>
      <w:tr>
        <w:trPr>
          <w:trHeight w:val="206"/>
        </w:trPr>
        <w:tc>
          <w:tcPr>
            <w:tcW w:w="7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70"/>
        </w:trPr>
        <w:tc>
          <w:tcPr>
            <w:tcW w:w="7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$203,264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$ 175,251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$ 137,323</w:t>
            </w:r>
          </w:p>
        </w:tc>
      </w:tr>
      <w:tr>
        <w:trPr>
          <w:trHeight w:val="208"/>
        </w:trPr>
        <w:tc>
          <w:tcPr>
            <w:tcW w:w="7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r>
      <w:tr>
        <w:trPr>
          <w:trHeight w:val="206"/>
        </w:trPr>
        <w:tc>
          <w:tcPr>
            <w:tcW w:w="7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28 %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256 %</w:t>
            </w:r>
          </w:p>
        </w:tc>
      </w:tr>
      <w:tr>
        <w:trPr>
          <w:trHeight w:val="206"/>
        </w:trPr>
        <w:tc>
          <w:tcPr>
            <w:tcW w:w="7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7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cash paid for Envato Seller Obligations, and cash paid for Merger related costs.</w:t>
      </w:r>
    </w:p>
    <w:p>
      <w:pPr>
        <w:spacing w:after="0" w:line="95"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color w:val="auto"/>
        </w:rPr>
        <w:t>The following is a presentation of cash flow information and a reconciliation of net cash provided by operating activities to adjusted free cash flow for each of the periods indicated:</w:t>
      </w: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9"/>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32,646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140,552</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(166,168)</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(used in) / provided by financing activities</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150,096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(102,704)</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32,646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$ 140,552</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(44,645)</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Content acquisitions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53,657</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Envato Seller Obligations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13"/>
        </w:trPr>
        <w:tc>
          <w:tcPr>
            <w:tcW w:w="7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Adjusted Free Cash Flow</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108,693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$ 138,468</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5" w:right="339" w:bottom="0" w:gutter="0" w:footer="0" w:header="0"/>
        </w:sectPr>
      </w:pPr>
    </w:p>
    <w:p>
      <w:pPr>
        <w:spacing w:after="0" w:line="38" w:lineRule="exact"/>
        <w:rPr>
          <w:sz w:val="20"/>
          <w:szCs w:val="20"/>
          <w:color w:val="auto"/>
        </w:rPr>
      </w:pPr>
    </w:p>
    <w:p>
      <w:pPr>
        <w:ind w:left="660" w:hanging="652"/>
        <w:spacing w:after="0" w:line="282" w:lineRule="auto"/>
        <w:tabs>
          <w:tab w:leader="none" w:pos="6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Envato Seller Obligations relate to payments made on behalf of the Envato sellers’ after the closing of the acquisition. These liabilities were funded from the acquired cash on the Envato balance sheet and are not indicative of obligations and cash flows to be incurred prospectively.</w:t>
      </w:r>
    </w:p>
    <w:p>
      <w:pPr>
        <w:sectPr>
          <w:pgSz w:w="11900" w:h="16838" w:orient="portrait"/>
          <w:cols w:equalWidth="0" w:num="1">
            <w:col w:w="11240"/>
          </w:cols>
          <w:pgMar w:left="320" w:top="1415" w:right="339" w:bottom="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9019"/>
          </w:cols>
          <w:pgMar w:left="1440" w:top="102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31.3</w:t>
      </w:r>
    </w:p>
    <w:p>
      <w:pPr>
        <w:spacing w:after="0" w:line="2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24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No.1 to the annual report on Form 10-K of Shutterstock, Inc.; and</w:t>
      </w:r>
    </w:p>
    <w:p>
      <w:pPr>
        <w:spacing w:after="0" w:line="248" w:lineRule="exact"/>
        <w:rPr>
          <w:rFonts w:ascii="Times New Roman" w:cs="Times New Roman" w:eastAsia="Times New Roman" w:hAnsi="Times New Roman"/>
          <w:sz w:val="16"/>
          <w:szCs w:val="16"/>
          <w:color w:val="auto"/>
        </w:rPr>
      </w:pPr>
    </w:p>
    <w:p>
      <w:pPr>
        <w:ind w:left="420" w:right="160" w:hanging="412"/>
        <w:spacing w:after="0" w:line="298" w:lineRule="auto"/>
        <w:tabs>
          <w:tab w:leader="none" w:pos="298"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Date: April 24, 2026</w:t>
            </w:r>
          </w:p>
        </w:tc>
        <w:tc>
          <w:tcPr>
            <w:tcW w:w="7200" w:type="dxa"/>
            <w:vAlign w:val="bottom"/>
            <w:gridSpan w:val="2"/>
          </w:tcPr>
          <w:p>
            <w:pPr>
              <w:ind w:left="1840"/>
              <w:spacing w:after="0"/>
              <w:rPr>
                <w:sz w:val="20"/>
                <w:szCs w:val="20"/>
                <w:color w:val="auto"/>
              </w:rPr>
            </w:pPr>
            <w:r>
              <w:rPr>
                <w:rFonts w:ascii="Times New Roman" w:cs="Times New Roman" w:eastAsia="Times New Roman" w:hAnsi="Times New Roman"/>
                <w:sz w:val="16"/>
                <w:szCs w:val="16"/>
                <w:color w:val="auto"/>
              </w:rPr>
              <w:t>By:   /s/ Paul Hennessy</w:t>
            </w:r>
          </w:p>
        </w:tc>
      </w:tr>
      <w:tr>
        <w:trPr>
          <w:trHeight w:val="207"/>
        </w:trPr>
        <w:tc>
          <w:tcPr>
            <w:tcW w:w="31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Paul Hennessy</w:t>
            </w:r>
          </w:p>
        </w:tc>
      </w:tr>
      <w:tr>
        <w:trPr>
          <w:trHeight w:val="216"/>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16"/>
        </w:trPr>
        <w:tc>
          <w:tcPr>
            <w:tcW w:w="3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bl>
    <w:p>
      <w:pPr>
        <w:sectPr>
          <w:pgSz w:w="11900" w:h="16838" w:orient="portrait"/>
          <w:cols w:equalWidth="0" w:num="1">
            <w:col w:w="11200"/>
          </w:cols>
          <w:pgMar w:left="320" w:top="893" w:right="379" w:bottom="1440" w:gutter="0" w:footer="0" w:header="0"/>
        </w:sectPr>
      </w:pPr>
    </w:p>
    <w:bookmarkStart w:id="47" w:name="page48"/>
    <w:bookmarkEnd w:id="47"/>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31.4</w:t>
      </w:r>
    </w:p>
    <w:p>
      <w:pPr>
        <w:spacing w:after="0" w:line="24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248" w:lineRule="exact"/>
        <w:rPr>
          <w:sz w:val="20"/>
          <w:szCs w:val="20"/>
          <w:color w:val="auto"/>
        </w:rPr>
      </w:pPr>
    </w:p>
    <w:p>
      <w:pPr>
        <w:ind w:left="300" w:hanging="292"/>
        <w:spacing w:after="0"/>
        <w:tabs>
          <w:tab w:leader="none" w:pos="30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Amendment No. 1 to the annual report on Form 10-K of Shutterstock, Inc.; and</w:t>
      </w:r>
    </w:p>
    <w:p>
      <w:pPr>
        <w:spacing w:after="0" w:line="248" w:lineRule="exact"/>
        <w:rPr>
          <w:rFonts w:ascii="Times New Roman" w:cs="Times New Roman" w:eastAsia="Times New Roman" w:hAnsi="Times New Roman"/>
          <w:sz w:val="16"/>
          <w:szCs w:val="16"/>
          <w:color w:val="auto"/>
        </w:rPr>
      </w:pPr>
    </w:p>
    <w:p>
      <w:pPr>
        <w:ind w:left="500" w:right="180" w:hanging="492"/>
        <w:spacing w:after="0" w:line="298" w:lineRule="auto"/>
        <w:tabs>
          <w:tab w:leader="none" w:pos="297"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275" w:lineRule="exact"/>
        <w:rPr>
          <w:sz w:val="20"/>
          <w:szCs w:val="20"/>
          <w:color w:val="auto"/>
        </w:rPr>
      </w:pPr>
    </w:p>
    <w:tbl>
      <w:tblPr>
        <w:tblLayout w:type="fixed"/>
        <w:tblInd w:w="46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Date: April 24, 2026</w:t>
            </w:r>
          </w:p>
        </w:tc>
        <w:tc>
          <w:tcPr>
            <w:tcW w:w="7440" w:type="dxa"/>
            <w:vAlign w:val="bottom"/>
            <w:gridSpan w:val="2"/>
          </w:tcPr>
          <w:p>
            <w:pPr>
              <w:ind w:left="2000"/>
              <w:spacing w:after="0"/>
              <w:rPr>
                <w:sz w:val="20"/>
                <w:szCs w:val="20"/>
                <w:color w:val="auto"/>
              </w:rPr>
            </w:pPr>
            <w:r>
              <w:rPr>
                <w:rFonts w:ascii="Times New Roman" w:cs="Times New Roman" w:eastAsia="Times New Roman" w:hAnsi="Times New Roman"/>
                <w:sz w:val="16"/>
                <w:szCs w:val="16"/>
                <w:color w:val="auto"/>
              </w:rPr>
              <w:t>By:   /s/ Rik Powell</w:t>
            </w:r>
          </w:p>
        </w:tc>
      </w:tr>
      <w:tr>
        <w:trPr>
          <w:trHeight w:val="207"/>
        </w:trPr>
        <w:tc>
          <w:tcPr>
            <w:tcW w:w="3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6"/>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6"/>
        </w:trPr>
        <w:tc>
          <w:tcPr>
            <w:tcW w:w="3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bl>
    <w:p>
      <w:pPr>
        <w:spacing w:after="0" w:line="1" w:lineRule="exact"/>
        <w:rPr>
          <w:sz w:val="20"/>
          <w:szCs w:val="20"/>
          <w:color w:val="auto"/>
        </w:rPr>
      </w:pPr>
    </w:p>
    <w:sectPr>
      <w:pgSz w:w="11900" w:h="16838" w:orient="portrait"/>
      <w:cols w:equalWidth="0" w:num="1">
        <w:col w:w="11220"/>
      </w:cols>
      <w:pgMar w:left="320" w:top="8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1)"/>
      <w:numFmt w:val="decimal"/>
    </w:lvl>
    <w:lvl w:ilvl="1">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3"/>
    </w:lvl>
    <w:lvl w:ilvl="1">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9" Type="http://schemas.openxmlformats.org/officeDocument/2006/relationships/image" Target="media/image62.png"/><Relationship Id="rId108" Type="http://schemas.openxmlformats.org/officeDocument/2006/relationships/image" Target="media/image63.png"/><Relationship Id="rId127" Type="http://schemas.openxmlformats.org/officeDocument/2006/relationships/image" Target="media/image64.png"/><Relationship Id="rId128" Type="http://schemas.openxmlformats.org/officeDocument/2006/relationships/image" Target="media/image65.png"/><Relationship Id="rId129" Type="http://schemas.openxmlformats.org/officeDocument/2006/relationships/image" Target="media/image66.png"/><Relationship Id="rId131" Type="http://schemas.openxmlformats.org/officeDocument/2006/relationships/image" Target="media/image67.png"/><Relationship Id="rId133" Type="http://schemas.openxmlformats.org/officeDocument/2006/relationships/image" Target="media/image68.png"/><Relationship Id="rId134" Type="http://schemas.openxmlformats.org/officeDocument/2006/relationships/image" Target="media/image69.png"/><Relationship Id="rId135" Type="http://schemas.openxmlformats.org/officeDocument/2006/relationships/image" Target="media/image70.png"/><Relationship Id="rId136" Type="http://schemas.openxmlformats.org/officeDocument/2006/relationships/image" Target="media/image71.png"/><Relationship Id="rId137" Type="http://schemas.openxmlformats.org/officeDocument/2006/relationships/image" Target="media/image72.png"/><Relationship Id="rId138" Type="http://schemas.openxmlformats.org/officeDocument/2006/relationships/image" Target="media/image73.png"/><Relationship Id="rId139" Type="http://schemas.openxmlformats.org/officeDocument/2006/relationships/image" Target="media/image74.png"/><Relationship Id="rId69" Type="http://schemas.openxmlformats.org/officeDocument/2006/relationships/hyperlink" Target="https://www.sec.gov/Archives/edgar/data/1549346/000104746912009325/a2211285zex-2_1.htm" TargetMode="External"/><Relationship Id="rId70" Type="http://schemas.openxmlformats.org/officeDocument/2006/relationships/hyperlink" Target="https://www.sec.gov/Archives/edgar/data/1549346/000104746912009325/a2211285zex-2_2.htm" TargetMode="External"/><Relationship Id="rId71" Type="http://schemas.openxmlformats.org/officeDocument/2006/relationships/hyperlink" Target="https://www.sec.gov/Archives/edgar/data/1549346/000114036122018607/brhc10037452_ex2-1.htm" TargetMode="External"/><Relationship Id="rId72" Type="http://schemas.openxmlformats.org/officeDocument/2006/relationships/hyperlink" Target="https://www.sec.gov/Archives/edgar/data/1549346/000114036123026154/brhc20053362_ex2-1.htm" TargetMode="External"/><Relationship Id="rId73" Type="http://schemas.openxmlformats.org/officeDocument/2006/relationships/hyperlink" Target="https://www.sec.gov/Archives/edgar/data/0001549346/000114036124023881/ny20028287x1_ex2-1.htm" TargetMode="External"/><Relationship Id="rId74" Type="http://schemas.openxmlformats.org/officeDocument/2006/relationships/hyperlink" Target="https://www.sec.gov/Archives/edgar/data/0001549346/000114036125000468/ny20041185x1_ex10-1.htm" TargetMode="External"/><Relationship Id="rId75" Type="http://schemas.openxmlformats.org/officeDocument/2006/relationships/hyperlink" Target="https://www.sec.gov/Archives/edgar/data/0001549346/000114036125000468/ny20041185x1_ex10-2.htm" TargetMode="External"/><Relationship Id="rId76" Type="http://schemas.openxmlformats.org/officeDocument/2006/relationships/hyperlink" Target="https://www.sec.gov/Archives/edgar/data/0001549346/000114036125000468/ny20041185x1_ex2-1.htm" TargetMode="External"/><Relationship Id="rId77" Type="http://schemas.openxmlformats.org/officeDocument/2006/relationships/hyperlink" Target="https://www.sec.gov/Archives/edgar/data/1549346/000104746912006975/a2209974zex-3_2.htm" TargetMode="External"/><Relationship Id="rId78" Type="http://schemas.openxmlformats.org/officeDocument/2006/relationships/hyperlink" Target="https://www.sec.gov/Archives/edgar/data/1549346/000104746912009122/a2211147zex-3_4.htm" TargetMode="External"/><Relationship Id="rId79" Type="http://schemas.openxmlformats.org/officeDocument/2006/relationships/hyperlink" Target="https://www.sec.gov/Archives/edgar/data/1549346/000119312520214906/d91196dex41.htm" TargetMode="External"/><Relationship Id="rId80" Type="http://schemas.openxmlformats.org/officeDocument/2006/relationships/hyperlink" Target="https://www.sec.gov/Archives/edgar/data/1549346/000154934620000007/a201910kexhibit4descri.htm" TargetMode="External"/><Relationship Id="rId81" Type="http://schemas.openxmlformats.org/officeDocument/2006/relationships/hyperlink" Target="https://www.sec.gov/Archives/edgar/data/1549346/000104746912008610/a2210879zex-10_1.htm" TargetMode="External"/><Relationship Id="rId82" Type="http://schemas.openxmlformats.org/officeDocument/2006/relationships/hyperlink" Target="https://www.sec.gov/Archives/edgar/data/1549346/000104746915001422/a2223257zex-10_2.htm" TargetMode="External"/><Relationship Id="rId83" Type="http://schemas.openxmlformats.org/officeDocument/2006/relationships/hyperlink" Target="https://www.sec.gov/Archives/edgar/data/1549346/000154934622000012/a2022-def_14a.htm#i3bf29de65eff4d8499cec925401a1a2a_910" TargetMode="External"/><Relationship Id="rId84" Type="http://schemas.openxmlformats.org/officeDocument/2006/relationships/hyperlink" Target="https://www.sec.gov/Archives/edgar/data/1549346/000104746912008610/a2210879zex-10_7.htm" TargetMode="External"/><Relationship Id="rId85" Type="http://schemas.openxmlformats.org/officeDocument/2006/relationships/hyperlink" Target="https://www.sec.gov/Archives/edgar/data/1549346/000104746912009122/a2211147zex-10_8a.htm" TargetMode="External"/><Relationship Id="rId86" Type="http://schemas.openxmlformats.org/officeDocument/2006/relationships/hyperlink" Target="https://www.sec.gov/Archives/edgar/data/1549346/000104746912009122/a2211147zex-10_8b.htm" TargetMode="External"/><Relationship Id="rId87" Type="http://schemas.openxmlformats.org/officeDocument/2006/relationships/hyperlink" Target="https://www.sec.gov/Archives/edgar/data/1549346/000110465914031339/a14-11338_18k.htm" TargetMode="External"/><Relationship Id="rId88" Type="http://schemas.openxmlformats.org/officeDocument/2006/relationships/hyperlink" Target="https://www.sec.gov/Archives/edgar/data/1549346/000154934620000007/exhibit105djoringerame.htm" TargetMode="External"/><Relationship Id="rId90" Type="http://schemas.openxmlformats.org/officeDocument/2006/relationships/hyperlink" Target="https://www.sec.gov/Archives/edgar/data/1549346/000154934620000007/exhibit105ejoringerame.htm" TargetMode="External"/><Relationship Id="rId91" Type="http://schemas.openxmlformats.org/officeDocument/2006/relationships/hyperlink" Target="https://www.sec.gov/Archives/edgar/data/1549346/000110465913040280/a13-8713_1ex10d1.htm" TargetMode="External"/><Relationship Id="rId92" Type="http://schemas.openxmlformats.org/officeDocument/2006/relationships/hyperlink" Target="https://www.sec.gov/Archives/edgar/data/1549346/000154934615000014/exhibit103.htm" TargetMode="External"/><Relationship Id="rId93" Type="http://schemas.openxmlformats.org/officeDocument/2006/relationships/hyperlink" Target="https://www.sec.gov/Archives/edgar/data/1549346/000154934616000017/exhibit101.htm" TargetMode="External"/><Relationship Id="rId94" Type="http://schemas.openxmlformats.org/officeDocument/2006/relationships/hyperlink" Target="https://www.sec.gov/Archives/edgar/data/1549346/000154934616000055/exhibit101thirdleasemodifi.htm" TargetMode="External"/><Relationship Id="rId95" Type="http://schemas.openxmlformats.org/officeDocument/2006/relationships/hyperlink" Target="https://www.sec.gov/Archives/edgar/data/1549346/000154934624000012/a_2024xq1ex101directorcomp.htm" TargetMode="External"/><Relationship Id="rId96" Type="http://schemas.openxmlformats.org/officeDocument/2006/relationships/hyperlink" Target="https://www.sec.gov/Archives/edgar/data/1549346/000154934616000033/qexhibit105.htm" TargetMode="External"/><Relationship Id="rId97" Type="http://schemas.openxmlformats.org/officeDocument/2006/relationships/hyperlink" Target="https://www.sec.gov/Archives/edgar/data/1549346/000154934616000033/qexhibit106.htm" TargetMode="External"/><Relationship Id="rId98" Type="http://schemas.openxmlformats.org/officeDocument/2006/relationships/hyperlink" Target="https://www.sec.gov/Archives/edgar/data/1549346/000154934616000033/qexhibit107.htm" TargetMode="External"/><Relationship Id="rId99" Type="http://schemas.openxmlformats.org/officeDocument/2006/relationships/hyperlink" Target="https://www.sec.gov/Archives/edgar/data/1549346/000154934616000055/exhibit104shutterstockamen.htm" TargetMode="External"/><Relationship Id="rId100" Type="http://schemas.openxmlformats.org/officeDocument/2006/relationships/hyperlink" Target="https://www.sec.gov/Archives/edgar/data/1549346/000154934616000060/qexhibit101.htm" TargetMode="External"/><Relationship Id="rId101" Type="http://schemas.openxmlformats.org/officeDocument/2006/relationships/hyperlink" Target="https://www.sec.gov/Archives/edgar/data/1549346/000154934616000060/qexhibit102.htm" TargetMode="External"/><Relationship Id="rId102" Type="http://schemas.openxmlformats.org/officeDocument/2006/relationships/hyperlink" Target="https://www.sec.gov/Archives/edgar/data/1549346/000154934616000060/qexhibit103.htm" TargetMode="External"/><Relationship Id="rId103" Type="http://schemas.openxmlformats.org/officeDocument/2006/relationships/hyperlink" Target="https://www.sec.gov/Archives/edgar/data/1549346/000154934619000015/exhibit101formofpsuawardag.htm" TargetMode="External"/><Relationship Id="rId104" Type="http://schemas.openxmlformats.org/officeDocument/2006/relationships/hyperlink" Target="https://www.sec.gov/Archives/edgar/data/1549346/000154934621000024/rsu21oga-updatedrsutemplate.htm" TargetMode="External"/><Relationship Id="rId105" Type="http://schemas.openxmlformats.org/officeDocument/2006/relationships/hyperlink" Target="https://www.sec.gov/Archives/edgar/data/1549346/000154934619000033/sciardielloemploymenta.htm" TargetMode="External"/><Relationship Id="rId106" Type="http://schemas.openxmlformats.org/officeDocument/2006/relationships/hyperlink" Target="https://www.sec.gov/Archives/edgar/data/1549346/000154934619000039/sciardielloamendment104.htm" TargetMode="External"/><Relationship Id="rId107" Type="http://schemas.openxmlformats.org/officeDocument/2006/relationships/hyperlink" Target="https://www.sec.gov/Archives/edgar/data/1549346/000114036122018607/brhc10037452_ex10-2.htm" TargetMode="External"/><Relationship Id="rId109" Type="http://schemas.openxmlformats.org/officeDocument/2006/relationships/hyperlink" Target="https://www.sec.gov/Archives/edgar/data/0001549346/000114036122018607/brhc10037452_ex10-1.htm" TargetMode="External"/><Relationship Id="rId110" Type="http://schemas.openxmlformats.org/officeDocument/2006/relationships/hyperlink" Target="https://www.sec.gov/Archives/edgar/data/1549346/000154934622000038/exhibit102-sstkdeferralplan.htm" TargetMode="External"/><Relationship Id="rId111" Type="http://schemas.openxmlformats.org/officeDocument/2006/relationships/hyperlink" Target="https://www.sec.gov/Archives/edgar/data/0001549346/000154934625000011/a_2024xq4ex1028executiveem.htm" TargetMode="External"/><Relationship Id="rId112" Type="http://schemas.openxmlformats.org/officeDocument/2006/relationships/hyperlink" Target="https://www.sec.gov/Archives/edgar/data/1549346/000154934625000016/mattfurlongemploymentamend.htm" TargetMode="External"/><Relationship Id="rId113" Type="http://schemas.openxmlformats.org/officeDocument/2006/relationships/hyperlink" Target="https://www.sec.gov/Archives/edgar/data/0001549346/000154934624000015/sstkamendedrestated2022o.htm" TargetMode="External"/><Relationship Id="rId114" Type="http://schemas.openxmlformats.org/officeDocument/2006/relationships/hyperlink" Target="https://www.sec.gov/Archives/edgar/data/1549346/000114036124032447/ef20032133_ex10-1.htm" TargetMode="External"/><Relationship Id="rId115" Type="http://schemas.openxmlformats.org/officeDocument/2006/relationships/hyperlink" Target="https://www.sec.gov/Archives/edgar/data/1549346/000114036124032447/ef20032133_ex10-2.htm" TargetMode="External"/><Relationship Id="rId116" Type="http://schemas.openxmlformats.org/officeDocument/2006/relationships/hyperlink" Target="https://www.sec.gov/Archives/edgar/data/1549346/000154934626000008/exhibit1027-phdec2025rsu.htm" TargetMode="External"/><Relationship Id="rId117" Type="http://schemas.openxmlformats.org/officeDocument/2006/relationships/hyperlink" Target="https://www.sec.gov/Archives/edgar/data/1549346/000114036124032447/ef20032133_ex10-3.htm" TargetMode="External"/><Relationship Id="rId118" Type="http://schemas.openxmlformats.org/officeDocument/2006/relationships/hyperlink" Target="https://www.sec.gov/Archives/edgar/data/0001549346/000114036124033759/ef20032751_ex10-1.htm" TargetMode="External"/><Relationship Id="rId119" Type="http://schemas.openxmlformats.org/officeDocument/2006/relationships/hyperlink" Target="https://www.sec.gov/Archives/edgar/data/0001549346/000114036124044846/ef20038023_ex10-2.htm" TargetMode="External"/><Relationship Id="rId120" Type="http://schemas.openxmlformats.org/officeDocument/2006/relationships/hyperlink" Target="https://www.sec.gov/Archives/edgar/data/0001549346/000114036125000468/ny20041185x1_ex10-3.htm" TargetMode="External"/><Relationship Id="rId121" Type="http://schemas.openxmlformats.org/officeDocument/2006/relationships/hyperlink" Target="https://www.sec.gov/Archives/edgar/data/0001549346/000114036125000468/ny20041185x1_ex10-4.htm" TargetMode="External"/><Relationship Id="rId122" Type="http://schemas.openxmlformats.org/officeDocument/2006/relationships/hyperlink" Target="https://www.sec.gov/Archives/edgar/data/0001549346/000154934625000011/a_2024xq4ex19insidertradin.htm" TargetMode="External"/><Relationship Id="rId123" Type="http://schemas.openxmlformats.org/officeDocument/2006/relationships/hyperlink" Target="https://www.sec.gov/Archives/edgar/data/0001549346/000154934625000011/a10-k_2024xq4exhibit211.htm" TargetMode="External"/><Relationship Id="rId124" Type="http://schemas.openxmlformats.org/officeDocument/2006/relationships/hyperlink" Target="https://www.sec.gov/Archives/edgar/data/0001549346/000154934625000011/a10-k_2024xq4exhibit231.htm" TargetMode="External"/><Relationship Id="rId125" Type="http://schemas.openxmlformats.org/officeDocument/2006/relationships/hyperlink" Target="https://www.sec.gov/Archives/edgar/data/1549346/000154934626000008/a10-k_2025xq4exhibit311.htm" TargetMode="External"/><Relationship Id="rId126" Type="http://schemas.openxmlformats.org/officeDocument/2006/relationships/hyperlink" Target="https://www.sec.gov/Archives/edgar/data/1549346/000154934626000008/a10-k_2025xq4exhibit312.htm" TargetMode="External"/><Relationship Id="rId130" Type="http://schemas.openxmlformats.org/officeDocument/2006/relationships/hyperlink" Target="https://www.sec.gov/Archives/edgar/data/1549346/000154934626000008/a10-k_2025xq4exhibit32.htm" TargetMode="External"/><Relationship Id="rId132" Type="http://schemas.openxmlformats.org/officeDocument/2006/relationships/hyperlink" Target="https://www.sec.gov/Archives/edgar/data/1549346/000154934624000007/exhibit97-executivecompen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2026-04-24T05:54:55Z</dcterms:created>
  <dcterms:modified xsi:type="dcterms:W3CDTF">2026-04-24T05:54:55Z</dcterms:modified>
</cp:coreProperties>
</file>