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481965</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440055</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1920" w:hanging="263"/>
        <w:spacing w:after="0"/>
        <w:tabs>
          <w:tab w:leader="none" w:pos="19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45" w:lineRule="exact"/>
        <w:rPr>
          <w:rFonts w:ascii="MS PGothic" w:cs="MS PGothic" w:eastAsia="MS PGothic" w:hAnsi="MS PGothic"/>
          <w:sz w:val="15"/>
          <w:szCs w:val="15"/>
          <w:color w:val="auto"/>
        </w:rPr>
      </w:pPr>
    </w:p>
    <w:p>
      <w:pPr>
        <w:ind w:left="4060"/>
        <w:spacing w:after="0"/>
        <w:rPr>
          <w:rFonts w:ascii="MS PGothic" w:cs="MS PGothic" w:eastAsia="MS PGothic" w:hAnsi="MS PGothic"/>
          <w:sz w:val="15"/>
          <w:szCs w:val="15"/>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1" w:lineRule="exact"/>
        <w:rPr>
          <w:sz w:val="24"/>
          <w:szCs w:val="24"/>
          <w:color w:val="auto"/>
        </w:rPr>
      </w:pPr>
    </w:p>
    <w:p>
      <w:pPr>
        <w:ind w:left="2060" w:hanging="507"/>
        <w:spacing w:after="0"/>
        <w:tabs>
          <w:tab w:leader="none" w:pos="20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73"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Commission File Number: 001-35669</w:t>
      </w:r>
    </w:p>
    <w:p>
      <w:pPr>
        <w:spacing w:after="0" w:line="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SHUTTERSTOCK, INC.</w:t>
      </w:r>
    </w:p>
    <w:p>
      <w:pPr>
        <w:spacing w:after="0" w:line="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ectPr>
          <w:pgSz w:w="11900" w:h="16838" w:orient="portrait"/>
          <w:cols w:equalWidth="0" w:num="1">
            <w:col w:w="11340"/>
          </w:cols>
          <w:pgMar w:left="320" w:top="226" w:right="239" w:bottom="1440" w:gutter="0" w:footer="0" w:header="0"/>
        </w:sectPr>
      </w:pPr>
    </w:p>
    <w:p>
      <w:pPr>
        <w:spacing w:after="0" w:line="4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80-0812659</w:t>
      </w:r>
    </w:p>
    <w:p>
      <w:pPr>
        <w:spacing w:after="0" w:line="58" w:lineRule="exact"/>
        <w:rPr>
          <w:sz w:val="24"/>
          <w:szCs w:val="24"/>
          <w:color w:val="auto"/>
        </w:rPr>
      </w:pPr>
    </w:p>
    <w:p>
      <w:pPr>
        <w:sectPr>
          <w:pgSz w:w="11900" w:h="16838" w:orient="portrait"/>
          <w:cols w:equalWidth="0" w:num="2">
            <w:col w:w="7620" w:space="720"/>
            <w:col w:w="3000"/>
          </w:cols>
          <w:pgMar w:left="320" w:top="226" w:right="2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1" w:lineRule="exact"/>
        <w:rPr>
          <w:sz w:val="24"/>
          <w:szCs w:val="24"/>
          <w:color w:val="auto"/>
        </w:rPr>
      </w:pPr>
    </w:p>
    <w:p>
      <w:pPr>
        <w:sectPr>
          <w:pgSz w:w="11900" w:h="16838" w:orient="portrait"/>
          <w:cols w:equalWidth="0" w:num="2">
            <w:col w:w="6980" w:space="720"/>
            <w:col w:w="3640"/>
          </w:cols>
          <w:pgMar w:left="320" w:top="226" w:right="239" w:bottom="1440" w:gutter="0" w:footer="0" w:header="0"/>
          <w:type w:val="continuous"/>
        </w:sectPr>
      </w:pPr>
    </w:p>
    <w:p>
      <w:pPr>
        <w:ind w:left="4860"/>
        <w:spacing w:after="0"/>
        <w:rPr>
          <w:sz w:val="20"/>
          <w:szCs w:val="20"/>
          <w:color w:val="auto"/>
        </w:rPr>
      </w:pPr>
      <w:r>
        <w:rPr>
          <w:rFonts w:ascii="Times New Roman" w:cs="Times New Roman" w:eastAsia="Times New Roman" w:hAnsi="Times New Roman"/>
          <w:sz w:val="16"/>
          <w:szCs w:val="16"/>
          <w:b w:val="1"/>
          <w:bCs w:val="1"/>
          <w:color w:val="auto"/>
        </w:rPr>
        <w:t>350 Fifth Avenue, 21st Floor</w:t>
      </w:r>
    </w:p>
    <w:p>
      <w:pPr>
        <w:spacing w:after="0" w:line="2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New York, NY 10118</w:t>
      </w:r>
    </w:p>
    <w:p>
      <w:pPr>
        <w:spacing w:after="0" w:line="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39"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646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710-3417</w:t>
      </w:r>
    </w:p>
    <w:p>
      <w:pPr>
        <w:spacing w:after="0" w:line="3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0"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spacing w:after="0" w:line="22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720" w:type="dxa"/>
        <w:tblCellMar>
          <w:top w:w="0" w:type="dxa"/>
          <w:left w:w="0" w:type="dxa"/>
          <w:bottom w:w="0" w:type="dxa"/>
          <w:right w:w="0" w:type="dxa"/>
        </w:tblCellMar>
      </w:tblPr>
      <w:tr>
        <w:trPr>
          <w:trHeight w:val="198"/>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0"/>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7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99" w:lineRule="exact"/>
        <w:rPr>
          <w:sz w:val="24"/>
          <w:szCs w:val="24"/>
          <w:color w:val="auto"/>
        </w:rPr>
      </w:pPr>
    </w:p>
    <w:p>
      <w:pPr>
        <w:ind w:right="420" w:firstLine="395"/>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9" w:lineRule="exact"/>
        <w:rPr>
          <w:sz w:val="24"/>
          <w:szCs w:val="24"/>
          <w:color w:val="auto"/>
        </w:rPr>
      </w:pPr>
    </w:p>
    <w:p>
      <w:pPr>
        <w:ind w:right="300" w:firstLine="395"/>
        <w:spacing w:after="0" w:line="19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420" w:type="dxa"/>
        <w:tblCellMar>
          <w:top w:w="0" w:type="dxa"/>
          <w:left w:w="0" w:type="dxa"/>
          <w:bottom w:w="0" w:type="dxa"/>
          <w:right w:w="0" w:type="dxa"/>
        </w:tblCellMar>
      </w:tblP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Large 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Accelerated filer</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Non-accelerated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Emerging growth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0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1960" w:type="dxa"/>
            <w:vAlign w:val="bottom"/>
          </w:tcPr>
          <w:p>
            <w:pPr>
              <w:spacing w:after="0"/>
              <w:rPr>
                <w:sz w:val="18"/>
                <w:szCs w:val="18"/>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8"/>
                <w:szCs w:val="18"/>
                <w:color w:val="auto"/>
              </w:rPr>
            </w:pPr>
          </w:p>
        </w:tc>
        <w:tc>
          <w:tcPr>
            <w:tcW w:w="40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9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400" w:type="dxa"/>
            <w:vAlign w:val="bottom"/>
            <w:vMerge w:val="continue"/>
          </w:tcPr>
          <w:p>
            <w:pPr>
              <w:spacing w:after="0"/>
              <w:rPr>
                <w:sz w:val="19"/>
                <w:szCs w:val="19"/>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April 22, 2022, 36,237,291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30480</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type w:val="continuous"/>
        </w:sectPr>
      </w:pPr>
    </w:p>
    <w:bookmarkStart w:id="1" w:name="page2"/>
    <w:bookmarkEnd w:id="1"/>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6"/>
              </w:rPr>
              <w:t>Shutterstock, Inc.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40" w:type="dxa"/>
            <w:vAlign w:val="bottom"/>
            <w:gridSpan w:val="2"/>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20" w:type="dxa"/>
            <w:vAlign w:val="bottom"/>
            <w:gridSpan w:val="6"/>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7"/>
              </w:rPr>
              <w:t>For the Quarterly Period Ended March 31, 2022</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26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0260" w:type="dxa"/>
            <w:vAlign w:val="bottom"/>
            <w:gridSpan w:val="22"/>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w:t>
            </w:r>
          </w:p>
        </w:tc>
        <w:tc>
          <w:tcPr>
            <w:tcW w:w="9280" w:type="dxa"/>
            <w:vAlign w:val="bottom"/>
            <w:gridSpan w:val="17"/>
          </w:tcPr>
          <w:p>
            <w:pPr>
              <w:ind w:left="120"/>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3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8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7"/>
              </w:rPr>
              <w:t>Consolidated Balance Sheets</w:t>
            </w:r>
          </w:p>
        </w:tc>
        <w:tc>
          <w:tcPr>
            <w:tcW w:w="160" w:type="dxa"/>
            <w:vAlign w:val="bottom"/>
            <w:tcBorders>
              <w:top w:val="single" w:sz="8" w:color="0000FF"/>
            </w:tcBorders>
          </w:tcPr>
          <w:p>
            <w:pPr>
              <w:spacing w:after="0"/>
              <w:rPr>
                <w:sz w:val="16"/>
                <w:szCs w:val="16"/>
                <w:color w:val="auto"/>
              </w:rPr>
            </w:pPr>
          </w:p>
        </w:tc>
        <w:tc>
          <w:tcPr>
            <w:tcW w:w="7040" w:type="dxa"/>
            <w:vAlign w:val="bottom"/>
            <w:gridSpan w:val="8"/>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8"/>
              </w:rPr>
              <w:t>Consolidated Statements of Stockholders’ Equity</w:t>
            </w:r>
          </w:p>
        </w:tc>
        <w:tc>
          <w:tcPr>
            <w:tcW w:w="160" w:type="dxa"/>
            <w:vAlign w:val="bottom"/>
            <w:tcBorders>
              <w:top w:val="single" w:sz="8" w:color="0000FF"/>
            </w:tcBorders>
          </w:tcPr>
          <w:p>
            <w:pPr>
              <w:spacing w:after="0"/>
              <w:rPr>
                <w:sz w:val="16"/>
                <w:szCs w:val="16"/>
                <w:color w:val="auto"/>
              </w:rPr>
            </w:pPr>
          </w:p>
        </w:tc>
        <w:tc>
          <w:tcPr>
            <w:tcW w:w="5760" w:type="dxa"/>
            <w:vAlign w:val="bottom"/>
            <w:gridSpan w:val="3"/>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7"/>
              </w:rPr>
              <w:t>Consolidated Statements of Cash Flows</w:t>
            </w:r>
          </w:p>
        </w:tc>
        <w:tc>
          <w:tcPr>
            <w:tcW w:w="6520" w:type="dxa"/>
            <w:vAlign w:val="bottom"/>
            <w:gridSpan w:val="6"/>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5"/>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Item 2.</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Item 3.</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56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340" w:type="dxa"/>
            <w:vAlign w:val="bottom"/>
            <w:gridSpan w:val="2"/>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60" w:type="dxa"/>
            <w:vAlign w:val="bottom"/>
            <w:gridSpan w:val="22"/>
          </w:tcPr>
          <w:p>
            <w:pPr>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520" w:type="dxa"/>
            <w:vAlign w:val="bottom"/>
            <w:tcBorders>
              <w:top w:val="single" w:sz="8" w:color="0000FF"/>
            </w:tcBorders>
            <w:gridSpan w:val="2"/>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Legal Proceedings</w:t>
            </w:r>
          </w:p>
        </w:tc>
        <w:tc>
          <w:tcPr>
            <w:tcW w:w="140" w:type="dxa"/>
            <w:vAlign w:val="bottom"/>
            <w:tcBorders>
              <w:top w:val="single" w:sz="8" w:color="0000FF"/>
            </w:tcBorders>
          </w:tcPr>
          <w:p>
            <w:pPr>
              <w:spacing w:after="0"/>
              <w:rPr>
                <w:sz w:val="21"/>
                <w:szCs w:val="21"/>
                <w:color w:val="auto"/>
              </w:rPr>
            </w:pPr>
          </w:p>
        </w:tc>
        <w:tc>
          <w:tcPr>
            <w:tcW w:w="7840" w:type="dxa"/>
            <w:vAlign w:val="bottom"/>
            <w:gridSpan w:val="11"/>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w:t>
            </w:r>
          </w:p>
        </w:tc>
        <w:tc>
          <w:tcPr>
            <w:tcW w:w="0" w:type="dxa"/>
            <w:vAlign w:val="bottom"/>
          </w:tcPr>
          <w:p>
            <w:pPr>
              <w:spacing w:after="0"/>
              <w:rPr>
                <w:sz w:val="1"/>
                <w:szCs w:val="1"/>
                <w:color w:val="auto"/>
              </w:rPr>
            </w:pPr>
          </w:p>
        </w:tc>
      </w:tr>
      <w:tr>
        <w:trPr>
          <w:trHeight w:val="191"/>
        </w:trPr>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4"/>
              </w:rPr>
              <w:t>Item 1A.</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Risk Factors</w:t>
            </w:r>
          </w:p>
        </w:tc>
        <w:tc>
          <w:tcPr>
            <w:tcW w:w="8360" w:type="dxa"/>
            <w:vAlign w:val="bottom"/>
            <w:gridSpan w:val="13"/>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w:t>
            </w:r>
          </w:p>
        </w:tc>
        <w:tc>
          <w:tcPr>
            <w:tcW w:w="0" w:type="dxa"/>
            <w:vAlign w:val="bottom"/>
          </w:tcPr>
          <w:p>
            <w:pPr>
              <w:spacing w:after="0"/>
              <w:rPr>
                <w:sz w:val="1"/>
                <w:szCs w:val="1"/>
                <w:color w:val="auto"/>
              </w:rPr>
            </w:pPr>
          </w:p>
        </w:tc>
      </w:tr>
      <w:tr>
        <w:trPr>
          <w:trHeight w:val="191"/>
        </w:trPr>
        <w:tc>
          <w:tcPr>
            <w:tcW w:w="4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Item 6.</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2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4"/>
              </w:rPr>
              <w:t>Signatures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134620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9" w:lineRule="exact"/>
        <w:rPr>
          <w:sz w:val="20"/>
          <w:szCs w:val="20"/>
          <w:color w:val="auto"/>
        </w:rPr>
      </w:pPr>
    </w:p>
    <w:p>
      <w:pPr>
        <w:ind w:firstLine="395"/>
        <w:spacing w:after="0" w:line="245"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those discussed under the caption “Risk Factors” in our most recently filed Annual Report on Form 10-K, which was filed with the Securities and Exchange Commission (the “SEC”) on February 10, 2022 (our “2021 Form 10-K”), and in our consolidated financial statements, related notes, and the other information appearing elsewhere in the 2021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92"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“Shutterstock Studios” and “Shutterstock Editor”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7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6"/>
              </w:rPr>
              <w:t>Shutterstock, Inc.</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(In thousands, except par value amount)</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0" w:type="dxa"/>
            <w:vAlign w:val="bottom"/>
          </w:tcPr>
          <w:p>
            <w:pPr>
              <w:spacing w:after="0"/>
              <w:rPr>
                <w:sz w:val="3"/>
                <w:szCs w:val="3"/>
                <w:color w:val="auto"/>
              </w:rPr>
            </w:pPr>
          </w:p>
        </w:tc>
        <w:tc>
          <w:tcPr>
            <w:tcW w:w="60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6"/>
        </w:trPr>
        <w:tc>
          <w:tcPr>
            <w:tcW w:w="6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258,112</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314,017</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 net of allowance of $2,125 and $1,910</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47,707</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36,833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26,491</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339,719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388,215</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48,074</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34,570</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123,822</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219,816</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0" w:type="dxa"/>
            <w:vAlign w:val="bottom"/>
          </w:tcPr>
          <w:p>
            <w:pPr>
              <w:spacing w:after="0"/>
              <w:rPr>
                <w:sz w:val="1"/>
                <w:szCs w:val="1"/>
                <w:color w:val="auto"/>
              </w:rPr>
            </w:pPr>
          </w:p>
        </w:tc>
      </w:tr>
      <w:tr>
        <w:trPr>
          <w:trHeight w:val="202"/>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795,978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851,710</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720" w:type="dxa"/>
            <w:vAlign w:val="bottom"/>
            <w:gridSpan w:val="4"/>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99,529</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29,004</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180,979</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14,180</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303,886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333,784</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36,966</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351,555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383,228</w:t>
            </w:r>
          </w:p>
        </w:tc>
        <w:tc>
          <w:tcPr>
            <w:tcW w:w="0" w:type="dxa"/>
            <w:vAlign w:val="bottom"/>
          </w:tcPr>
          <w:p>
            <w:pPr>
              <w:spacing w:after="0"/>
              <w:rPr>
                <w:sz w:val="1"/>
                <w:szCs w:val="1"/>
                <w:color w:val="auto"/>
              </w:rPr>
            </w:pPr>
          </w:p>
        </w:tc>
      </w:tr>
      <w:tr>
        <w:trPr>
          <w:trHeight w:val="201"/>
        </w:trPr>
        <w:tc>
          <w:tcPr>
            <w:tcW w:w="7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7720" w:type="dxa"/>
            <w:vAlign w:val="bottom"/>
            <w:gridSpan w:val="4"/>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0" w:type="dxa"/>
            <w:vAlign w:val="bottom"/>
            <w:shd w:val="clear" w:color="auto" w:fill="CCEEFF"/>
          </w:tcPr>
          <w:p>
            <w:pPr>
              <w:spacing w:after="0"/>
              <w:rPr>
                <w:sz w:val="13"/>
                <w:szCs w:val="13"/>
                <w:color w:val="auto"/>
              </w:rPr>
            </w:pPr>
          </w:p>
        </w:tc>
        <w:tc>
          <w:tcPr>
            <w:tcW w:w="7320" w:type="dxa"/>
            <w:vAlign w:val="bottom"/>
            <w:gridSpan w:val="3"/>
            <w:shd w:val="clear" w:color="auto" w:fill="CCEEFF"/>
          </w:tcPr>
          <w:p>
            <w:pPr>
              <w:ind w:left="60"/>
              <w:spacing w:after="0" w:line="160" w:lineRule="exact"/>
              <w:rPr>
                <w:sz w:val="20"/>
                <w:szCs w:val="20"/>
                <w:color w:val="auto"/>
              </w:rPr>
            </w:pPr>
            <w:r>
              <w:rPr>
                <w:rFonts w:ascii="Times New Roman" w:cs="Times New Roman" w:eastAsia="Times New Roman" w:hAnsi="Times New Roman"/>
                <w:sz w:val="16"/>
                <w:szCs w:val="16"/>
                <w:color w:val="auto"/>
              </w:rPr>
              <w:t>Common stock, $0.01 par value; 200,000 shares authorized; 39,352 and 39,209 shares issued and 36,138 and</w:t>
            </w:r>
          </w:p>
        </w:tc>
        <w:tc>
          <w:tcPr>
            <w:tcW w:w="4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11"/>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36,417 shares outstanding as of March 31, 2022 and December 31, 2021, respectively</w:t>
            </w:r>
          </w:p>
        </w:tc>
        <w:tc>
          <w:tcPr>
            <w:tcW w:w="4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Treasury stock, at cost; 3,214 and 2,792 shares as of March 31, 2022 and December 31, 2021, respectively</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(127,196)</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376,537</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(10,788)</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247,403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229,537</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444,423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468,482</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795,978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851,710</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6"/>
                <w:szCs w:val="16"/>
                <w:color w:val="auto"/>
              </w:rPr>
            </w:pPr>
          </w:p>
        </w:tc>
      </w:tr>
      <w:tr>
        <w:trPr>
          <w:trHeight w:val="23"/>
        </w:trPr>
        <w:tc>
          <w:tcPr>
            <w:tcW w:w="8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0"/>
        </w:trPr>
        <w:tc>
          <w:tcPr>
            <w:tcW w:w="8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6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38"/>
        </w:trPr>
        <w:tc>
          <w:tcPr>
            <w:tcW w:w="8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183,281</w:t>
            </w:r>
          </w:p>
        </w:tc>
      </w:tr>
      <w:tr>
        <w:trPr>
          <w:trHeight w:val="197"/>
        </w:trPr>
        <w:tc>
          <w:tcPr>
            <w:tcW w:w="8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9"/>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61,832</w:t>
            </w:r>
          </w:p>
        </w:tc>
      </w:tr>
      <w:tr>
        <w:trPr>
          <w:trHeight w:val="212"/>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41,921</w:t>
            </w:r>
          </w:p>
        </w:tc>
      </w:tr>
      <w:tr>
        <w:trPr>
          <w:trHeight w:val="209"/>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10,731</w:t>
            </w:r>
          </w:p>
        </w:tc>
      </w:tr>
      <w:tr>
        <w:trPr>
          <w:trHeight w:val="212"/>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30,679</w:t>
            </w:r>
          </w:p>
        </w:tc>
      </w:tr>
      <w:tr>
        <w:trPr>
          <w:trHeight w:val="202"/>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167,214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145,163</w:t>
            </w:r>
          </w:p>
        </w:tc>
      </w:tr>
      <w:tr>
        <w:trPr>
          <w:trHeight w:val="206"/>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38,118</w:t>
            </w:r>
          </w:p>
        </w:tc>
      </w:tr>
      <w:tr>
        <w:trPr>
          <w:trHeight w:val="20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(2,462)</w:t>
            </w:r>
          </w:p>
        </w:tc>
      </w:tr>
      <w:tr>
        <w:trPr>
          <w:trHeight w:val="20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35,656</w:t>
            </w:r>
          </w:p>
        </w:tc>
      </w:tr>
      <w:tr>
        <w:trPr>
          <w:trHeight w:val="20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6,142</w:t>
            </w:r>
          </w:p>
        </w:tc>
      </w:tr>
      <w:tr>
        <w:trPr>
          <w:trHeight w:val="204"/>
        </w:trPr>
        <w:tc>
          <w:tcPr>
            <w:tcW w:w="8640" w:type="dxa"/>
            <w:vAlign w:val="bottom"/>
            <w:tcBorders>
              <w:bottom w:val="single" w:sz="8" w:color="CCEEFF"/>
            </w:tcBorders>
            <w:shd w:val="clear" w:color="auto" w:fill="CCEEFF"/>
          </w:tcPr>
          <w:p>
            <w:pPr>
              <w:ind w:left="360"/>
              <w:spacing w:after="0" w:line="179" w:lineRule="exact"/>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Borders>
              <w:bottom w:val="single" w:sz="8" w:color="auto"/>
            </w:tcBorders>
            <w:shd w:val="clear" w:color="auto" w:fill="CCEEFF"/>
          </w:tcPr>
          <w:p>
            <w:pPr>
              <w:jc w:val="right"/>
              <w:ind w:right="2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26,572</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1"/>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29,514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8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9"/>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0.81</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8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9"/>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36,303</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36,336</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8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37,204</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37,249</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6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1"/>
        </w:trPr>
        <w:tc>
          <w:tcPr>
            <w:tcW w:w="8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29,514</w:t>
            </w:r>
          </w:p>
        </w:tc>
      </w:tr>
      <w:tr>
        <w:trPr>
          <w:trHeight w:val="209"/>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(loss) / gain</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0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 income</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02"/>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29,740</w:t>
            </w:r>
          </w:p>
        </w:tc>
      </w:tr>
      <w:tr>
        <w:trPr>
          <w:trHeight w:val="21"/>
        </w:trPr>
        <w:tc>
          <w:tcPr>
            <w:tcW w:w="8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6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4"/>
                <w:szCs w:val="4"/>
                <w:color w:val="auto"/>
              </w:rPr>
            </w:pPr>
          </w:p>
        </w:tc>
        <w:tc>
          <w:tcPr>
            <w:tcW w:w="820" w:type="dxa"/>
            <w:vAlign w:val="bottom"/>
            <w:gridSpan w:val="2"/>
            <w:vMerge w:val="restart"/>
          </w:tcPr>
          <w:p>
            <w:pPr>
              <w:ind w:left="80"/>
              <w:spacing w:after="0" w:line="10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40" w:type="dxa"/>
            <w:vAlign w:val="bottom"/>
            <w:vMerge w:val="continue"/>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Income / (Loss)</w:t>
            </w: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(127,196)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229,537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468,482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(10,595)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(10,596)</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(38,269)</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(8,706)</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26,572</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444,423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360,939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168,305</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421,925</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8,210</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(13,034)</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29,514</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440,504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5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91"/>
        </w:trPr>
        <w:tc>
          <w:tcPr>
            <w:tcW w:w="8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26,572</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29,514</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10,091</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8,210</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(9,306)</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35,828</w:t>
            </w:r>
          </w:p>
        </w:tc>
      </w:tr>
      <w:tr>
        <w:trPr>
          <w:trHeight w:val="192"/>
        </w:trPr>
        <w:tc>
          <w:tcPr>
            <w:tcW w:w="8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(8,548)</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(72,165)</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content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09"/>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Security deposit payment</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(81,213)</w:t>
            </w:r>
          </w:p>
        </w:tc>
      </w:tr>
      <w:tr>
        <w:trPr>
          <w:trHeight w:val="192"/>
        </w:trPr>
        <w:tc>
          <w:tcPr>
            <w:tcW w:w="8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treasury shares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(13,034)</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cash dividend</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(7,646)</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(65,574)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(19,371)</w:t>
            </w:r>
          </w:p>
        </w:tc>
      </w:tr>
      <w:tr>
        <w:trPr>
          <w:trHeight w:val="192"/>
        </w:trPr>
        <w:tc>
          <w:tcPr>
            <w:tcW w:w="8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0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(64,648)</w:t>
            </w:r>
          </w:p>
        </w:tc>
      </w:tr>
      <w:tr>
        <w:trPr>
          <w:trHeight w:val="211"/>
        </w:trPr>
        <w:tc>
          <w:tcPr>
            <w:tcW w:w="8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314,017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428,574</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258,112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363,926</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9"/>
        </w:trPr>
        <w:tc>
          <w:tcPr>
            <w:tcW w:w="8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w:t>
            </w: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152"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Shutterstock, Inc. (the “Company” or “Shutterstock”) is the leading global creative platform for transformative brands and media companies. The Company’s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key offerings include:</w:t>
      </w:r>
    </w:p>
    <w:p>
      <w:pPr>
        <w:spacing w:after="0" w:line="148" w:lineRule="exact"/>
        <w:rPr>
          <w:sz w:val="20"/>
          <w:szCs w:val="20"/>
          <w:color w:val="auto"/>
        </w:rPr>
      </w:pPr>
    </w:p>
    <w:p>
      <w:pPr>
        <w:ind w:left="960" w:right="220" w:hanging="323"/>
        <w:spacing w:after="0" w:line="268"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64" w:lineRule="exact"/>
        <w:rPr>
          <w:rFonts w:ascii="Times New Roman" w:cs="Times New Roman" w:eastAsia="Times New Roman" w:hAnsi="Times New Roman"/>
          <w:sz w:val="18"/>
          <w:szCs w:val="18"/>
          <w:color w:val="auto"/>
        </w:rPr>
      </w:pPr>
    </w:p>
    <w:p>
      <w:pPr>
        <w:ind w:left="960" w:right="60" w:hanging="323"/>
        <w:spacing w:after="0" w:line="268"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64"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08" w:lineRule="exact"/>
        <w:rPr>
          <w:rFonts w:ascii="Times New Roman" w:cs="Times New Roman" w:eastAsia="Times New Roman" w:hAnsi="Times New Roman"/>
          <w:sz w:val="18"/>
          <w:szCs w:val="18"/>
          <w:color w:val="auto"/>
        </w:rPr>
      </w:pPr>
    </w:p>
    <w:p>
      <w:pPr>
        <w:ind w:left="960" w:right="20" w:hanging="323"/>
        <w:spacing w:after="0" w:line="256"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 This offering became available upon the Company’s acquisition of TurboSquid, Inc. on February 1, 2021.</w:t>
      </w:r>
    </w:p>
    <w:p>
      <w:pPr>
        <w:spacing w:after="0" w:line="74" w:lineRule="exact"/>
        <w:rPr>
          <w:rFonts w:ascii="Times New Roman" w:cs="Times New Roman" w:eastAsia="Times New Roman" w:hAnsi="Times New Roman"/>
          <w:sz w:val="18"/>
          <w:szCs w:val="18"/>
          <w:color w:val="auto"/>
        </w:rPr>
      </w:pPr>
    </w:p>
    <w:p>
      <w:pPr>
        <w:ind w:left="960" w:right="20" w:hanging="323"/>
        <w:spacing w:after="0" w:line="256"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Creative Design Software - consisting of the Company’s online graphic design and image editing platform. This offering became available after the Company completed the acquisition of substantially all of the assets and assumption of certain liabilities from PicMonkey, LLC on September 3, 2021.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3" w:lineRule="exact"/>
        <w:rPr>
          <w:sz w:val="20"/>
          <w:szCs w:val="20"/>
          <w:color w:val="auto"/>
        </w:rPr>
      </w:pPr>
    </w:p>
    <w:p>
      <w:pPr>
        <w:ind w:right="340" w:firstLine="395"/>
        <w:spacing w:after="0" w:line="30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0" w:lineRule="exact"/>
        <w:rPr>
          <w:sz w:val="20"/>
          <w:szCs w:val="20"/>
          <w:color w:val="auto"/>
        </w:rPr>
      </w:pPr>
    </w:p>
    <w:p>
      <w:pPr>
        <w:ind w:right="80" w:firstLine="395"/>
        <w:spacing w:after="0" w:line="247" w:lineRule="auto"/>
        <w:rPr>
          <w:sz w:val="20"/>
          <w:szCs w:val="20"/>
          <w:color w:val="auto"/>
        </w:rPr>
      </w:pPr>
      <w:r>
        <w:rPr>
          <w:rFonts w:ascii="Times New Roman" w:cs="Times New Roman" w:eastAsia="Times New Roman" w:hAnsi="Times New Roman"/>
          <w:sz w:val="18"/>
          <w:szCs w:val="18"/>
          <w:color w:val="auto"/>
        </w:rPr>
        <w:t>The interim Consolidated Balance Sheet as of March 31, 2022, and the Consolidated Statements of Operations, Comprehensive Income, Stockholders’ Equity and Cash Flows for the three months ended March 31, 2022 and 2021 are unaudited. The Consolidated Balance Sheet as of December 31, 2021,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March 31, 2022, and its consolidated results of operations, comprehensive income, stockholders’ equity and cash flows for the three months ended March 31, 2022 and 2021. The financial data and the other financial information disclosed in the notes to the financial statements related to these periods are also unaudited. The results of operations for the three months ended March 31, 2022 are not necessarily indicative of the results to be expected for the fiscal year ending December 31, 2022 or for any other future annual or interim period.</w:t>
      </w:r>
    </w:p>
    <w:p>
      <w:pPr>
        <w:spacing w:after="0" w:line="8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Company’s audited consolidated financial statements and notes thereto as of and for the year ended December 31, 2021 included in the Company’s Annual Report on Form 10-K, which was filed with the SEC on February 10, 2022.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3"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cash and cash equivalents consist primarily of bank deposits and money market funds.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13"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(i) the aging of its accounts receivable considering historical receivables loss rates, (ii) on a customer-by-customer basis, where appropriate, and (iii) the economic environments in which the Company operates.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recorded bad debt expense of $0.4 million. As of March 31, 2022 and December 31, 2021, the Company’s allowance for doubtful accounts was approximately $2.1 million and $1.9 million, respectively. The allowance for doubtful accounts is included as a reduction of accounts receivable on the Consolidated Balance Sheets.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13" w:lineRule="exact"/>
        <w:rPr>
          <w:sz w:val="20"/>
          <w:szCs w:val="20"/>
          <w:color w:val="auto"/>
        </w:rPr>
      </w:pPr>
    </w:p>
    <w:p>
      <w:pPr>
        <w:ind w:right="420" w:firstLine="395"/>
        <w:spacing w:after="0" w:line="303" w:lineRule="auto"/>
        <w:rPr>
          <w:sz w:val="20"/>
          <w:szCs w:val="20"/>
          <w:color w:val="auto"/>
        </w:rPr>
      </w:pPr>
      <w:r>
        <w:rPr>
          <w:rFonts w:ascii="Times New Roman" w:cs="Times New Roman" w:eastAsia="Times New Roman" w:hAnsi="Times New Roman"/>
          <w:sz w:val="16"/>
          <w:szCs w:val="16"/>
          <w:color w:val="auto"/>
        </w:rPr>
        <w:t>The Company establishes a chargeback allowance and sales refund reserve allowance based on factors surrounding historical credit card chargeback trends, historical sales refund trends and other information. As of March 31, 2022 and December 31, 2021, the Company’s combined allowance for chargebacks and sales refunds was $0.4 million, which was included as a component of other current liabilities on the Consolidated Balance Sheets.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Subsequent to the acquisition of PicMonkey, the Company also generates revenue from the license of creative editing tools.</w:t>
      </w:r>
    </w:p>
    <w:p>
      <w:pPr>
        <w:spacing w:after="0" w:line="78" w:lineRule="exact"/>
        <w:rPr>
          <w:sz w:val="20"/>
          <w:szCs w:val="20"/>
          <w:color w:val="auto"/>
        </w:rPr>
      </w:pPr>
    </w:p>
    <w:p>
      <w:pPr>
        <w:ind w:right="80" w:firstLine="395"/>
        <w:spacing w:after="0" w:line="284" w:lineRule="auto"/>
        <w:rPr>
          <w:sz w:val="20"/>
          <w:szCs w:val="20"/>
          <w:color w:val="auto"/>
        </w:rPr>
      </w:pPr>
      <w:r>
        <w:rPr>
          <w:rFonts w:ascii="Times New Roman" w:cs="Times New Roman" w:eastAsia="Times New Roman" w:hAnsi="Times New Roman"/>
          <w:sz w:val="16"/>
          <w:szCs w:val="16"/>
          <w:color w:val="auto"/>
        </w:rPr>
        <w:t>The Company recognizes revenue upon the satisfaction of performance obligations, which generally occurs when content is downloaded by a customer. The Company recognizes revenue on both its subscription-based and transaction-based products when content is downloaded, at which time the license is provided. In addition, the Company estimates expected unused licenses for subscription-based products and recognizes the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revenue associated with the Company’s creative editing tools, revenue is recognized on a straight-line basis over the subscription period. The Company expenses contract acquisition costs as incurred, to the extent that the amortization period would otherwise be one year or less.</w:t>
      </w:r>
    </w:p>
    <w:p>
      <w:pPr>
        <w:spacing w:after="0" w:line="94"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Collectability is reasonably assured at the time the electronic order or contract is entered. The majority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06"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w:t>
      </w:r>
    </w:p>
    <w:p>
      <w:pPr>
        <w:spacing w:after="0" w:line="200" w:lineRule="exact"/>
        <w:rPr>
          <w:sz w:val="20"/>
          <w:szCs w:val="20"/>
          <w:color w:val="auto"/>
        </w:rPr>
      </w:pPr>
    </w:p>
    <w:p>
      <w:pPr>
        <w:spacing w:after="0" w:line="38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Company’s products directly to customers as the principal in those transactions. Accordingly, the Company recognizes revenue net of costs paid to resellers.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 and Long-term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3" w:lineRule="exact"/>
        <w:rPr>
          <w:sz w:val="20"/>
          <w:szCs w:val="20"/>
          <w:color w:val="auto"/>
        </w:rPr>
      </w:pPr>
    </w:p>
    <w:p>
      <w:pPr>
        <w:ind w:right="220" w:firstLine="395"/>
        <w:spacing w:after="0" w:line="366" w:lineRule="auto"/>
        <w:rPr>
          <w:sz w:val="20"/>
          <w:szCs w:val="20"/>
          <w:color w:val="auto"/>
        </w:rPr>
      </w:pPr>
      <w:r>
        <w:rPr>
          <w:rFonts w:ascii="Times New Roman" w:cs="Times New Roman" w:eastAsia="Times New Roman" w:hAnsi="Times New Roman"/>
          <w:sz w:val="18"/>
          <w:szCs w:val="18"/>
          <w:color w:val="auto"/>
        </w:rPr>
        <w:t xml:space="preserve">The Company had no assets or liabilities requiring fair value hierarchy disclosures as of March 31, 2022 or December 31, 2021, except as noted below. </w:t>
      </w:r>
      <w:r>
        <w:rPr>
          <w:rFonts w:ascii="Times New Roman" w:cs="Times New Roman" w:eastAsia="Times New Roman" w:hAnsi="Times New Roman"/>
          <w:sz w:val="18"/>
          <w:szCs w:val="18"/>
          <w:i w:val="1"/>
          <w:iCs w:val="1"/>
          <w:color w:val="auto"/>
        </w:rPr>
        <w:t>Cash Equivalents</w:t>
      </w: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Cash equivalents include money market accounts and are classified as a level 1 measurement based on quoted prices in active markets for identical assets that the reporting entity can access at the measurement date. As of March 31, 2022 and December 31, 2021, the Company had cash equivalent balances of $145.1 million and $195.1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Measurements</w:t>
      </w:r>
    </w:p>
    <w:p>
      <w:pPr>
        <w:spacing w:after="0" w:line="58"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short-term nature of these instruments. The Company’s non-financial assets, which include property and equipment,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50"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As of March 31, 2022 and December 31, 2021, the Company’s long-term investments were in equity securities with no readily determinable fair value, totaled $20.0 million, and were reported within other assets on the Consolidated Balance Sheets. The Company uses the measurement alternative for these equity investments and their carrying value is reported at cost, adjusted for impairments or any observable price changes in ordinary transactions with identical or similar investments.</w:t>
      </w:r>
    </w:p>
    <w:p>
      <w:pPr>
        <w:spacing w:after="0" w:line="118"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On a quarterly basis, the Company evaluates the carrying value of its long-term investments for impairment, which includes an assessment of revenue growth, earnings performance, working capital and general market conditions. As of March 31, 2022, no adjustments to the carrying values of the Company’s long-term investments were identified as a result of this assessment. Changes in performance negatively impacting operating results and cash flows of these investments could result in the Company recording an impairment charge in future periods.</w:t>
      </w:r>
    </w:p>
    <w:p>
      <w:pPr>
        <w:spacing w:after="0" w:line="200" w:lineRule="exact"/>
        <w:rPr>
          <w:sz w:val="20"/>
          <w:szCs w:val="20"/>
          <w:color w:val="auto"/>
        </w:rPr>
      </w:pPr>
    </w:p>
    <w:p>
      <w:pPr>
        <w:spacing w:after="0" w:line="284" w:lineRule="exact"/>
        <w:rPr>
          <w:sz w:val="20"/>
          <w:szCs w:val="20"/>
          <w:color w:val="auto"/>
        </w:rPr>
      </w:pPr>
    </w:p>
    <w:p>
      <w:pPr>
        <w:ind w:left="400" w:right="9640" w:hanging="395"/>
        <w:spacing w:after="0" w:line="413" w:lineRule="auto"/>
        <w:tabs>
          <w:tab w:leader="none" w:pos="244"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 </w:t>
      </w:r>
      <w:r>
        <w:rPr>
          <w:rFonts w:ascii="Times New Roman" w:cs="Times New Roman" w:eastAsia="Times New Roman" w:hAnsi="Times New Roman"/>
          <w:sz w:val="16"/>
          <w:szCs w:val="16"/>
          <w:i w:val="1"/>
          <w:iCs w:val="1"/>
          <w:color w:val="auto"/>
        </w:rPr>
        <w:t>TurboSquid, Inc.</w:t>
      </w:r>
    </w:p>
    <w:p>
      <w:pPr>
        <w:ind w:left="400"/>
        <w:spacing w:after="0"/>
        <w:rPr>
          <w:sz w:val="20"/>
          <w:szCs w:val="20"/>
          <w:color w:val="auto"/>
        </w:rPr>
      </w:pPr>
      <w:r>
        <w:rPr>
          <w:rFonts w:ascii="Times New Roman" w:cs="Times New Roman" w:eastAsia="Times New Roman" w:hAnsi="Times New Roman"/>
          <w:sz w:val="18"/>
          <w:szCs w:val="18"/>
          <w:color w:val="auto"/>
        </w:rPr>
        <w:t>On February 1, 2021, the Company completed its acquisition of all of the outstanding shares of TurboSquid, Inc. (“TurboSquid”), for approximately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$77.3 million. The total purchase price was paid with existing cash on hand in the three months ended March 31, 2021. In connection with the acquisition,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incurred approximately $1.6 million of transaction costs, which is included in general and administrative expenses on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91" w:lineRule="exact"/>
        <w:rPr>
          <w:sz w:val="20"/>
          <w:szCs w:val="20"/>
          <w:color w:val="auto"/>
        </w:rPr>
      </w:pPr>
    </w:p>
    <w:p>
      <w:pPr>
        <w:jc w:val="both"/>
        <w:ind w:right="180" w:firstLine="395"/>
        <w:spacing w:after="0" w:line="256" w:lineRule="auto"/>
        <w:rPr>
          <w:sz w:val="20"/>
          <w:szCs w:val="20"/>
          <w:color w:val="auto"/>
        </w:rPr>
      </w:pPr>
      <w:r>
        <w:rPr>
          <w:rFonts w:ascii="Times New Roman" w:cs="Times New Roman" w:eastAsia="Times New Roman" w:hAnsi="Times New Roman"/>
          <w:sz w:val="18"/>
          <w:szCs w:val="18"/>
          <w:color w:val="auto"/>
        </w:rPr>
        <w:t>TurboSquid is a Louisiana-based company that operates a marketplace offering more than one million 3D models, a marketplace for 2D images derived from 3D objects and a digital asset management solution. The Company believes this acquisition establishes Shutterstock as the premium destination for 3D models as well as 3D models in an easy-to-use 2D format.</w:t>
      </w:r>
    </w:p>
    <w:p>
      <w:pPr>
        <w:spacing w:after="0" w:line="75"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trade names and contributor content, have weighted average useful lives of approximately 12 years, 4.7 years, 10 years and 4 years, respectively. The goodwill arising from the transaction is primarily attributable to expected operational synergies and is not deductible for income tax purposes.</w:t>
      </w:r>
    </w:p>
    <w:p>
      <w:pPr>
        <w:spacing w:after="0" w:line="75"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TurboSquid transaction was accounted for using the acquisition method and, accordingly, the results of the acquired business have been included in the Company’s results of operations from the acquisition date. The fair value of consideration transferred in this business combination has been allocated to the intangible and tangible assets acquired and liabilities assumed at the acquisition date, with the remaining unallocated amount recorded as goodwill. The identifiable intangible assets of this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acquisition are being amortized on a straight-line basis. The fair value of the customer relationships was determined using a variation of the income approach known as the multiple-period excess earnings method. The fair value of the trade names and developed technology were determined using the relief-from-royalty method, and the fair value of the contributor content was determined using the cost-to-recreate method.</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this acquisition has been allocated to the assets acquired and liabilities assumed as follows (in thousands):</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97"/>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 (in thousands):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TurboSquid</w:t>
            </w:r>
          </w:p>
        </w:tc>
      </w:tr>
      <w:tr>
        <w:trPr>
          <w:trHeight w:val="202"/>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5,165</w:t>
            </w:r>
          </w:p>
        </w:tc>
      </w:tr>
      <w:tr>
        <w:trPr>
          <w:trHeight w:val="212"/>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1,553</w:t>
            </w:r>
          </w:p>
        </w:tc>
      </w:tr>
      <w:tr>
        <w:trPr>
          <w:trHeight w:val="209"/>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w:t>
            </w:r>
          </w:p>
        </w:tc>
        <w:tc>
          <w:tcPr>
            <w:tcW w:w="2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472</w:t>
            </w:r>
          </w:p>
        </w:tc>
      </w:tr>
      <w:tr>
        <w:trPr>
          <w:trHeight w:val="212"/>
        </w:trPr>
        <w:tc>
          <w:tcPr>
            <w:tcW w:w="8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Intangible assets: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9"/>
        </w:trPr>
        <w:tc>
          <w:tcPr>
            <w:tcW w:w="8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Customer relationships</w:t>
            </w:r>
          </w:p>
        </w:tc>
        <w:tc>
          <w:tcPr>
            <w:tcW w:w="2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9,000</w:t>
            </w:r>
          </w:p>
        </w:tc>
      </w:tr>
      <w:tr>
        <w:trPr>
          <w:trHeight w:val="212"/>
        </w:trPr>
        <w:tc>
          <w:tcPr>
            <w:tcW w:w="8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name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2,200</w:t>
            </w:r>
          </w:p>
        </w:tc>
      </w:tr>
      <w:tr>
        <w:trPr>
          <w:trHeight w:val="209"/>
        </w:trPr>
        <w:tc>
          <w:tcPr>
            <w:tcW w:w="8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Developed technology</w:t>
            </w:r>
          </w:p>
        </w:tc>
        <w:tc>
          <w:tcPr>
            <w:tcW w:w="2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7,800</w:t>
            </w:r>
          </w:p>
        </w:tc>
      </w:tr>
      <w:tr>
        <w:trPr>
          <w:trHeight w:val="212"/>
        </w:trPr>
        <w:tc>
          <w:tcPr>
            <w:tcW w:w="8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Contributor content</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r>
      <w:tr>
        <w:trPr>
          <w:trHeight w:val="202"/>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240" w:type="dxa"/>
            <w:vAlign w:val="bottom"/>
          </w:tcPr>
          <w:p>
            <w:pPr>
              <w:spacing w:after="0"/>
              <w:rPr>
                <w:sz w:val="17"/>
                <w:szCs w:val="17"/>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21,500</w:t>
            </w:r>
          </w:p>
        </w:tc>
      </w:tr>
      <w:tr>
        <w:trPr>
          <w:trHeight w:val="212"/>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59,491</w:t>
            </w:r>
          </w:p>
        </w:tc>
      </w:tr>
      <w:tr>
        <w:trPr>
          <w:trHeight w:val="202"/>
        </w:trPr>
        <w:tc>
          <w:tcPr>
            <w:tcW w:w="85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 acquired</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88,181</w:t>
            </w:r>
          </w:p>
        </w:tc>
      </w:tr>
      <w:tr>
        <w:trPr>
          <w:trHeight w:val="35"/>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1"/>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w:t>
            </w:r>
          </w:p>
        </w:tc>
      </w:tr>
      <w:tr>
        <w:trPr>
          <w:trHeight w:val="209"/>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r>
      <w:tr>
        <w:trPr>
          <w:trHeight w:val="212"/>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liability</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w:t>
            </w:r>
          </w:p>
        </w:tc>
      </w:tr>
      <w:tr>
        <w:trPr>
          <w:trHeight w:val="202"/>
        </w:trPr>
        <w:tc>
          <w:tcPr>
            <w:tcW w:w="8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liabilities assumed</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(10,851)</w:t>
            </w:r>
          </w:p>
        </w:tc>
      </w:tr>
      <w:tr>
        <w:trPr>
          <w:trHeight w:val="231"/>
        </w:trPr>
        <w:tc>
          <w:tcPr>
            <w:tcW w:w="8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77,330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(in thousands) reflects the results of operations of the Company for the three months ended March 31, 2021 as if the TurboSquid acquisition had been completed on January 1, 2020, after giving effect to certain purchase accounting adjustments, primarily related to intangible assets and transaction costs. These pro forma results have been prepared for comparative purposes only and are not necessarily indicative of what the Company’s operating results would have been, had the acquisitions actually taken place at the beginning of the previous annual period: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spacing w:after="0"/>
              <w:rPr>
                <w:sz w:val="16"/>
                <w:szCs w:val="16"/>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9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1"/>
        </w:trPr>
        <w:tc>
          <w:tcPr>
            <w:tcW w:w="92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2"/>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183,281</w:t>
            </w:r>
          </w:p>
        </w:tc>
      </w:tr>
      <w:tr>
        <w:trPr>
          <w:trHeight w:val="209"/>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185,344</w:t>
            </w:r>
          </w:p>
        </w:tc>
      </w:tr>
      <w:tr>
        <w:trPr>
          <w:trHeight w:val="212"/>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9"/>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35,656</w:t>
            </w:r>
          </w:p>
        </w:tc>
      </w:tr>
      <w:tr>
        <w:trPr>
          <w:trHeight w:val="212"/>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4"/>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231,231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221,429</w:t>
            </w: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19,453</w:t>
            </w:r>
          </w:p>
        </w:tc>
      </w:tr>
      <w:tr>
        <w:trPr>
          <w:trHeight w:val="202"/>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260,904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251,120</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(210,698)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(203,046)</w:t>
            </w:r>
          </w:p>
        </w:tc>
      </w:tr>
      <w:tr>
        <w:trPr>
          <w:trHeight w:val="202"/>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50,206</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48,074</w:t>
            </w:r>
          </w:p>
        </w:tc>
      </w:tr>
      <w:tr>
        <w:trPr>
          <w:trHeight w:val="21"/>
        </w:trPr>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$8.0 million for the three months ended March 31, 2022 and 2021. Of these amounts, $7.2 million and $7.1 million are included in cost of revenue for the three months ended March 31, 2022 and 2021, respectively, and $0.8 million and $0.9 million are included in general and administrative expense for the three months ended March 31, 2022 and 2021, respectively.</w:t>
      </w:r>
    </w:p>
    <w:p>
      <w:pPr>
        <w:spacing w:after="0" w:line="180"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Depreciation and amortization expense is included in cost of revenue and general and administrative expense in the Consolidated Statements of Operations based on the nature of the asset being depreciated.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capitalized costs related to the development of internal-use software of $9.5 million and $7.0 million for the three months ended March 31,</w:t>
      </w:r>
    </w:p>
    <w:p>
      <w:pPr>
        <w:spacing w:after="0" w:line="44" w:lineRule="exact"/>
        <w:rPr>
          <w:sz w:val="20"/>
          <w:szCs w:val="20"/>
          <w:color w:val="auto"/>
        </w:rPr>
      </w:pPr>
    </w:p>
    <w:p>
      <w:pPr>
        <w:ind w:right="440"/>
        <w:spacing w:after="0" w:line="248" w:lineRule="auto"/>
        <w:rPr>
          <w:sz w:val="20"/>
          <w:szCs w:val="20"/>
          <w:color w:val="auto"/>
        </w:rPr>
      </w:pPr>
      <w:r>
        <w:rPr>
          <w:rFonts w:ascii="Times New Roman" w:cs="Times New Roman" w:eastAsia="Times New Roman" w:hAnsi="Times New Roman"/>
          <w:sz w:val="18"/>
          <w:szCs w:val="18"/>
          <w:color w:val="auto"/>
        </w:rPr>
        <w:t>2022 and 2021, respectively. Capitalized amounts are included as a component of property and equipment under computer equipment and software on the Consolidated Balance Sheets.</w:t>
      </w:r>
    </w:p>
    <w:p>
      <w:pPr>
        <w:spacing w:after="0" w:line="81" w:lineRule="exact"/>
        <w:rPr>
          <w:sz w:val="20"/>
          <w:szCs w:val="20"/>
          <w:color w:val="auto"/>
        </w:rPr>
      </w:pPr>
    </w:p>
    <w:p>
      <w:pPr>
        <w:ind w:right="360" w:firstLine="395"/>
        <w:spacing w:after="0" w:line="256" w:lineRule="auto"/>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$6.9 million and $6.7 million for the three months ended March 31, 2022 and 2021, respectively. Depreciation expense related to capitalized internal-use software is included in cost of revenue in the Consolidated Statements of Operations.</w:t>
      </w:r>
    </w:p>
    <w:p>
      <w:pPr>
        <w:spacing w:after="0" w:line="75"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As of March 31, 2022 and December 31, 2021, the Company had capitalized internal-use software of $41.6 million and $39.0 million, respectively, net of accumulated depreciation, which was included in property and equipment, net.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Company’s goodwill balance is attributable to its Content reporting unit and is tested for impairment annually on October 1 or upon a triggering event. No triggering events were identified during the three months ended March 31, 2022.</w:t>
      </w:r>
    </w:p>
    <w:p>
      <w:pPr>
        <w:spacing w:after="0" w:line="64" w:lineRule="exact"/>
        <w:rPr>
          <w:sz w:val="20"/>
          <w:szCs w:val="20"/>
          <w:color w:val="auto"/>
        </w:rPr>
      </w:pPr>
    </w:p>
    <w:p>
      <w:pPr>
        <w:ind w:right="10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the Company’s goodwill balance during the three months ended March 31,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4"/>
        </w:trPr>
        <w:tc>
          <w:tcPr>
            <w:tcW w:w="9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4"/>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219,816</w:t>
            </w:r>
          </w:p>
        </w:tc>
      </w:tr>
      <w:tr>
        <w:trPr>
          <w:trHeight w:val="209"/>
        </w:trPr>
        <w:tc>
          <w:tcPr>
            <w:tcW w:w="9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231"/>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2022</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219,176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consisted of the following as of March 31, 2022 and December 31, 2021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104"/>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1"/>
                <w:szCs w:val="11"/>
                <w:color w:val="auto"/>
              </w:rPr>
            </w:pPr>
          </w:p>
        </w:tc>
        <w:tc>
          <w:tcPr>
            <w:tcW w:w="900" w:type="dxa"/>
            <w:vAlign w:val="bottom"/>
          </w:tcPr>
          <w:p>
            <w:pPr>
              <w:jc w:val="center"/>
              <w:ind w:right="104"/>
              <w:spacing w:after="0" w:line="127"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44"/>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00" w:type="dxa"/>
            <w:vAlign w:val="bottom"/>
          </w:tcPr>
          <w:p>
            <w:pPr>
              <w:jc w:val="center"/>
              <w:ind w:right="104"/>
              <w:spacing w:after="0" w:line="127"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3"/>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4"/>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55,109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41,636</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11,656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67,438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53,726</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Contributor content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38,593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23,352</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173,055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116,859</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173,512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Amortization expense was $7.1 million and $2.1 million for the three months ended March 31, 2022 and 2021, respectively. Of these amounts, $6.5 million and $1.2 million are included in cost of revenue for the three months ended March 31, 2022 and 2021, respectively, and $0.6 million and $0.9 million are included in general and administrative expense for the three months ended March 31, 2022 and 2021, respectively.</w:t>
      </w:r>
    </w:p>
    <w:p>
      <w:pPr>
        <w:spacing w:after="0" w:line="75" w:lineRule="exact"/>
        <w:rPr>
          <w:sz w:val="20"/>
          <w:szCs w:val="20"/>
          <w:color w:val="auto"/>
        </w:rPr>
      </w:pPr>
    </w:p>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of the intangible assets for any period presented. Estimated amortization expense is: $21.2 million for the remaining nine months of 2022, $27.9 million in 2023, $20.9 million in 2024, $10.3 million in 2025, $8.3 million in 2026, $6.1 million in 2027 and $22.2 million thereafter.</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4"/>
        </w:trPr>
        <w:tc>
          <w:tcPr>
            <w:tcW w:w="7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43,529</w:t>
            </w: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21,488</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18,314</w:t>
            </w:r>
          </w:p>
        </w:tc>
      </w:tr>
      <w:tr>
        <w:trPr>
          <w:trHeight w:val="20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16,198</w:t>
            </w:r>
          </w:p>
        </w:tc>
      </w:tr>
      <w:tr>
        <w:trPr>
          <w:trHeight w:val="229"/>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74,131</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99,529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 and Equity-Based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58"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The Company issued approximately 143,000 and 207,000 shares of common stock during the three months ended March 31, 2022 and 2021, respectively, related to the exercise of stock options and the vesting of Restricted Stock Units.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58"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repurchase up to an additional $100 million of its outstanding common stock.</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The Company expects to fund future repurchases, if any,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0" w:lineRule="exact"/>
        <w:rPr>
          <w:sz w:val="20"/>
          <w:szCs w:val="20"/>
          <w:color w:val="auto"/>
        </w:rPr>
      </w:pPr>
    </w:p>
    <w:p>
      <w:pPr>
        <w:jc w:val="both"/>
        <w:ind w:right="220" w:firstLine="395"/>
        <w:spacing w:after="0" w:line="303" w:lineRule="auto"/>
        <w:rPr>
          <w:sz w:val="20"/>
          <w:szCs w:val="20"/>
          <w:color w:val="auto"/>
        </w:rPr>
      </w:pPr>
      <w:r>
        <w:rPr>
          <w:rFonts w:ascii="Times New Roman" w:cs="Times New Roman" w:eastAsia="Times New Roman" w:hAnsi="Times New Roman"/>
          <w:sz w:val="16"/>
          <w:szCs w:val="16"/>
          <w:color w:val="auto"/>
        </w:rPr>
        <w:t>During the three months ended March 31, 2022, the Company repurchased approximately 422,000 shares of its common stock at an average per share cost of $90.69. During the three months ended March 31, 2021, the Company did not repurchase any shares of its common stock under the share repurchase program. As of March 31, 2022, the Company had $34.6 million of remaining authorization for purchases under the share repurchase program.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Company declared and paid cash dividends of $0.24 per share of common stock, or $8.7 million, during the three months ended March 31, 2022, and $0.21 per share of common stock, or $7.6 million, during the three months ended March 31, 2021.</w:t>
      </w:r>
    </w:p>
    <w:p>
      <w:pPr>
        <w:spacing w:after="0" w:line="169"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On April 19, 2022, the Company’s Board of Directors declared a quarterly cash dividend of $0.24 per share of outstanding common stock payable on June 16, 2022 to stockholders of record at the close of business on June 2, 2022.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13"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equity-based compensation awards, including employee Restricted Stock Units and Performance-based Restricted Stock Units (“PRSUs” and, collectively with Restricted Stock Units, “RSUs”) and stock options granted under the Company’s Amended and Restated 2012 Omnibus Equity Incentive Plan (the “2012 Plan”), based on the fair value of each award on the grant date.</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financial statement line item included in the accompanying Consolidated Statements of Operations for the three months ended March 31, 2022 and 2021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4"/>
        </w:trPr>
        <w:tc>
          <w:tcPr>
            <w:tcW w:w="8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9"/>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1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1,229</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5,039</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6,350</w:t>
            </w:r>
          </w:p>
        </w:tc>
      </w:tr>
      <w:tr>
        <w:trPr>
          <w:trHeight w:val="229"/>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8,210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award type included in the accompanying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2022 and 2021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4"/>
        </w:trPr>
        <w:tc>
          <w:tcPr>
            <w:tcW w:w="8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8,035</w:t>
            </w:r>
          </w:p>
        </w:tc>
      </w:tr>
      <w:tr>
        <w:trPr>
          <w:trHeight w:val="229"/>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8,210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16" w:lineRule="exact"/>
        <w:rPr>
          <w:sz w:val="20"/>
          <w:szCs w:val="20"/>
          <w:color w:val="auto"/>
        </w:rPr>
      </w:pPr>
    </w:p>
    <w:p>
      <w:pPr>
        <w:ind w:right="480" w:firstLine="395"/>
        <w:spacing w:after="0" w:line="303" w:lineRule="auto"/>
        <w:rPr>
          <w:sz w:val="20"/>
          <w:szCs w:val="20"/>
          <w:color w:val="auto"/>
        </w:rPr>
      </w:pPr>
      <w:r>
        <w:rPr>
          <w:rFonts w:ascii="Times New Roman" w:cs="Times New Roman" w:eastAsia="Times New Roman" w:hAnsi="Times New Roman"/>
          <w:sz w:val="16"/>
          <w:szCs w:val="16"/>
          <w:color w:val="auto"/>
        </w:rPr>
        <w:t>During the three months ended March 31, 2022, no options to purchase shares of its common stock were granted. As of March 31, 2022, there were approximately 333,000 options vested and exercisable with a weighted average exercise price of $34.68. As of March 31, 2022, the total unrecognized compensation expense related to non-vested options was approximately $0.7 million, which is expected to be recognized through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58"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During the three months ended March 31, 2022, the Company had RSU grants, net of forfeitures, of approximately 116,000. As of March 31, 2022, there are approximately 1,035,000 non-vested RSUs outstanding with a weighted average grant-date fair value of $66.61. As of March 31, 2022, the total unrecognized non-cash equity-based compensation expense related to the non-vested RSUs was approximately $36.0 million, which is expected to be recognized through 2025.</w:t>
      </w:r>
    </w:p>
    <w:p>
      <w:pPr>
        <w:spacing w:after="0" w:line="78" w:lineRule="exact"/>
        <w:rPr>
          <w:sz w:val="20"/>
          <w:szCs w:val="20"/>
          <w:color w:val="auto"/>
        </w:rPr>
      </w:pPr>
    </w:p>
    <w:p>
      <w:pPr>
        <w:ind w:right="46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2022 and 2021, shares of common stock with an aggregate value of $10.6 million and $13.0 million were withheld upon vesting of RSUs and paid in connection with related remittance of employee withholding taxes to taxing authorities.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April 1, 2022, the Company granted approximately 591,000 RSUs with a grant date fair value of $54.1 million.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content offerings through two primary channels:</w:t>
      </w:r>
    </w:p>
    <w:p>
      <w:pPr>
        <w:spacing w:after="0" w:line="107" w:lineRule="exact"/>
        <w:rPr>
          <w:sz w:val="20"/>
          <w:szCs w:val="20"/>
          <w:color w:val="auto"/>
        </w:rPr>
      </w:pPr>
    </w:p>
    <w:p>
      <w:pPr>
        <w:ind w:right="220"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E-commerce: </w:t>
      </w:r>
      <w:r>
        <w:rPr>
          <w:rFonts w:ascii="Times New Roman" w:cs="Times New Roman" w:eastAsia="Times New Roman" w:hAnsi="Times New Roman"/>
          <w:sz w:val="16"/>
          <w:szCs w:val="16"/>
          <w:color w:val="auto"/>
        </w:rPr>
        <w:t>The majority of the Company’s customers license content directly through the Company’s self-service web properties. E-commerce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customers have the flexibility to purchase a subscription plan that is paid on a monthly or annual basis or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46" w:lineRule="exact"/>
        <w:rPr>
          <w:sz w:val="20"/>
          <w:szCs w:val="20"/>
          <w:color w:val="auto"/>
        </w:rPr>
      </w:pPr>
    </w:p>
    <w:p>
      <w:pPr>
        <w:ind w:right="4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The Company also has a base of customers with unique content, licensing and workflow needs. These customers benefit from communication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200" w:lineRule="exact"/>
        <w:rPr>
          <w:sz w:val="20"/>
          <w:szCs w:val="20"/>
          <w:color w:val="auto"/>
        </w:rPr>
      </w:pPr>
    </w:p>
    <w:p>
      <w:pPr>
        <w:spacing w:after="0" w:line="35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months ended March 31, 2022 and 2021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8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3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4"/>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127,070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118,400</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64,881</w:t>
            </w:r>
          </w:p>
        </w:tc>
      </w:tr>
      <w:tr>
        <w:trPr>
          <w:trHeight w:val="231"/>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183,281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The March 31, 2022 deferred revenue balance will be earned as content is downloaded or upon the expiration of subscription-based products, and nearly all is expected to be earned within the next twelve months. $82.6 million of total revenue recognized for the three months ended March 31, 2022 was reflected in deferred revenue as of December 31,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Income / (Expense),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and expense activity included in the accompanying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months ended March 31, 2022 and 2021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860" w:type="dxa"/>
            <w:vAlign w:val="bottom"/>
            <w:gridSpan w:val="5"/>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 (loss)</w:t>
            </w:r>
          </w:p>
        </w:tc>
        <w:tc>
          <w:tcPr>
            <w:tcW w:w="940" w:type="dxa"/>
            <w:vAlign w:val="bottom"/>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29"/>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income / (expense)</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11"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Company’s effective tax rates were 18.7% and 17.2% for the three months ended March 31, 2022 and 2021, respectively. For the three months ended March 31, 2022, the net effect of discrete items decreased the effective tax rate by 0.2%. Excluding these items, the Company’s effective tax rate would have been 18.9% for the three months ended March 31, 2022.</w:t>
      </w:r>
    </w:p>
    <w:p>
      <w:pPr>
        <w:spacing w:after="0" w:line="75"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2021, the net effect of discrete items decreased the effective tax rate by 1.8%. Excluding these items, the Company’s effective tax rate would have been 19.0% for the three months ended March 31, 2021.</w:t>
      </w:r>
    </w:p>
    <w:p>
      <w:pPr>
        <w:spacing w:after="0" w:line="64"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The Company has computed the provision for income taxes based on the estimated annual effective tax rate excluding loss jurisdictions with no tax benefit and the application of discrete items, if any, in the applicable period.</w:t>
      </w:r>
    </w:p>
    <w:p>
      <w:pPr>
        <w:spacing w:after="0" w:line="64" w:lineRule="exact"/>
        <w:rPr>
          <w:sz w:val="20"/>
          <w:szCs w:val="20"/>
          <w:color w:val="auto"/>
        </w:rPr>
      </w:pPr>
    </w:p>
    <w:p>
      <w:pPr>
        <w:ind w:right="76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2022 and 2021, uncertain tax positions recorded by the Company were not material. To the extent the remaining uncertain tax positions are ultimately recognized, the Company’s effective tax rate may be impacted in future periods.</w:t>
      </w:r>
    </w:p>
    <w:p>
      <w:pPr>
        <w:spacing w:after="0" w:line="64"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material for the three months ended March 31, 2022 and 2021.</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months ended March 31, 2022 and 2021, the Company paid net cash taxes of $1.7 million and $3.4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150"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101" w:lineRule="exact"/>
        <w:rPr>
          <w:sz w:val="20"/>
          <w:szCs w:val="20"/>
          <w:color w:val="auto"/>
        </w:rPr>
      </w:pPr>
    </w:p>
    <w:p>
      <w:pPr>
        <w:ind w:right="66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months ended March 31,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2900" w:type="dxa"/>
            <w:vAlign w:val="bottom"/>
            <w:gridSpan w:val="5"/>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26,572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3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36,303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36,336</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1"/>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06"/>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37,204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37,249</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8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shares included in the calculation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Geographic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 based on customer location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60" w:type="dxa"/>
            <w:vAlign w:val="bottom"/>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r>
      <w:tr>
        <w:trPr>
          <w:trHeight w:val="24"/>
        </w:trPr>
        <w:tc>
          <w:tcPr>
            <w:tcW w:w="7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4"/>
        </w:trPr>
        <w:tc>
          <w:tcPr>
            <w:tcW w:w="77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79,943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64,309</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62,277</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56,636</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56,695</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60" w:type="dxa"/>
            <w:vAlign w:val="bottom"/>
            <w:tcBorders>
              <w:bottom w:val="single" w:sz="8" w:color="auto"/>
            </w:tcBorders>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199,132</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183,281</w:t>
            </w:r>
          </w:p>
        </w:tc>
      </w:tr>
      <w:tr>
        <w:trPr>
          <w:trHeight w:val="21"/>
        </w:trPr>
        <w:tc>
          <w:tcPr>
            <w:tcW w:w="7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600" w:firstLine="395"/>
        <w:spacing w:after="0" w:line="268" w:lineRule="auto"/>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37% and 32% of consolidated revenue for the three months ended March 31, 2022 and 2021, respectively. No other country accounts for more than 10% of the Company’s revenue in any period presented.</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6"/>
                <w:szCs w:val="16"/>
                <w:color w:val="auto"/>
              </w:rPr>
            </w:pPr>
          </w:p>
        </w:tc>
        <w:tc>
          <w:tcPr>
            <w:tcW w:w="15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7"/>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40,465</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7,460</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50,206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48,074</w:t>
            </w:r>
          </w:p>
        </w:tc>
      </w:tr>
      <w:tr>
        <w:trPr>
          <w:trHeight w:val="21"/>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280" w:firstLine="395"/>
        <w:spacing w:after="0" w:line="303" w:lineRule="auto"/>
        <w:rPr>
          <w:sz w:val="20"/>
          <w:szCs w:val="20"/>
          <w:color w:val="auto"/>
        </w:rPr>
      </w:pPr>
      <w:r>
        <w:rPr>
          <w:rFonts w:ascii="Times New Roman" w:cs="Times New Roman" w:eastAsia="Times New Roman" w:hAnsi="Times New Roman"/>
          <w:sz w:val="16"/>
          <w:szCs w:val="16"/>
          <w:color w:val="auto"/>
        </w:rPr>
        <w:t>The United States, included in North America in the above table, accounted for 76% of total long-lived tangible assets as of March 31, 2022 and December 31, 2021. Ireland, included in Europe in the above table, accounted for 12% and 11% of total long-lived tangible assets as of March 31, 2022 and December 31, 2021, respectively. No other country accounts for more than 10% of the Company’s long-lived tangible assets in any period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 and other obligations</w:t>
      </w:r>
    </w:p>
    <w:p>
      <w:pPr>
        <w:spacing w:after="0" w:line="113"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As of March 31, 2022, the Company had total other non-lease obligations in the amount of approximately $110.3 million, which consisted primarily of minimum royalty guarantees and unconditional purchase obligations related to contracts for infrastructure and other business services. As of March 31, 2022, the Company’s other obligations for the remainder of 2022 and for the years ending December 31, 2023, 2024, 2025 and 2026 were approximately $44.3 million, $35.4 million, $26.3 million, $4.0 million and $0.3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13"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Employment Agreements</w:t>
      </w:r>
    </w:p>
    <w:p>
      <w:pPr>
        <w:spacing w:after="0" w:line="113"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As of March 31, 2022, the Company had recorded no material liabilities related to indemnification for loss contingencies. Additionally, the Company believes that it has the appropriate insurance coverage in place to adequately cover such indemnification obligations, if necessary.</w:t>
      </w:r>
    </w:p>
    <w:p>
      <w:pPr>
        <w:spacing w:after="0" w:line="85"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64" w:lineRule="exact"/>
        <w:rPr>
          <w:sz w:val="20"/>
          <w:szCs w:val="20"/>
          <w:color w:val="auto"/>
        </w:rPr>
      </w:pPr>
    </w:p>
    <w:p>
      <w:pPr>
        <w:jc w:val="both"/>
        <w:ind w:right="280" w:firstLine="395"/>
        <w:spacing w:after="0" w:line="256" w:lineRule="auto"/>
        <w:rPr>
          <w:sz w:val="20"/>
          <w:szCs w:val="20"/>
          <w:color w:val="auto"/>
        </w:rPr>
      </w:pPr>
      <w:r>
        <w:rPr>
          <w:rFonts w:ascii="Times New Roman" w:cs="Times New Roman" w:eastAsia="Times New Roman" w:hAnsi="Times New Roman"/>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2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2021 Form 10-K.</w:t>
      </w:r>
    </w:p>
    <w:p>
      <w:pPr>
        <w:spacing w:after="0" w:line="111"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2021 Form 10-K for additional discussion of the risks and uncertainties that could cause our actual results to differ materially from those expressed or implied in our forward-looking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50"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the leading global creative platform for transformative brands and media companies. Our platform brings together users and contributors of content by providing readily-searchable content that our customers pay to license and by compensating contributors as their content is licensed.</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key offerings include:</w:t>
      </w:r>
    </w:p>
    <w:p>
      <w:pPr>
        <w:spacing w:after="0" w:line="135" w:lineRule="exact"/>
        <w:rPr>
          <w:sz w:val="20"/>
          <w:szCs w:val="20"/>
          <w:color w:val="auto"/>
        </w:rPr>
      </w:pPr>
    </w:p>
    <w:p>
      <w:pPr>
        <w:ind w:left="1040" w:right="160" w:hanging="403"/>
        <w:spacing w:after="0" w:line="268" w:lineRule="auto"/>
        <w:tabs>
          <w:tab w:leader="none" w:pos="10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1040" w:hanging="403"/>
        <w:spacing w:after="0" w:line="268" w:lineRule="auto"/>
        <w:tabs>
          <w:tab w:leader="none" w:pos="10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103"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35" w:lineRule="exact"/>
        <w:rPr>
          <w:rFonts w:ascii="Times New Roman" w:cs="Times New Roman" w:eastAsia="Times New Roman" w:hAnsi="Times New Roman"/>
          <w:sz w:val="18"/>
          <w:szCs w:val="18"/>
          <w:color w:val="auto"/>
        </w:rPr>
      </w:pPr>
    </w:p>
    <w:p>
      <w:pPr>
        <w:ind w:left="1040" w:right="200" w:hanging="403"/>
        <w:spacing w:after="0" w:line="256" w:lineRule="auto"/>
        <w:tabs>
          <w:tab w:leader="none" w:pos="10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 This offering became available upon our acquisition of TurboSquid, Inc. (“TurboSquid”) on February 1, 2021.</w:t>
      </w:r>
    </w:p>
    <w:p>
      <w:pPr>
        <w:spacing w:after="0" w:line="114" w:lineRule="exact"/>
        <w:rPr>
          <w:sz w:val="20"/>
          <w:szCs w:val="20"/>
          <w:color w:val="auto"/>
        </w:rPr>
      </w:pPr>
    </w:p>
    <w:p>
      <w:pPr>
        <w:ind w:left="1040" w:right="600" w:hanging="324"/>
        <w:spacing w:after="0" w:line="256" w:lineRule="auto"/>
        <w:tabs>
          <w:tab w:leader="none" w:pos="10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Creative Design Software - consisting of our online graphic design and image editing platform. This offering became available after we completed the acquisition of substantially all of the assets and assumption of certain liabilities from PicMonkey, LLC (“PicMonkey”) on September 3, 2021.</w:t>
      </w:r>
    </w:p>
    <w:p>
      <w:pPr>
        <w:spacing w:after="0" w:line="114"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For customers seeking specialized solutions, Shutterstock Studios extends our offerings by providing custom, high-quality content matched with production tools and services at scale. Shutterstock Studios delivers end-to-end custom creative services providing data-driven content strategy and full-scale production for our customers. Shutterstock Editorial provides imagery and video content for the latest news, sports and entertainment, and Shutterstock Editorial also offers the Newsroom, for global breaking news, exclusives and archival content.</w:t>
      </w:r>
    </w:p>
    <w:p>
      <w:pPr>
        <w:spacing w:after="0" w:line="104"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In addition, in July of 2021, through our newly formed entity Shutterstock.AI, Inc. (“Shutterstock.AI”), we acquired Pattern89, Inc., Datasine Limited, and assets from Shotzr, Inc., three artificial intelligence entities that provide data driven insights through their artificial intelligence platforms. Shutterstock.AI will commercialize data assets within our content library and enable companies to grow their capabilities in computer vision and content insights. The artificial intelligence tools obtained from these acquisitions will enable us to help customers make more data-informed content decisions.</w:t>
      </w:r>
    </w:p>
    <w:p>
      <w:pPr>
        <w:spacing w:after="0" w:line="118"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Over 2.1 million active, paying customers contributed to our revenue for the twelve-month period ended March 31, 2022. As of March 31, 2022, more than 2.1 million approved contributors made their images, footage and music tracks available in our collection, which has grown to more than 405 million images and more than 25 million footage clips as of March 31, 2022. This makes our collection of content one of the largest of its kind, and we delivered 44.6 million paid downloads to our customers across all of our brands during the three months ended March 31, 2022.</w:t>
      </w:r>
    </w:p>
    <w:p>
      <w:pPr>
        <w:spacing w:after="0" w:line="118"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Through our platform, we generate revenue by licensing content to our customers. During the three months ended March 31, 2022, 64% of our revenue and the majority of our content licenses came from our E-commerce sales channel. The majority of our customers license content directly through our self-service web properties, including our shutterstock.com, bigstock.com, premiumbeat.com and turbosquid.com websites. E-commerce customers have the ability to purchase plans that</w:t>
      </w:r>
    </w:p>
    <w:p>
      <w:pPr>
        <w:spacing w:after="0" w:line="200" w:lineRule="exact"/>
        <w:rPr>
          <w:sz w:val="20"/>
          <w:szCs w:val="20"/>
          <w:color w:val="auto"/>
        </w:rPr>
      </w:pPr>
    </w:p>
    <w:p>
      <w:pPr>
        <w:spacing w:after="0" w:line="33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are paid on either a monthly or annual basis or to license content on a transactional basis. E-commerce customers generally license content under our standard or enhanced licenses, with additional licensing options available to meet customers’ individual needs.</w:t>
      </w:r>
    </w:p>
    <w:p>
      <w:pPr>
        <w:spacing w:after="0" w:line="90"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Customers in our Enterprise sales channel generally have unique content, licensing and workflow needs. These customers benefit from communication with our dedicated sales, service and research teams which provide a number of personalized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 Customers in our enterprise sales channel may also benefit from our API platform as well as access to Shutterstock Editorial, which includes our library of editorial images and videos and Shutterstock Studios, which provides data-driven content strategy, brand storytelling and full scale production services. Our Enterprise sales channel provided approximately 36% of our revenue for the three months ended March 31, 2022.</w:t>
      </w:r>
    </w:p>
    <w:p>
      <w:pPr>
        <w:spacing w:after="0" w:line="121"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As the use cases for our creative solutions expand, we believe our customers are seeking alternative means to consume our offerings. As a result, we have seen strong growth in customers purchasing monthly subscription products, including our suite of multi-asset subscriptions, launched in 2021. These multi-asset products are credit-based and enable customers to license images, footage and music in a single subscription. Our subscriptions provide for either a fixed number of content licenses or credits that may be used to download content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100"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 Royalties represent the largest component of our operating expenses, are reported within cost of revenue, tend to fluctuate proportionately with revenue and paid downloads and may be impacted by the mix of products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11"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three months ended March 31, 2022 and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ind w:right="523"/>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66"/>
        </w:trPr>
        <w:tc>
          <w:tcPr>
            <w:tcW w:w="8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56"/>
        </w:trPr>
        <w:tc>
          <w:tcPr>
            <w:tcW w:w="8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1"/>
        </w:trPr>
        <w:tc>
          <w:tcPr>
            <w:tcW w:w="8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359,000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306,000</w:t>
            </w:r>
          </w:p>
        </w:tc>
      </w:tr>
      <w:tr>
        <w:trPr>
          <w:trHeight w:val="272"/>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85.4</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r>
      <w:tr>
        <w:trPr>
          <w:trHeight w:val="30"/>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1"/>
        </w:trPr>
        <w:tc>
          <w:tcPr>
            <w:tcW w:w="8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355</w:t>
            </w:r>
          </w:p>
        </w:tc>
        <w:tc>
          <w:tcPr>
            <w:tcW w:w="4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340" w:type="dxa"/>
            <w:vAlign w:val="bottom"/>
          </w:tcPr>
          <w:p>
            <w:pPr>
              <w:spacing w:after="0"/>
              <w:rPr>
                <w:sz w:val="18"/>
                <w:szCs w:val="18"/>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44.6</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per download</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4.22</w:t>
            </w:r>
          </w:p>
        </w:tc>
        <w:tc>
          <w:tcPr>
            <w:tcW w:w="4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Content in our collection (end of period, in millions):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405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07"/>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340" w:type="dxa"/>
            <w:vAlign w:val="bottom"/>
          </w:tcPr>
          <w:p>
            <w:pPr>
              <w:spacing w:after="0"/>
              <w:rPr>
                <w:sz w:val="17"/>
                <w:szCs w:val="17"/>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25</w:t>
            </w: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w:t>
      </w:r>
    </w:p>
    <w:p>
      <w:pPr>
        <w:spacing w:after="0" w:line="160" w:lineRule="exact"/>
        <w:rPr>
          <w:sz w:val="20"/>
          <w:szCs w:val="20"/>
          <w:color w:val="auto"/>
        </w:rPr>
      </w:pPr>
    </w:p>
    <w:p>
      <w:pPr>
        <w:ind w:right="620" w:firstLine="5"/>
        <w:spacing w:after="0" w:line="199" w:lineRule="auto"/>
        <w:tabs>
          <w:tab w:leader="none" w:pos="8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For the quarter ended March 31, 2021, Subscribers, Subscriber Revenue and Average Revenue Per Download exclude customers and revenue related to our acquisitions of TurboSquid and PicMonkey. For the quarter ended March 31, 2022, Subscribers, Subscriber Revenue and Average Revenue Per Download exclude customers and revenue related to PicMonkey.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13"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We define subscribers as those customers who purchase one or more of our monthly recurring products for a continuous period of at least three months, measured as of the end of the reporting period. For periods ending on or prior to December 31, 2021, Subscribers excludes customers related to our acquisitions of TurboSquid and PicMonkey. For the three months ended March 31, 2022, subscribers excludes customers related to PicMonkey. We believe the number of subscribers is an important metric that provides insight into our monthly recurring business and its growth. We believe that an increase in our number of subscribers is an indicator of engagement in our platform and potential for future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13"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For periods ending on or prior to December 31, 2021, subscriber revenue excludes revenues related to our acquisitions of TurboSquid and PicMonkey. For the three months ended March 31, 2022, subscriber revenue excludes revenues related to PicMonkey. We believe subscriber revenue, together with our number of subscribers, provide insight into the portion of our business and growth driven by our monthly recurring products.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1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For periods ending on or prior to December 31, 2021, average revenue per customer excludes revenues and customers related to our acquisitions of TurboSquid and PicMonkey. For the three months ended March 31, 2022, average revenue per customer excludes revenues and customers related to PicMonkey. Changes in our average revenue per customer will be driven by changes in the mix of our subscription-based products and the pricing in our transactional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13"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custom content, downloads of content that are offered to customers for no charge, including our free image of the week, and downloads associated with our computer vision offering. Measuring the number of paid downloads that our customers make in a given period is important because they are the primary method of delivering licensed content, which drives a significant portion of the Company’s revenue and contributor royalties.</w:t>
      </w: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per Download</w:t>
      </w:r>
    </w:p>
    <w:p>
      <w:pPr>
        <w:spacing w:after="0" w:line="113"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define revenue per download as the amount of revenue recognized in a given period divided by the number of paid downloads in that period excluding revenue from custom content, revenue that is not derived from or associated with content licenses and revenue associated with our computer vision offering.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mix and customer utilization of our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in our Collection</w:t>
      </w:r>
    </w:p>
    <w:p>
      <w:pPr>
        <w:spacing w:after="0" w:line="11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define content in our collection as the total number of approved images (photographs, vectors and illustrations) and footage (in number of clips) in our library on shutterstock.com at the end of the period. We exclude content from this collection metric that is not uploaded directly to our site but is available for license by our customers through an application program interface, custom content and certain content that may be licensed for editorial use only. We believe that our large selection of high-quality content enables us to attract and retain customers and drives our network effect.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5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12"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We believe that the policies, assumptions and estimates associated with our revenue recognition, allowance for doubtful accounts, goodwill and intangible assets and accounting for income taxes have the greatest potential impact on our financial statements. Therefore, we consider these to be our critical accounting policies and estimates.</w:t>
      </w:r>
    </w:p>
    <w:p>
      <w:pPr>
        <w:spacing w:after="0" w:line="114"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judgments appears in our 2021 Form 10-K, under “Management’s Discussion and Analysis of Financial Condition and Results of Operations—Critical Accounting Policies and Estimates.”</w:t>
      </w:r>
    </w:p>
    <w:p>
      <w:pPr>
        <w:spacing w:after="0" w:line="64"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policies and estimates as compared to our critical accounting policies and estimates included in our 2021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distribute our content offerings through two primary channels:</w:t>
      </w:r>
    </w:p>
    <w:p>
      <w:pPr>
        <w:spacing w:after="0" w:line="107" w:lineRule="exact"/>
        <w:rPr>
          <w:sz w:val="20"/>
          <w:szCs w:val="20"/>
          <w:color w:val="auto"/>
        </w:rPr>
      </w:pPr>
    </w:p>
    <w:p>
      <w:pPr>
        <w:ind w:right="10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The majority of our customers license content directly through our self-service web properties. E-commerce customers have the flexibility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purchase a subscription-based plan that is paid on a monthly or annual basis or to license content on a transactional basis. These customers generally license content under our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75"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We also have a base of customers with unique content, licensing and workflow needs. These customers benefit from communication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dedicated sales,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months ended March 31, 2022 and 2021 are as follows (in thousands):</w:t>
      </w:r>
    </w:p>
    <w:p>
      <w:pPr>
        <w:spacing w:after="0" w:line="50"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127,070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118,400</w:t>
            </w:r>
          </w:p>
        </w:tc>
      </w:tr>
      <w:tr>
        <w:trPr>
          <w:trHeight w:val="20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64,881</w:t>
            </w:r>
          </w:p>
        </w:tc>
      </w:tr>
      <w:tr>
        <w:trPr>
          <w:trHeight w:val="231"/>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183,281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37"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19"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98"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114" w:lineRule="exact"/>
        <w:rPr>
          <w:sz w:val="20"/>
          <w:szCs w:val="20"/>
          <w:color w:val="auto"/>
        </w:rPr>
      </w:pPr>
    </w:p>
    <w:p>
      <w:pPr>
        <w:ind w:right="40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w:t>
      </w:r>
      <w:r>
        <w:rPr>
          <w:rFonts w:ascii="Times New Roman" w:cs="Times New Roman" w:eastAsia="Times New Roman" w:hAnsi="Times New Roman"/>
          <w:sz w:val="18"/>
          <w:szCs w:val="18"/>
          <w:color w:val="auto"/>
        </w:rPr>
        <w:t>Other income / (expense), net consists of non-operating costs such as foreign currency transaction gains and losses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interest income.</w:t>
      </w:r>
    </w:p>
    <w:p>
      <w:pPr>
        <w:spacing w:after="0" w:line="98" w:lineRule="exact"/>
        <w:rPr>
          <w:sz w:val="20"/>
          <w:szCs w:val="20"/>
          <w:color w:val="auto"/>
        </w:rPr>
      </w:pPr>
    </w:p>
    <w:p>
      <w:pPr>
        <w:ind w:right="2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compute income taxes using the asset and liability method, under which deferred tax assets and liabilities are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33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8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980" w:type="dxa"/>
            <w:vAlign w:val="bottom"/>
            <w:gridSpan w:val="5"/>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8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860" w:type="dxa"/>
            <w:vAlign w:val="bottom"/>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199,132</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183,281</w:t>
            </w:r>
          </w:p>
        </w:tc>
      </w:tr>
      <w:tr>
        <w:trPr>
          <w:trHeight w:val="21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61,832</w:t>
            </w:r>
          </w:p>
        </w:tc>
      </w:tr>
      <w:tr>
        <w:trPr>
          <w:trHeight w:val="21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41,921</w:t>
            </w:r>
          </w:p>
        </w:tc>
      </w:tr>
      <w:tr>
        <w:trPr>
          <w:trHeight w:val="209"/>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10,731</w:t>
            </w:r>
          </w:p>
        </w:tc>
      </w:tr>
      <w:tr>
        <w:trPr>
          <w:trHeight w:val="21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30,679</w:t>
            </w:r>
          </w:p>
        </w:tc>
      </w:tr>
      <w:tr>
        <w:trPr>
          <w:trHeight w:val="202"/>
        </w:trPr>
        <w:tc>
          <w:tcPr>
            <w:tcW w:w="82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167,214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145,163</w:t>
            </w:r>
          </w:p>
        </w:tc>
      </w:tr>
      <w:tr>
        <w:trPr>
          <w:trHeight w:val="20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38,118</w:t>
            </w:r>
          </w:p>
        </w:tc>
      </w:tr>
      <w:tr>
        <w:trPr>
          <w:trHeight w:val="20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(2,462)</w:t>
            </w:r>
          </w:p>
        </w:tc>
      </w:tr>
      <w:tr>
        <w:trPr>
          <w:trHeight w:val="20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35,656</w:t>
            </w:r>
          </w:p>
        </w:tc>
      </w:tr>
      <w:tr>
        <w:trPr>
          <w:trHeight w:val="20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6,142</w:t>
            </w:r>
          </w:p>
        </w:tc>
      </w:tr>
      <w:tr>
        <w:trPr>
          <w:trHeight w:val="229"/>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3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6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9"/>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2"/>
        </w:trPr>
        <w:tc>
          <w:tcPr>
            <w:tcW w:w="9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9"/>
        </w:trPr>
        <w:tc>
          <w:tcPr>
            <w:tcW w:w="90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12"/>
        </w:trPr>
        <w:tc>
          <w:tcPr>
            <w:tcW w:w="9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09"/>
        </w:trPr>
        <w:tc>
          <w:tcPr>
            <w:tcW w:w="90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2"/>
        </w:trPr>
        <w:tc>
          <w:tcPr>
            <w:tcW w:w="9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2"/>
        </w:trPr>
        <w:tc>
          <w:tcPr>
            <w:tcW w:w="8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06"/>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09"/>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6"/>
        </w:trPr>
        <w:tc>
          <w:tcPr>
            <w:tcW w:w="8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09"/>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29"/>
        </w:trPr>
        <w:tc>
          <w:tcPr>
            <w:tcW w:w="8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2022 and 2021</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6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5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199,132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183,281</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7,619</w:t>
            </w:r>
          </w:p>
        </w:tc>
        <w:tc>
          <w:tcPr>
            <w:tcW w:w="100" w:type="dxa"/>
            <w:vAlign w:val="bottom"/>
          </w:tcPr>
          <w:p>
            <w:pPr>
              <w:spacing w:after="0"/>
              <w:rPr>
                <w:sz w:val="18"/>
                <w:szCs w:val="18"/>
                <w:color w:val="auto"/>
              </w:rPr>
            </w:pPr>
          </w:p>
        </w:tc>
        <w:tc>
          <w:tcPr>
            <w:tcW w:w="15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27</w:t>
            </w: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00" w:type="dxa"/>
            <w:vAlign w:val="bottom"/>
          </w:tcPr>
          <w:p>
            <w:pPr>
              <w:spacing w:after="0"/>
              <w:rPr>
                <w:sz w:val="18"/>
                <w:szCs w:val="18"/>
                <w:color w:val="auto"/>
              </w:rPr>
            </w:pPr>
          </w:p>
        </w:tc>
        <w:tc>
          <w:tcPr>
            <w:tcW w:w="15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27</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5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145,163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22,051</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15</w:t>
            </w:r>
          </w:p>
        </w:tc>
      </w:tr>
      <w:tr>
        <w:trPr>
          <w:trHeight w:val="20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w:t>
            </w:r>
          </w:p>
        </w:tc>
      </w:tr>
      <w:tr>
        <w:trPr>
          <w:trHeight w:val="20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(131)</w:t>
            </w:r>
          </w:p>
        </w:tc>
      </w:tr>
      <w:tr>
        <w:trPr>
          <w:trHeight w:val="20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w:t>
            </w:r>
          </w:p>
        </w:tc>
      </w:tr>
      <w:tr>
        <w:trPr>
          <w:trHeight w:val="20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r>
      <w:tr>
        <w:trPr>
          <w:trHeight w:val="229"/>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9"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Revenue increased by $15.9 million, or 9%, to $199.1 million in the three months ended March 31, 2022 compared to the same period in 2021. On a constant currency basis, revenue increased approximately 11% in the three months ended March 31, 2022, compared to the same period in 2021.</w:t>
      </w:r>
    </w:p>
    <w:p>
      <w:pPr>
        <w:spacing w:after="0" w:line="104"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Company’s E-commerce revenues increased by 7%, to $127.1 million in the three months ended March 31, 2022, compared to the same period in 2021. On a constant currency basis, E-commerce revenues increased by 9% in the three months ended March 31, 2022, compared to the same period in 2021. During the three months ended March 31, 2022, growth in our E-commerce sales channel was driven by higher subscriber revenue and also benefited from our acquisitions of TurboSquid and PicMonkey, which were completed on February 1, 2021 and September 3, 2021, respectively.</w:t>
      </w:r>
    </w:p>
    <w:p>
      <w:pPr>
        <w:spacing w:after="0" w:line="118" w:lineRule="exact"/>
        <w:rPr>
          <w:sz w:val="20"/>
          <w:szCs w:val="20"/>
          <w:color w:val="auto"/>
        </w:rPr>
      </w:pPr>
    </w:p>
    <w:p>
      <w:pPr>
        <w:jc w:val="both"/>
        <w:ind w:right="20" w:firstLine="395"/>
        <w:spacing w:after="0" w:line="303" w:lineRule="auto"/>
        <w:rPr>
          <w:sz w:val="20"/>
          <w:szCs w:val="20"/>
          <w:color w:val="auto"/>
        </w:rPr>
      </w:pPr>
      <w:r>
        <w:rPr>
          <w:rFonts w:ascii="Times New Roman" w:cs="Times New Roman" w:eastAsia="Times New Roman" w:hAnsi="Times New Roman"/>
          <w:sz w:val="16"/>
          <w:szCs w:val="16"/>
          <w:color w:val="auto"/>
        </w:rPr>
        <w:t>The Company’s Enterprise revenues increased by 11%, to $72.1 million in the three months ended March 31, 2022, compared to the same period in 2021. On a constant currency basis, the Company’s Enterprise revenues increased by 13% in the three months ended March 31, 2022, compared to the same period in 2021. Enterprise revenue growth was driven by our multi-asset product offerings and continued momentum in Shutterstock Studios and Shutterstock Editorial.</w:t>
      </w:r>
    </w:p>
    <w:p>
      <w:pPr>
        <w:spacing w:after="0" w:line="66"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In the three months ended March 31, 2022 and 2021, we delivered 44.6 million and 45.8 million paid downloads, respectively, and our revenue per download was $4.22 and $3.96 for the three months ended March 31, 2022 and 2021, respectively. During the three months ended March 31, 2022, the increase in revenue per download was primarily due to changes in product mix.</w:t>
      </w:r>
    </w:p>
    <w:p>
      <w:pPr>
        <w:spacing w:after="0" w:line="114" w:lineRule="exact"/>
        <w:rPr>
          <w:sz w:val="20"/>
          <w:szCs w:val="20"/>
          <w:color w:val="auto"/>
        </w:rPr>
      </w:pPr>
    </w:p>
    <w:p>
      <w:pPr>
        <w:jc w:val="both"/>
        <w:ind w:right="34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$15.6 million, or 24%, to $79.9 million, revenue from Europe increased by $0.3 million, to $62.6 million and revenue from outside Europe and North America decreased by $0.1 million, to $56.6 million, in the three months ended March 31, 2022 compared to the same period in 2021.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1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increased by $7.6 million, or 12% to $69.5 million in the three months ended March 31, 2022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2021. This increase was primarily driven by increased depreciation and amortization expense driven by our recent acquisitions, in addition to higher royalty expense. We expect that our cost of revenue will continue to fluctuate in line with changes in revenue and paid downloads.</w:t>
      </w:r>
    </w:p>
    <w:p>
      <w:pPr>
        <w:spacing w:after="0" w:line="200" w:lineRule="exact"/>
        <w:rPr>
          <w:sz w:val="20"/>
          <w:szCs w:val="20"/>
          <w:color w:val="auto"/>
        </w:rPr>
      </w:pPr>
    </w:p>
    <w:p>
      <w:pPr>
        <w:spacing w:after="0" w:line="30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$11.4 million, or 27%, to $53.3 million in the three months ended March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As a percent of revenue, sales and marketing expenses increased to 27% for the three months ended March 31, 2022, from 23% for the same period in 2021. This was primarily driven by (i) $6.4 million in increased marketing spend, and (ii) $3.4 million in higher employee-related costs. We expect sales and marketing expenses to continue to fluctuate as we optimize our sales channels and invest in new customer acquisition, products and geographies.</w:t>
      </w:r>
    </w:p>
    <w:p>
      <w:pPr>
        <w:spacing w:after="0" w:line="80"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increased by $2.9 million, or 27%, to $13.6 million in the three months ended March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This increase was driven by $2.5 million in higher employee and third-party contractor related costs, net of capitalized labor, for the three months ended March 31, 2022, as compared to the same period in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0" w:lineRule="exact"/>
        <w:rPr>
          <w:sz w:val="20"/>
          <w:szCs w:val="20"/>
          <w:color w:val="auto"/>
        </w:rPr>
      </w:pPr>
    </w:p>
    <w:p>
      <w:pPr>
        <w:jc w:val="both"/>
        <w:ind w:right="14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remained flat, increasing by $0.1 million, to $30.8 million in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compared to the same period in 2021. During the three months ended March 31, 2022, general and administrative expenses included expense of $1 million related to a donation to provide direct assistance to Shutterstock’s contributors in Ukraine. This increase was offset by lower personnel costs and non-cash compensation expense.</w:t>
      </w:r>
    </w:p>
    <w:p>
      <w:pPr>
        <w:spacing w:after="0" w:line="75" w:lineRule="exact"/>
        <w:rPr>
          <w:sz w:val="20"/>
          <w:szCs w:val="20"/>
          <w:color w:val="auto"/>
        </w:rPr>
      </w:pPr>
    </w:p>
    <w:p>
      <w:pPr>
        <w:ind w:right="4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w:t>
      </w:r>
      <w:r>
        <w:rPr>
          <w:rFonts w:ascii="Times New Roman" w:cs="Times New Roman" w:eastAsia="Times New Roman" w:hAnsi="Times New Roman"/>
          <w:sz w:val="18"/>
          <w:szCs w:val="18"/>
          <w:color w:val="auto"/>
        </w:rPr>
        <w:t>In the three months ended March 31, 2022, other income / (expense), net substantially consisted of $0.7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foreign currency fluctuations. During the three months ended March 31, 2021, other income / (expense), net substantially consisted of $2.5 million of unfavorable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75" w:lineRule="exact"/>
        <w:rPr>
          <w:sz w:val="20"/>
          <w:szCs w:val="20"/>
          <w:color w:val="auto"/>
        </w:rPr>
      </w:pPr>
    </w:p>
    <w:p>
      <w:pPr>
        <w:ind w:right="6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remained flat at $6.1 million for the three months ended March 31, 2022 and 2021. Our effective tax rates were 18.7%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17.2% for the three months ended March 31, 2022 and 2021, respectively.</w:t>
      </w:r>
    </w:p>
    <w:p>
      <w:pPr>
        <w:spacing w:after="0" w:line="61"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2022, the net effect of discrete items decreased the effective tax rate by 0.2%. Excluding discrete items, our effective tax rate would have been 18.9% for the three months ended March 31, 2022.</w:t>
      </w:r>
    </w:p>
    <w:p>
      <w:pPr>
        <w:spacing w:after="0" w:line="64"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2021, the net effect of discrete items decreased the effective tax rate by 1.8%. Excluding these items, our effective tax rate would have been 19.0% for the three months ended March 31, 2021.</w:t>
      </w:r>
    </w:p>
    <w:p>
      <w:pPr>
        <w:spacing w:after="0" w:line="104"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5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Our operating results may fluctuate from quarter to quarter as a result of a variety of factors, including the effects of some seasonal trends in customer behavior.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 Additionally, because a significant portion of our revenue is derived from repeat customers who have purchased subscription plans, our revenues have historically been less volatile than if we had no subscription-based customers.</w:t>
      </w:r>
    </w:p>
    <w:p>
      <w:pPr>
        <w:spacing w:after="0" w:line="119"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including any impacts from COVID-19. As a result of these and other factors, the results of any prior quarterly or annual periods should not be relied upon as indicators of our future operating performance.</w:t>
      </w:r>
    </w:p>
    <w:p>
      <w:pPr>
        <w:spacing w:after="0" w:line="104"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See “Risks Related to the Coronavirus (“COVID-19”) Pandemic, The effect of the COVID-19 pandemic on our operations, and the operations of our customers, partners and suppliers, could have a material adverse effect on our business, financial condition, cash flows and results of operations” in Part I, Item 1A, “Risk Factors” in our 2021 Form 10-K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2022, we had cash and cash equivalents totaling $258.1 million which primarily consisted of bank balances and money market funds.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financed our operations primarily through cash flows generated from operations.</w:t>
      </w:r>
    </w:p>
    <w:p>
      <w:pPr>
        <w:spacing w:after="0" w:line="91"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content acquisitions, business combinations and asset acquisitions that enhance our strategic position, cash dividend payments and share purchases under our share repurchase program. We plan to finance our operations and capital expenses largely through cash generated by our operations. Since our results of operations are sensitive to the level of competition we face, increased competition could adversely affect our liquidity and capital resources.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declared and paid cash dividends of $0.24 per share of common stock, or $8.7 million during the three months ended March 31, 2022.</w:t>
      </w:r>
    </w:p>
    <w:p>
      <w:pPr>
        <w:spacing w:after="0" w:line="109" w:lineRule="exact"/>
        <w:rPr>
          <w:sz w:val="20"/>
          <w:szCs w:val="20"/>
          <w:color w:val="auto"/>
        </w:rPr>
      </w:pPr>
    </w:p>
    <w:p>
      <w:pPr>
        <w:ind w:right="120" w:firstLine="395"/>
        <w:spacing w:after="0" w:line="293" w:lineRule="auto"/>
        <w:rPr>
          <w:sz w:val="20"/>
          <w:szCs w:val="20"/>
          <w:color w:val="auto"/>
        </w:rPr>
      </w:pPr>
      <w:r>
        <w:rPr>
          <w:rFonts w:ascii="Times New Roman" w:cs="Times New Roman" w:eastAsia="Times New Roman" w:hAnsi="Times New Roman"/>
          <w:sz w:val="16"/>
          <w:szCs w:val="16"/>
          <w:color w:val="auto"/>
        </w:rPr>
        <w:t>On April 19, 2022, our Board of Directors declared a quarterly cash dividend of $0.24 per share of outstanding common stock payable on June 16, 2022 to stockholders of record at the close of business on June 2, 2022.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8" w:lineRule="exact"/>
        <w:rPr>
          <w:sz w:val="20"/>
          <w:szCs w:val="20"/>
          <w:color w:val="auto"/>
        </w:rPr>
      </w:pPr>
    </w:p>
    <w:p>
      <w:pPr>
        <w:ind w:right="40" w:firstLine="395"/>
        <w:spacing w:after="0" w:line="286" w:lineRule="auto"/>
        <w:rPr>
          <w:sz w:val="20"/>
          <w:szCs w:val="20"/>
          <w:color w:val="auto"/>
        </w:rPr>
      </w:pPr>
      <w:r>
        <w:rPr>
          <w:rFonts w:ascii="Times New Roman" w:cs="Times New Roman" w:eastAsia="Times New Roman" w:hAnsi="Times New Roman"/>
          <w:sz w:val="16"/>
          <w:szCs w:val="16"/>
          <w:color w:val="auto"/>
        </w:rPr>
        <w:t>In October 2015, our Board of Directors approved a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53" w:lineRule="exact"/>
        <w:rPr>
          <w:sz w:val="20"/>
          <w:szCs w:val="20"/>
          <w:color w:val="auto"/>
        </w:rPr>
      </w:pPr>
    </w:p>
    <w:p>
      <w:pPr>
        <w:ind w:firstLine="395"/>
        <w:spacing w:after="0" w:line="303" w:lineRule="auto"/>
        <w:rPr>
          <w:sz w:val="20"/>
          <w:szCs w:val="20"/>
          <w:color w:val="auto"/>
        </w:rPr>
      </w:pPr>
      <w:r>
        <w:rPr>
          <w:rFonts w:ascii="Times New Roman" w:cs="Times New Roman" w:eastAsia="Times New Roman" w:hAnsi="Times New Roman"/>
          <w:sz w:val="16"/>
          <w:szCs w:val="16"/>
          <w:color w:val="auto"/>
        </w:rPr>
        <w:t>As of March 31, 2022, we have repurchased approximately 3.2 million shares of our common stock under the share repurchase program at an average per-share cost of $51.48. During the three months ended March 31, 2022, we repurchased approximately 422,000 shares of our common stock at an average per share cost of $90.69. As of March 31, 2022, we had $34.6 million of remaining authorization for purchases under the share repurchase program.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58"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Upon the vesting of restricted stock units (“RSUs”), the Company has a practice of net share settlement, to cover any required withholding taxes by retaining the number of shares with a value equal to the amount of the tax and remitting an equal amount of cash to the appropriate taxing authorities, rather than requiring employees to sell a portion of the shares that they receive upon vesting to fund the required withholding taxes (“sell-to-cover”). The net share settlement approach has increased our cash outflows compared to the cash outflows under the sell-to-cover approach. In addition, as compared to the sell-to-cover approach, net share settlement has resulted in fewer shares being issued into the market as employees’ RSUs vest, thereby reducing the dilutive impact of our equity-based compensation programs on stockholders.</w:t>
      </w:r>
    </w:p>
    <w:p>
      <w:pPr>
        <w:spacing w:after="0" w:line="80" w:lineRule="exact"/>
        <w:rPr>
          <w:sz w:val="20"/>
          <w:szCs w:val="20"/>
          <w:color w:val="auto"/>
        </w:rPr>
      </w:pPr>
    </w:p>
    <w:p>
      <w:pPr>
        <w:ind w:right="2040" w:firstLine="395"/>
        <w:spacing w:after="0" w:line="39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2022, the Company paid $18.5 million related to employee taxes on RSU vestings. </w:t>
      </w:r>
      <w:r>
        <w:rPr>
          <w:rFonts w:ascii="Times New Roman" w:cs="Times New Roman" w:eastAsia="Times New Roman" w:hAnsi="Times New Roman"/>
          <w:sz w:val="18"/>
          <w:szCs w:val="18"/>
          <w:b w:val="1"/>
          <w:bCs w:val="1"/>
          <w:i w:val="1"/>
          <w:iCs w:val="1"/>
          <w:color w:val="auto"/>
        </w:rPr>
        <w:t>Sources and Uses of Funds</w:t>
      </w:r>
    </w:p>
    <w:p>
      <w:pPr>
        <w:spacing w:after="0" w:line="1"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6"/>
          <w:szCs w:val="16"/>
          <w:color w:val="auto"/>
        </w:rPr>
        <w:t>We believe, based on our current operating plan, that our cash and cash equivalents, and cash from operations, will be sufficient to meet our anticipated cash needs for at least the next 12 months. Future capital expenditures could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 See Note 13 to our Unaudited Consolidated Financial Statements included in Part I, Item 1 of this Quarterly Report on Form 10-Q for information regarding our existing capital commitments as of March 31, 2022.</w:t>
      </w:r>
    </w:p>
    <w:p>
      <w:pPr>
        <w:spacing w:after="0" w:line="200" w:lineRule="exact"/>
        <w:rPr>
          <w:sz w:val="20"/>
          <w:szCs w:val="20"/>
          <w:color w:val="auto"/>
        </w:rPr>
      </w:pPr>
    </w:p>
    <w:p>
      <w:pPr>
        <w:spacing w:after="0" w:line="28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three months ended March 31, 2022 and 2021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425"/>
              <w:spacing w:after="0"/>
              <w:rPr>
                <w:sz w:val="20"/>
                <w:szCs w:val="20"/>
                <w:color w:val="auto"/>
              </w:rPr>
            </w:pPr>
            <w:r>
              <w:rPr>
                <w:rFonts w:ascii="Times New Roman" w:cs="Times New Roman" w:eastAsia="Times New Roman" w:hAnsi="Times New Roman"/>
                <w:sz w:val="16"/>
                <w:szCs w:val="16"/>
                <w:color w:val="auto"/>
                <w:w w:val="99"/>
              </w:rPr>
              <w:t>22,723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383"/>
              <w:spacing w:after="0"/>
              <w:rPr>
                <w:sz w:val="20"/>
                <w:szCs w:val="20"/>
                <w:color w:val="auto"/>
              </w:rPr>
            </w:pPr>
            <w:r>
              <w:rPr>
                <w:rFonts w:ascii="Times New Roman" w:cs="Times New Roman" w:eastAsia="Times New Roman" w:hAnsi="Times New Roman"/>
                <w:sz w:val="16"/>
                <w:szCs w:val="16"/>
                <w:color w:val="auto"/>
                <w:w w:val="99"/>
              </w:rPr>
              <w:t>35,828</w:t>
            </w: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405"/>
              <w:spacing w:after="0"/>
              <w:rPr>
                <w:sz w:val="20"/>
                <w:szCs w:val="20"/>
                <w:color w:val="auto"/>
              </w:rPr>
            </w:pPr>
            <w:r>
              <w:rPr>
                <w:rFonts w:ascii="Times New Roman" w:cs="Times New Roman" w:eastAsia="Times New Roman" w:hAnsi="Times New Roman"/>
                <w:sz w:val="16"/>
                <w:szCs w:val="16"/>
                <w:color w:val="auto"/>
                <w:w w:val="98"/>
              </w:rPr>
              <w:t>(12,525)</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ind w:left="363"/>
              <w:spacing w:after="0"/>
              <w:rPr>
                <w:sz w:val="20"/>
                <w:szCs w:val="20"/>
                <w:color w:val="auto"/>
              </w:rPr>
            </w:pPr>
            <w:r>
              <w:rPr>
                <w:rFonts w:ascii="Times New Roman" w:cs="Times New Roman" w:eastAsia="Times New Roman" w:hAnsi="Times New Roman"/>
                <w:sz w:val="16"/>
                <w:szCs w:val="16"/>
                <w:color w:val="auto"/>
                <w:w w:val="98"/>
              </w:rPr>
              <w:t>(81,213)</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405"/>
              <w:spacing w:after="0"/>
              <w:rPr>
                <w:sz w:val="20"/>
                <w:szCs w:val="20"/>
                <w:color w:val="auto"/>
              </w:rPr>
            </w:pPr>
            <w:r>
              <w:rPr>
                <w:rFonts w:ascii="Times New Roman" w:cs="Times New Roman" w:eastAsia="Times New Roman" w:hAnsi="Times New Roman"/>
                <w:sz w:val="16"/>
                <w:szCs w:val="16"/>
                <w:color w:val="auto"/>
                <w:w w:val="98"/>
              </w:rPr>
              <w:t>(65,574)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363"/>
              <w:spacing w:after="0"/>
              <w:rPr>
                <w:sz w:val="20"/>
                <w:szCs w:val="20"/>
                <w:color w:val="auto"/>
              </w:rPr>
            </w:pPr>
            <w:r>
              <w:rPr>
                <w:rFonts w:ascii="Times New Roman" w:cs="Times New Roman" w:eastAsia="Times New Roman" w:hAnsi="Times New Roman"/>
                <w:sz w:val="16"/>
                <w:szCs w:val="16"/>
                <w:color w:val="auto"/>
                <w:w w:val="98"/>
              </w:rPr>
              <w:t>(19,371)</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8"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101" w:lineRule="exact"/>
        <w:rPr>
          <w:sz w:val="20"/>
          <w:szCs w:val="20"/>
          <w:color w:val="auto"/>
        </w:rPr>
      </w:pPr>
    </w:p>
    <w:p>
      <w:pPr>
        <w:jc w:val="both"/>
        <w:ind w:right="140" w:firstLine="39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$22.7 million for the three months ended March 31, 2022, compared to $35.8 million for the three months ended March 31, 2021. In the three months ended March 31, 2022, operating cash flows were unfavorably impacted from a reduction in operating income and changes in the timing of payments pertaining to operating expenses, which can cause operating cash flow to fluctuate from period to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50"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2022 was $12.5 million, consisting primarily of (i) capital expenditures of $11.8 million for internal-use software and website development costs and purchases of software and equipment, and (ii) $0.7 million paid to acquire the rights to distribute certain digital content into perpetuity.</w:t>
      </w:r>
    </w:p>
    <w:p>
      <w:pPr>
        <w:spacing w:after="0" w:line="75" w:lineRule="exact"/>
        <w:rPr>
          <w:sz w:val="20"/>
          <w:szCs w:val="20"/>
          <w:color w:val="auto"/>
        </w:rPr>
      </w:pPr>
    </w:p>
    <w:p>
      <w:pPr>
        <w:ind w:right="420" w:firstLine="395"/>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in the three months ended March 31, 2021 was $81.2 million, consisting primarily of cash used in the acquisition of TurboSquid of $72.2 million, net of cash acquired and capital expenditures of $8.5 million for internal-use software and website development costs and purchases of software and equipment.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58" w:lineRule="exact"/>
        <w:rPr>
          <w:sz w:val="20"/>
          <w:szCs w:val="20"/>
          <w:color w:val="auto"/>
        </w:rPr>
      </w:pPr>
    </w:p>
    <w:p>
      <w:pPr>
        <w:jc w:val="both"/>
        <w:ind w:right="440" w:firstLine="39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March 31, 2022 was $65.6 million, consisting of (i) $38.4 million in connection with the repurchase of common stock under our share repurchase program; (ii) $18.5 million paid in settlement of tax withholding obligations related to employee stock-based compensation awards, and $8.7 million, related to the payment of the quarterly cash dividend.</w:t>
      </w:r>
    </w:p>
    <w:p>
      <w:pPr>
        <w:spacing w:after="0" w:line="75"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March 31, 2021 was $19.4 million, consisting primarily of $13.0 million, paid in settlement of tax withholding obligations related to employee stock-based compensation awards and $7.6 million, related to the payment of the quarterly cash dividend. These amounts were partially offset by approximately $1.3 million received from the issuance of common stock in connection with the exercise of stock options.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lease real estate under operating lease agreements that expire on various dates during the period from 2022 through 2029. We do not have any material finance lease obligations and our property, equipment and software have been purchased primarily with cash. We do not anticipate any difficulties in renewing those leases and co-location agreements that expire within the next several years and that we currently plan to renew, or in leasing other space or hosting facilities, if required.</w:t>
      </w:r>
    </w:p>
    <w:p>
      <w:pPr>
        <w:spacing w:after="0" w:line="78"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On March 21, 2013, we entered into an operating lease agreement to lease our headquarters in New York City, which was amended in 2016. The aggregate undiscounted future minimum lease payments under the lease, as amended, are approximately $49.0 million. We are also party to a letter of credit as a security deposit for this leased facility in the amount of $1.7 million.</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Additionally, as of March 31, 2022, aggregate undiscounted future minimum lease payments under other operating leases are approximately $4.8 million.</w:t>
      </w:r>
    </w:p>
    <w:p>
      <w:pPr>
        <w:spacing w:after="0" w:line="132"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We enter into unconditional purchase obligations related to contracts for cloud-based services, infrastructure and other business services as well as minimum royalty guarantees in connection with certain content licenses. As of March 31, 2022, our guaranteed royalty payments and unconditional purchase obligations for the remainder of 2022 and for the fiscal years ending December 31, 2023, 2024, 2025 and 2026 were approximately $44.3 million, $35.4 million, $26.3 million, $4.0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3"/>
            <w:shd w:val="clear" w:color="auto" w:fill="CCEEFF"/>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4"/>
        </w:trPr>
        <w:tc>
          <w:tcPr>
            <w:tcW w:w="80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w:t>
            </w:r>
          </w:p>
        </w:tc>
        <w:tc>
          <w:tcPr>
            <w:tcW w:w="36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shd w:val="clear" w:color="auto" w:fill="CCEEFF"/>
          </w:tcPr>
          <w:p>
            <w:pPr>
              <w:spacing w:after="0"/>
              <w:rPr>
                <w:sz w:val="17"/>
                <w:szCs w:val="17"/>
                <w:color w:val="auto"/>
              </w:rPr>
            </w:pP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54,809</w:t>
            </w:r>
          </w:p>
        </w:tc>
        <w:tc>
          <w:tcPr>
            <w:tcW w:w="54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56,419</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37,184</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36,636</w:t>
            </w: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10,214</w:t>
            </w:r>
          </w:p>
        </w:tc>
        <w:tc>
          <w:tcPr>
            <w:tcW w:w="54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26,791</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bl>
    <w:p>
      <w:pPr>
        <w:spacing w:after="0" w:line="200" w:lineRule="exact"/>
        <w:rPr>
          <w:sz w:val="20"/>
          <w:szCs w:val="20"/>
          <w:color w:val="auto"/>
        </w:rPr>
      </w:pPr>
    </w:p>
    <w:p>
      <w:pPr>
        <w:spacing w:after="0" w:line="268" w:lineRule="exact"/>
        <w:rPr>
          <w:sz w:val="20"/>
          <w:szCs w:val="20"/>
          <w:color w:val="auto"/>
        </w:rPr>
      </w:pPr>
    </w:p>
    <w:p>
      <w:pPr>
        <w:ind w:right="200" w:firstLine="395"/>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(expressed as a percentage)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2"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82" w:lineRule="exact"/>
        <w:rPr>
          <w:sz w:val="20"/>
          <w:szCs w:val="20"/>
          <w:color w:val="auto"/>
        </w:rPr>
      </w:pPr>
    </w:p>
    <w:p>
      <w:pPr>
        <w:ind w:right="80" w:firstLine="395"/>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EBITDA, adjusted EBITDA margin, adjusted net income, adjusted net income per diluted common share, revenue growth (including by distribution channel) on a constant currency basis (expressed as a percentage) and free cash flow are useful to investors because these measures enable investors to analyze our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our underlying operating performance, and that revenue growth (including by distribution channel) on a constant currency basis, provides useful information to investors by eliminating the effect of foreign currency fluctuations that are not directly attributable to our operating performance. Management also believes that providing these non-GAAP financial measures enhances the comparability for investors in assessing our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for making resource allocation decisions.</w:t>
      </w:r>
    </w:p>
    <w:p>
      <w:pPr>
        <w:spacing w:after="0" w:line="87"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w:t>
      </w: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GAAP financial measures should be considered in addition to other financial performance measures, including various cash flow metrics, net income and our other GAAP results.</w:t>
      </w:r>
    </w:p>
    <w:p>
      <w:pPr>
        <w:spacing w:after="0" w:line="64"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 distribution channel) on a constant currency basis and free cash flow, and the most comparable financial measures calculated and presented in accordance with GAAP, are presented below.</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58"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 xml:space="preserve">We define adjusted EBITDA as net income adjusted for depreciation and amortization, non-cash equity-based compensation, foreign currency transaction gains and losses, interest income and expense and income taxes. We define adjusted EBITDA margin as </w:t>
      </w:r>
      <w:r>
        <w:rPr>
          <w:rFonts w:ascii="Times New Roman" w:cs="Times New Roman" w:eastAsia="Times New Roman" w:hAnsi="Times New Roman"/>
          <w:sz w:val="16"/>
          <w:szCs w:val="16"/>
          <w:color w:val="auto"/>
        </w:rPr>
        <w:t>the ratio of adjusted EBITDA to revenue.</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8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26,572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29,514</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15,065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10,091</w:t>
            </w:r>
          </w:p>
        </w:tc>
        <w:tc>
          <w:tcPr>
            <w:tcW w:w="0" w:type="dxa"/>
            <w:vAlign w:val="bottom"/>
          </w:tcPr>
          <w:p>
            <w:pPr>
              <w:spacing w:after="0"/>
              <w:rPr>
                <w:sz w:val="1"/>
                <w:szCs w:val="1"/>
                <w:color w:val="auto"/>
              </w:rPr>
            </w:pPr>
          </w:p>
        </w:tc>
      </w:tr>
      <w:tr>
        <w:trPr>
          <w:trHeight w:val="209"/>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60" w:type="dxa"/>
            <w:vAlign w:val="bottom"/>
          </w:tcPr>
          <w:p>
            <w:pPr>
              <w:spacing w:after="0"/>
              <w:rPr>
                <w:sz w:val="18"/>
                <w:szCs w:val="18"/>
                <w:color w:val="auto"/>
              </w:rPr>
            </w:pP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7,826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8,210</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Other adjustments, net</w:t>
            </w:r>
            <w:r>
              <w:rPr>
                <w:rFonts w:ascii="Times New Roman" w:cs="Times New Roman" w:eastAsia="Times New Roman" w:hAnsi="Times New Roman"/>
                <w:sz w:val="20"/>
                <w:szCs w:val="20"/>
                <w:color w:val="auto"/>
                <w:vertAlign w:val="superscript"/>
              </w:rPr>
              <w:t>(1)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2,462</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6,104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6,142</w:t>
            </w:r>
          </w:p>
        </w:tc>
        <w:tc>
          <w:tcPr>
            <w:tcW w:w="0" w:type="dxa"/>
            <w:vAlign w:val="bottom"/>
          </w:tcPr>
          <w:p>
            <w:pPr>
              <w:spacing w:after="0"/>
              <w:rPr>
                <w:sz w:val="1"/>
                <w:szCs w:val="1"/>
                <w:color w:val="auto"/>
              </w:rPr>
            </w:pPr>
          </w:p>
        </w:tc>
      </w:tr>
      <w:tr>
        <w:trPr>
          <w:trHeight w:val="231"/>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54,809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56,419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27.5 %</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30.8 %</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left="320" w:hanging="315"/>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adjustments, net are foreign currency transaction gains and losses and interest income and expense.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58" w:lineRule="exact"/>
        <w:rPr>
          <w:sz w:val="20"/>
          <w:szCs w:val="20"/>
          <w:color w:val="auto"/>
        </w:rPr>
      </w:pPr>
    </w:p>
    <w:p>
      <w:pPr>
        <w:ind w:right="160" w:firstLine="395"/>
        <w:spacing w:after="0" w:line="247" w:lineRule="auto"/>
        <w:rPr>
          <w:sz w:val="20"/>
          <w:szCs w:val="20"/>
          <w:color w:val="auto"/>
        </w:rPr>
      </w:pPr>
      <w:r>
        <w:rPr>
          <w:rFonts w:ascii="Times New Roman" w:cs="Times New Roman" w:eastAsia="Times New Roman" w:hAnsi="Times New Roman"/>
          <w:sz w:val="18"/>
          <w:szCs w:val="18"/>
          <w:color w:val="auto"/>
        </w:rPr>
        <w:t xml:space="preserve">We define adjusted net income as net income adjusted for the impact of non-cash equity-based compensation, the amortization of acquisition-related intangible assets and the estimated tax impact of such adjustments. We define adjusted net income per diluted common share as </w:t>
      </w:r>
      <w:r>
        <w:rPr>
          <w:rFonts w:ascii="Times New Roman" w:cs="Times New Roman" w:eastAsia="Times New Roman" w:hAnsi="Times New Roman"/>
          <w:sz w:val="16"/>
          <w:szCs w:val="16"/>
          <w:color w:val="auto"/>
        </w:rPr>
        <w:t>adjusted net income divided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weighted average diluted shares.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r>
      <w:tr>
        <w:trPr>
          <w:trHeight w:val="184"/>
        </w:trPr>
        <w:tc>
          <w:tcPr>
            <w:tcW w:w="8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3"/>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6"/>
                <w:szCs w:val="16"/>
                <w:color w:val="auto"/>
              </w:rPr>
            </w:pPr>
          </w:p>
        </w:tc>
      </w:tr>
      <w:tr>
        <w:trPr>
          <w:trHeight w:val="65"/>
        </w:trPr>
        <w:tc>
          <w:tcPr>
            <w:tcW w:w="8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29,514</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8,210</w:t>
            </w:r>
          </w:p>
        </w:tc>
      </w:tr>
      <w:tr>
        <w:trPr>
          <w:trHeight w:val="211"/>
        </w:trPr>
        <w:tc>
          <w:tcPr>
            <w:tcW w:w="826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(1,929)</w:t>
            </w:r>
          </w:p>
        </w:tc>
      </w:tr>
      <w:tr>
        <w:trPr>
          <w:trHeight w:val="21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 amortization expense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r>
      <w:tr>
        <w:trPr>
          <w:trHeight w:val="211"/>
        </w:trPr>
        <w:tc>
          <w:tcPr>
            <w:tcW w:w="8260" w:type="dxa"/>
            <w:vAlign w:val="bottom"/>
            <w:tcBorders>
              <w:bottom w:val="single" w:sz="8" w:color="CCEEFF"/>
            </w:tcBorders>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36,636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r>
    </w:tbl>
    <w:p>
      <w:pPr>
        <w:spacing w:after="0" w:line="175"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distribution channel) on a Constant Currency Basis</w:t>
      </w:r>
    </w:p>
    <w:p>
      <w:pPr>
        <w:spacing w:after="0" w:line="58"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3"/>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6"/>
                <w:szCs w:val="16"/>
                <w:color w:val="auto"/>
              </w:rPr>
            </w:pPr>
          </w:p>
        </w:tc>
      </w:tr>
      <w:tr>
        <w:trPr>
          <w:trHeight w:val="65"/>
        </w:trPr>
        <w:tc>
          <w:tcPr>
            <w:tcW w:w="8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199,132</w:t>
            </w:r>
          </w:p>
        </w:tc>
        <w:tc>
          <w:tcPr>
            <w:tcW w:w="56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183,281</w:t>
            </w: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36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9 %</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14 %</w:t>
            </w:r>
          </w:p>
        </w:tc>
      </w:tr>
      <w:tr>
        <w:trPr>
          <w:trHeight w:val="211"/>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11 %</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r>
      <w:tr>
        <w:trPr>
          <w:trHeight w:val="53"/>
        </w:trPr>
        <w:tc>
          <w:tcPr>
            <w:tcW w:w="8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 reported revenue (in thousands)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127,070</w:t>
            </w:r>
          </w:p>
        </w:tc>
        <w:tc>
          <w:tcPr>
            <w:tcW w:w="56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118,400</w:t>
            </w: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E-commerce revenue growth</w:t>
            </w:r>
          </w:p>
        </w:tc>
        <w:tc>
          <w:tcPr>
            <w:tcW w:w="36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7 %</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19 %</w:t>
            </w:r>
          </w:p>
        </w:tc>
      </w:tr>
      <w:tr>
        <w:trPr>
          <w:trHeight w:val="211"/>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E-commerce revenue growth on a constant currency basis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9 %</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r>
      <w:tr>
        <w:trPr>
          <w:trHeight w:val="92"/>
        </w:trPr>
        <w:tc>
          <w:tcPr>
            <w:tcW w:w="8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Enterprise reported revenue (in thousands)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72,062</w:t>
            </w:r>
          </w:p>
        </w:tc>
        <w:tc>
          <w:tcPr>
            <w:tcW w:w="56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64,881</w:t>
            </w: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Enterprise revenue growth</w:t>
            </w:r>
          </w:p>
        </w:tc>
        <w:tc>
          <w:tcPr>
            <w:tcW w:w="36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11 %</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r>
      <w:tr>
        <w:trPr>
          <w:trHeight w:val="211"/>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Enterprise revenue growth on a constant currency basis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13 %</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define free cash flow as our cash provided by operating activities, adjusted for capital expenditures and content acquisition.</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each of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r>
      <w:tr>
        <w:trPr>
          <w:trHeight w:val="184"/>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gridSpan w:val="3"/>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6"/>
                <w:szCs w:val="16"/>
                <w:color w:val="auto"/>
              </w:rPr>
            </w:pPr>
          </w:p>
        </w:tc>
      </w:tr>
      <w:tr>
        <w:trPr>
          <w:trHeight w:val="65"/>
        </w:trPr>
        <w:tc>
          <w:tcPr>
            <w:tcW w:w="8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35,828</w:t>
            </w:r>
          </w:p>
        </w:tc>
      </w:tr>
      <w:tr>
        <w:trPr>
          <w:trHeight w:val="209"/>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(11,775)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(8,548)</w:t>
            </w: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0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10,214</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26,791</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3"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33% and 36% for the three months ended March 31, 2022 and 2021,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three months ended March 31, 2022, we estimate that a 10% change in the exchange rate of the U.S. dollar against all foreign currency denominated revenues would result in an approximately 3% impact on our revenue.</w:t>
      </w:r>
    </w:p>
    <w:p>
      <w:pPr>
        <w:spacing w:after="0" w:line="12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66"/>
        </w:trPr>
        <w:tc>
          <w:tcPr>
            <w:tcW w:w="7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800" w:type="dxa"/>
            <w:vAlign w:val="bottom"/>
            <w:tcBorders>
              <w:bottom w:val="single" w:sz="8" w:color="auto"/>
            </w:tcBorders>
          </w:tcPr>
          <w:p>
            <w:pPr>
              <w:spacing w:after="0"/>
              <w:rPr>
                <w:sz w:val="14"/>
                <w:szCs w:val="14"/>
                <w:color w:val="auto"/>
              </w:rPr>
            </w:pPr>
          </w:p>
        </w:tc>
      </w:tr>
      <w:tr>
        <w:trPr>
          <w:trHeight w:val="123"/>
        </w:trPr>
        <w:tc>
          <w:tcPr>
            <w:tcW w:w="7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2"/>
              <w:spacing w:after="0" w:line="123" w:lineRule="exact"/>
              <w:rPr>
                <w:sz w:val="20"/>
                <w:szCs w:val="20"/>
                <w:color w:val="auto"/>
              </w:rPr>
            </w:pPr>
            <w:r>
              <w:rPr>
                <w:rFonts w:ascii="Times New Roman" w:cs="Times New Roman" w:eastAsia="Times New Roman" w:hAnsi="Times New Roman"/>
                <w:sz w:val="12"/>
                <w:szCs w:val="12"/>
                <w:b w:val="1"/>
                <w:bCs w:val="1"/>
                <w:color w:val="auto"/>
                <w:w w:val="99"/>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23" w:lineRule="exact"/>
              <w:rPr>
                <w:sz w:val="20"/>
                <w:szCs w:val="20"/>
                <w:color w:val="auto"/>
              </w:rPr>
            </w:pPr>
            <w:r>
              <w:rPr>
                <w:rFonts w:ascii="Times New Roman" w:cs="Times New Roman" w:eastAsia="Times New Roman" w:hAnsi="Times New Roman"/>
                <w:sz w:val="12"/>
                <w:szCs w:val="12"/>
                <w:b w:val="1"/>
                <w:bCs w:val="1"/>
                <w:color w:val="auto"/>
              </w:rPr>
              <w:t>Originating</w:t>
            </w:r>
          </w:p>
        </w:tc>
      </w:tr>
      <w:tr>
        <w:trPr>
          <w:trHeight w:val="171"/>
        </w:trPr>
        <w:tc>
          <w:tcPr>
            <w:tcW w:w="7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209"/>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37,618</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33,015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37,890</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31,955</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11"/>
        </w:trPr>
        <w:tc>
          <w:tcPr>
            <w:tcW w:w="726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0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65,269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1"/>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133,863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117,451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r>
      <w:tr>
        <w:trPr>
          <w:trHeight w:val="231"/>
        </w:trPr>
        <w:tc>
          <w:tcPr>
            <w:tcW w:w="7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183,281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13"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did not have any long-term borrowings as of March 31,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3"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evaluated the effectiveness of our disclosure controls and procedures as of March 31, 2022.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60" w:lineRule="exact"/>
        <w:rPr>
          <w:sz w:val="20"/>
          <w:szCs w:val="20"/>
          <w:color w:val="auto"/>
        </w:rPr>
      </w:pPr>
    </w:p>
    <w:p>
      <w:pPr>
        <w:ind w:right="660"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2022, our Chief Executive Officer and Chief Financial Officer concluded that, as of such date, our disclosure controls and procedures were effective at the reasonable assurance level.</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ind w:right="380" w:firstLine="395"/>
        <w:spacing w:after="0" w:line="25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0" w:lineRule="exact"/>
        <w:rPr>
          <w:sz w:val="20"/>
          <w:szCs w:val="20"/>
          <w:color w:val="auto"/>
        </w:rPr>
      </w:pPr>
    </w:p>
    <w:p>
      <w:pPr>
        <w:ind w:right="240" w:firstLine="395"/>
        <w:spacing w:after="0" w:line="286" w:lineRule="auto"/>
        <w:rPr>
          <w:sz w:val="20"/>
          <w:szCs w:val="20"/>
          <w:color w:val="auto"/>
        </w:rPr>
      </w:pPr>
      <w:r>
        <w:rPr>
          <w:rFonts w:ascii="Times New Roman" w:cs="Times New Roman" w:eastAsia="Times New Roman" w:hAnsi="Times New Roman"/>
          <w:sz w:val="16"/>
          <w:szCs w:val="16"/>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380" w:firstLine="395"/>
        <w:spacing w:after="0" w:line="293" w:lineRule="auto"/>
        <w:rPr>
          <w:sz w:val="20"/>
          <w:szCs w:val="20"/>
          <w:color w:val="auto"/>
        </w:rPr>
      </w:pPr>
      <w:r>
        <w:rPr>
          <w:rFonts w:ascii="Times New Roman" w:cs="Times New Roman" w:eastAsia="Times New Roman" w:hAnsi="Times New Roman"/>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2021 Form 10-K, which could materially affect our business, financial condition or future results. During the three months ended March 31, 2022, there were no material changes to these risk factors as described in our 2021 Form 10-K.</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0" w:type="dxa"/>
            <w:vAlign w:val="bottom"/>
          </w:tcPr>
          <w:p>
            <w:pPr>
              <w:spacing w:after="0"/>
              <w:rPr>
                <w:sz w:val="1"/>
                <w:szCs w:val="1"/>
                <w:color w:val="auto"/>
              </w:rPr>
            </w:pPr>
          </w:p>
        </w:tc>
      </w:tr>
      <w:tr>
        <w:trPr>
          <w:trHeight w:val="316"/>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w:t>
            </w:r>
          </w:p>
        </w:tc>
        <w:tc>
          <w:tcPr>
            <w:tcW w:w="4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6420" w:type="dxa"/>
            <w:vAlign w:val="bottom"/>
            <w:gridSpan w:val="2"/>
          </w:tcPr>
          <w:p>
            <w:pPr>
              <w:ind w:left="3320"/>
              <w:spacing w:after="0"/>
              <w:rPr>
                <w:sz w:val="20"/>
                <w:szCs w:val="20"/>
                <w:color w:val="auto"/>
              </w:rPr>
            </w:pPr>
            <w:r>
              <w:rPr>
                <w:rFonts w:ascii="Times New Roman" w:cs="Times New Roman" w:eastAsia="Times New Roman" w:hAnsi="Times New Roman"/>
                <w:sz w:val="14"/>
                <w:szCs w:val="14"/>
                <w:b w:val="1"/>
                <w:bCs w:val="1"/>
                <w:color w:val="auto"/>
                <w:w w:val="99"/>
              </w:rPr>
              <w:t>ISSUER PURCHASES OF EQUITY SECURITIES</w:t>
            </w:r>
          </w:p>
        </w:tc>
        <w:tc>
          <w:tcPr>
            <w:tcW w:w="0" w:type="dxa"/>
            <w:vAlign w:val="bottom"/>
          </w:tcPr>
          <w:p>
            <w:pPr>
              <w:spacing w:after="0"/>
              <w:rPr>
                <w:sz w:val="1"/>
                <w:szCs w:val="1"/>
                <w:color w:val="auto"/>
              </w:rPr>
            </w:pPr>
          </w:p>
        </w:tc>
      </w:tr>
      <w:tr>
        <w:trPr>
          <w:trHeight w:val="578"/>
        </w:trPr>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440" w:type="dxa"/>
            <w:vAlign w:val="bottom"/>
          </w:tcPr>
          <w:p>
            <w:pPr>
              <w:jc w:val="center"/>
              <w:ind w:left="2165"/>
              <w:spacing w:after="0"/>
              <w:rPr>
                <w:sz w:val="20"/>
                <w:szCs w:val="20"/>
                <w:color w:val="auto"/>
              </w:rPr>
            </w:pPr>
            <w:r>
              <w:rPr>
                <w:rFonts w:ascii="Times New Roman" w:cs="Times New Roman" w:eastAsia="Times New Roman" w:hAnsi="Times New Roman"/>
                <w:sz w:val="14"/>
                <w:szCs w:val="14"/>
                <w:b w:val="1"/>
                <w:bCs w:val="1"/>
                <w:color w:val="auto"/>
                <w:w w:val="99"/>
              </w:rPr>
              <w:t>(a) Total Number of Shares (or</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 Average Price Paid Per</w:t>
            </w:r>
          </w:p>
        </w:tc>
        <w:tc>
          <w:tcPr>
            <w:tcW w:w="0" w:type="dxa"/>
            <w:vAlign w:val="bottom"/>
          </w:tcPr>
          <w:p>
            <w:pPr>
              <w:spacing w:after="0"/>
              <w:rPr>
                <w:sz w:val="1"/>
                <w:szCs w:val="1"/>
                <w:color w:val="auto"/>
              </w:rPr>
            </w:pPr>
          </w:p>
        </w:tc>
      </w:tr>
      <w:tr>
        <w:trPr>
          <w:trHeight w:val="185"/>
        </w:trPr>
        <w:tc>
          <w:tcPr>
            <w:tcW w:w="740" w:type="dxa"/>
            <w:vAlign w:val="bottom"/>
            <w:vMerge w:val="continue"/>
          </w:tcPr>
          <w:p>
            <w:pPr>
              <w:spacing w:after="0"/>
              <w:rPr>
                <w:sz w:val="16"/>
                <w:szCs w:val="16"/>
                <w:color w:val="auto"/>
              </w:rPr>
            </w:pPr>
          </w:p>
        </w:tc>
        <w:tc>
          <w:tcPr>
            <w:tcW w:w="4440" w:type="dxa"/>
            <w:vAlign w:val="bottom"/>
          </w:tcPr>
          <w:p>
            <w:pPr>
              <w:jc w:val="center"/>
              <w:ind w:left="2165"/>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7" w:hanging="87"/>
        <w:spacing w:after="0" w:line="236" w:lineRule="auto"/>
        <w:tabs>
          <w:tab w:leader="none" w:pos="181"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Total Number of Shares (or Units) Purchased as Part of</w:t>
      </w:r>
    </w:p>
    <w:p>
      <w:pPr>
        <w:jc w:val="center"/>
        <w:ind w:left="-6" w:right="40"/>
        <w:spacing w:after="0" w:line="218" w:lineRule="auto"/>
        <w:rPr>
          <w:sz w:val="20"/>
          <w:szCs w:val="20"/>
          <w:color w:val="auto"/>
        </w:rPr>
      </w:pPr>
      <w:r>
        <w:rPr>
          <w:rFonts w:ascii="Times New Roman" w:cs="Times New Roman" w:eastAsia="Times New Roman" w:hAnsi="Times New Roman"/>
          <w:sz w:val="14"/>
          <w:szCs w:val="14"/>
          <w:b w:val="1"/>
          <w:bCs w:val="1"/>
          <w:color w:val="auto"/>
        </w:rPr>
        <w:t>Publicly Announced Plans or Programs</w:t>
      </w:r>
      <w:r>
        <w:rPr>
          <w:rFonts w:ascii="Times New Roman" w:cs="Times New Roman" w:eastAsia="Times New Roman" w:hAnsi="Times New Roman"/>
          <w:sz w:val="18"/>
          <w:szCs w:val="18"/>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right="80" w:firstLine="94"/>
        <w:spacing w:after="0" w:line="236" w:lineRule="auto"/>
        <w:tabs>
          <w:tab w:leader="none" w:pos="368"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Maximum Number (or Approximate Dollar Value) of</w:t>
      </w:r>
    </w:p>
    <w:p>
      <w:pPr>
        <w:jc w:val="center"/>
        <w:ind w:right="40"/>
        <w:spacing w:after="0" w:line="211" w:lineRule="auto"/>
        <w:rPr>
          <w:sz w:val="20"/>
          <w:szCs w:val="20"/>
          <w:color w:val="auto"/>
        </w:rPr>
      </w:pPr>
      <w:r>
        <w:rPr>
          <w:rFonts w:ascii="Times New Roman" w:cs="Times New Roman" w:eastAsia="Times New Roman" w:hAnsi="Times New Roman"/>
          <w:sz w:val="14"/>
          <w:szCs w:val="14"/>
          <w:b w:val="1"/>
          <w:bCs w:val="1"/>
          <w:color w:val="auto"/>
        </w:rPr>
        <w:t>Shares (or Units) That May Yet Be Purchased Under the Plans or Programs</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p>
      <w:pPr>
        <w:sectPr>
          <w:pgSz w:w="11900" w:h="16838" w:orient="portrait"/>
          <w:cols w:equalWidth="0" w:num="3">
            <w:col w:w="7160" w:space="113"/>
            <w:col w:w="1827" w:space="200"/>
            <w:col w:w="192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1 - 31, 2022</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96.38</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9"/>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1 - 28, 2022</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168,215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90.22</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168,215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1 - 31, 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89.33</w:t>
            </w:r>
          </w:p>
        </w:tc>
        <w:tc>
          <w:tcPr>
            <w:tcW w:w="10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193,764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6"/>
        </w:trPr>
        <w:tc>
          <w:tcPr>
            <w:tcW w:w="312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421,979</w:t>
            </w:r>
          </w:p>
        </w:tc>
        <w:tc>
          <w:tcPr>
            <w:tcW w:w="920" w:type="dxa"/>
            <w:vAlign w:val="bottom"/>
            <w:gridSpan w:val="2"/>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90.69</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421,979</w:t>
            </w:r>
          </w:p>
        </w:tc>
        <w:tc>
          <w:tcPr>
            <w:tcW w:w="7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34,561,801</w:t>
            </w:r>
          </w:p>
        </w:tc>
      </w:tr>
      <w:tr>
        <w:trPr>
          <w:trHeight w:val="20"/>
        </w:trPr>
        <w:tc>
          <w:tcPr>
            <w:tcW w:w="3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left="320" w:right="80" w:hanging="315"/>
        <w:spacing w:after="0" w:line="261" w:lineRule="auto"/>
        <w:tabs>
          <w:tab w:leader="none" w:pos="31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purchased shares of our common stock in open market purchases pursuant to share repurchases authorized by our Board of Directors. In October 2015, our Board of Directors authorized the repurchase of up to $100 million of our common stock, and in February 2017, our Board of Directors approved an increase to the share repurchase program, authorizing us to repurchase an additional $100 million of our outstanding common stock. As of March 31, 2022, $34.6 million remained available for purchase under this authorization.</w:t>
      </w:r>
    </w:p>
    <w:p>
      <w:pPr>
        <w:spacing w:after="0" w:line="200" w:lineRule="exact"/>
        <w:rPr>
          <w:sz w:val="20"/>
          <w:szCs w:val="20"/>
          <w:color w:val="auto"/>
        </w:rPr>
      </w:pPr>
    </w:p>
    <w:p>
      <w:pPr>
        <w:spacing w:after="0" w:line="22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5" w:name="page36"/>
    <w:bookmarkEnd w:id="3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780" w:type="dxa"/>
            <w:vAlign w:val="bottom"/>
            <w:gridSpan w:val="4"/>
          </w:tcPr>
          <w:p>
            <w:pPr>
              <w:ind w:left="2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80" w:type="dxa"/>
            <w:vAlign w:val="bottom"/>
            <w:gridSpan w:val="4"/>
          </w:tcPr>
          <w:p>
            <w:pPr>
              <w:ind w:left="3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5"/>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Certification of Chief Executive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6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9"/>
              </w:rPr>
              <w:t>Certification of Chief Financial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20" w:type="dxa"/>
            <w:vAlign w:val="bottom"/>
            <w:tcBorders>
              <w:top w:val="single" w:sz="8" w:color="0000FF"/>
            </w:tcBorders>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Certification of Chief Executive Officer and Chief Financial Officer pursuant to 18 U.S.C. Section 1350, as adopted pursuant to Section 906 of the Sarbanes-</w:t>
            </w:r>
          </w:p>
        </w:tc>
      </w:tr>
      <w:tr>
        <w:trPr>
          <w:trHeight w:val="138"/>
        </w:trPr>
        <w:tc>
          <w:tcPr>
            <w:tcW w:w="960" w:type="dxa"/>
            <w:vAlign w:val="bottom"/>
          </w:tcPr>
          <w:p>
            <w:pPr>
              <w:spacing w:after="0"/>
              <w:rPr>
                <w:sz w:val="11"/>
                <w:szCs w:val="11"/>
                <w:color w:val="auto"/>
              </w:rPr>
            </w:pPr>
          </w:p>
        </w:tc>
        <w:tc>
          <w:tcPr>
            <w:tcW w:w="9940" w:type="dxa"/>
            <w:vAlign w:val="bottom"/>
            <w:tcBorders>
              <w:top w:val="single" w:sz="8" w:color="0000FF"/>
            </w:tcBorders>
            <w:gridSpan w:val="5"/>
          </w:tcPr>
          <w:p>
            <w:pPr>
              <w:spacing w:after="0" w:line="138" w:lineRule="exact"/>
              <w:rPr>
                <w:sz w:val="20"/>
                <w:szCs w:val="20"/>
                <w:color w:val="auto"/>
              </w:rPr>
            </w:pPr>
            <w:r>
              <w:rPr>
                <w:rFonts w:ascii="Times New Roman" w:cs="Times New Roman" w:eastAsia="Times New Roman" w:hAnsi="Times New Roman"/>
                <w:sz w:val="15"/>
                <w:szCs w:val="15"/>
                <w:color w:val="0000FF"/>
              </w:rPr>
              <w:t>Oxley Act of 2002</w:t>
            </w:r>
          </w:p>
        </w:tc>
        <w:tc>
          <w:tcPr>
            <w:tcW w:w="2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780" w:type="dxa"/>
            <w:vAlign w:val="bottom"/>
            <w:gridSpan w:val="4"/>
          </w:tcPr>
          <w:p>
            <w:pPr>
              <w:spacing w:after="0" w:line="20" w:lineRule="exact"/>
              <w:rPr>
                <w:sz w:val="1"/>
                <w:szCs w:val="1"/>
                <w:color w:val="auto"/>
              </w:rPr>
            </w:pPr>
          </w:p>
        </w:tc>
      </w:tr>
      <w:tr>
        <w:trPr>
          <w:trHeight w:val="177"/>
        </w:trPr>
        <w:tc>
          <w:tcPr>
            <w:tcW w:w="9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101.INS</w:t>
            </w:r>
          </w:p>
        </w:tc>
        <w:tc>
          <w:tcPr>
            <w:tcW w:w="9960" w:type="dxa"/>
            <w:vAlign w:val="bottom"/>
            <w:gridSpan w:val="6"/>
          </w:tcPr>
          <w:p>
            <w:pPr>
              <w:spacing w:after="0" w:line="178" w:lineRule="exact"/>
              <w:rPr>
                <w:sz w:val="20"/>
                <w:szCs w:val="20"/>
                <w:color w:val="auto"/>
              </w:rPr>
            </w:pPr>
            <w:r>
              <w:rPr>
                <w:rFonts w:ascii="Times New Roman" w:cs="Times New Roman" w:eastAsia="Times New Roman" w:hAnsi="Times New Roman"/>
                <w:sz w:val="16"/>
                <w:szCs w:val="16"/>
                <w:color w:val="auto"/>
                <w:w w:val="98"/>
              </w:rPr>
              <w:t>XBRL Instance Document - the instance document does not appear in the Interactive Data File because its XBRL tags are embedded within the Inline XBRL</w:t>
            </w:r>
          </w:p>
        </w:tc>
      </w:tr>
      <w:tr>
        <w:trPr>
          <w:trHeight w:val="207"/>
        </w:trPr>
        <w:tc>
          <w:tcPr>
            <w:tcW w:w="960" w:type="dxa"/>
            <w:vAlign w:val="bottom"/>
          </w:tcPr>
          <w:p>
            <w:pPr>
              <w:spacing w:after="0"/>
              <w:rPr>
                <w:sz w:val="17"/>
                <w:szCs w:val="17"/>
                <w:color w:val="auto"/>
              </w:rPr>
            </w:pP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4" w:lineRule="exact"/>
        <w:rPr>
          <w:sz w:val="20"/>
          <w:szCs w:val="20"/>
          <w:color w:val="auto"/>
        </w:rPr>
      </w:pPr>
    </w:p>
    <w:p>
      <w:pPr>
        <w:ind w:left="960" w:hanging="958"/>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01"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______________________________________</w:t>
      </w:r>
    </w:p>
    <w:p>
      <w:pPr>
        <w:spacing w:after="0" w:line="104"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134620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00"/>
          </w:cols>
          <w:pgMar w:left="400" w:top="121" w:right="59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48"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420" w:type="dxa"/>
            <w:vAlign w:val="bottom"/>
          </w:tcPr>
          <w:p>
            <w:pPr>
              <w:spacing w:after="0"/>
              <w:rPr>
                <w:sz w:val="18"/>
                <w:szCs w:val="18"/>
                <w:color w:val="auto"/>
              </w:rPr>
            </w:pPr>
          </w:p>
        </w:tc>
        <w:tc>
          <w:tcPr>
            <w:tcW w:w="7780" w:type="dxa"/>
            <w:vAlign w:val="bottom"/>
            <w:gridSpan w:val="2"/>
          </w:tcPr>
          <w:p>
            <w:pPr>
              <w:ind w:left="2020"/>
              <w:spacing w:after="0"/>
              <w:rPr>
                <w:sz w:val="20"/>
                <w:szCs w:val="20"/>
                <w:color w:val="auto"/>
              </w:rPr>
            </w:pPr>
            <w:r>
              <w:rPr>
                <w:rFonts w:ascii="Times New Roman" w:cs="Times New Roman" w:eastAsia="Times New Roman" w:hAnsi="Times New Roman"/>
                <w:sz w:val="16"/>
                <w:szCs w:val="16"/>
                <w:b w:val="1"/>
                <w:bCs w:val="1"/>
                <w:color w:val="auto"/>
              </w:rPr>
              <w:t>SHUTTERSTOCK, INC.</w:t>
            </w:r>
          </w:p>
        </w:tc>
      </w:tr>
      <w:tr>
        <w:trPr>
          <w:trHeight w:val="42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Dated: April 26, 2022</w:t>
            </w:r>
          </w:p>
        </w:tc>
        <w:tc>
          <w:tcPr>
            <w:tcW w:w="266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Jarrod Yahes</w:t>
            </w:r>
          </w:p>
        </w:tc>
      </w:tr>
      <w:tr>
        <w:trPr>
          <w:trHeight w:val="202"/>
        </w:trPr>
        <w:tc>
          <w:tcPr>
            <w:tcW w:w="3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Jarrod Yahes</w:t>
            </w:r>
          </w:p>
        </w:tc>
      </w:tr>
      <w:tr>
        <w:trPr>
          <w:trHeight w:val="210"/>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11"/>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42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Dated: April 26, 2022</w:t>
            </w:r>
          </w:p>
        </w:tc>
        <w:tc>
          <w:tcPr>
            <w:tcW w:w="266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Steven Ciardiello</w:t>
            </w:r>
          </w:p>
        </w:tc>
      </w:tr>
      <w:tr>
        <w:trPr>
          <w:trHeight w:val="202"/>
        </w:trPr>
        <w:tc>
          <w:tcPr>
            <w:tcW w:w="3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Ciardiello</w:t>
            </w:r>
          </w:p>
        </w:tc>
      </w:tr>
    </w:tbl>
    <w:p>
      <w:pPr>
        <w:spacing w:after="0" w:line="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Chief Accounting Officer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21" w:right="3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Stan Pavlovsky, certify that:</w:t>
      </w:r>
    </w:p>
    <w:p>
      <w:pPr>
        <w:spacing w:after="0" w:line="198" w:lineRule="exact"/>
        <w:rPr>
          <w:sz w:val="20"/>
          <w:szCs w:val="20"/>
          <w:color w:val="auto"/>
        </w:rPr>
      </w:pPr>
    </w:p>
    <w:p>
      <w:pPr>
        <w:ind w:left="840" w:hanging="519"/>
        <w:spacing w:after="0"/>
        <w:tabs>
          <w:tab w:leader="none" w:pos="8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April 26,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Stan Pavlovsky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Jarrod Yahes, certify that:</w:t>
      </w:r>
    </w:p>
    <w:p>
      <w:pPr>
        <w:spacing w:after="0" w:line="198" w:lineRule="exact"/>
        <w:rPr>
          <w:sz w:val="20"/>
          <w:szCs w:val="20"/>
          <w:color w:val="auto"/>
        </w:rPr>
      </w:pPr>
    </w:p>
    <w:p>
      <w:pPr>
        <w:ind w:left="840" w:hanging="519"/>
        <w:spacing w:after="0"/>
        <w:tabs>
          <w:tab w:leader="none" w:pos="8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760" w:val="left"/>
          <w:tab w:leader="none" w:pos="6220" w:val="left"/>
        </w:tabs>
        <w:rPr>
          <w:sz w:val="20"/>
          <w:szCs w:val="20"/>
          <w:color w:val="auto"/>
        </w:rPr>
      </w:pPr>
      <w:r>
        <w:rPr>
          <w:rFonts w:ascii="Times New Roman" w:cs="Times New Roman" w:eastAsia="Times New Roman" w:hAnsi="Times New Roman"/>
          <w:sz w:val="16"/>
          <w:szCs w:val="16"/>
          <w:color w:val="auto"/>
        </w:rPr>
        <w:t>Date: April 26,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3183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8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March 31, 2022 as filed with the Securities and Exchange Commission on the date hereof (the “Report”), I, Stan Pavlovsky,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April 26,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Stan Pavlovsky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9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March 31, 2022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April 26,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3"/>
    </w:lvl>
  </w:abstractNum>
  <w:abstractNum w:abstractNumId="11">
    <w:nsid w:val="DED7263"/>
    <w:multiLevelType w:val="hybridMultilevel"/>
    <w:lvl w:ilvl="0">
      <w:lvlJc w:val="left"/>
      <w:lvlText w:val="(%1)"/>
      <w:numFmt w:val="lowerLetter"/>
      <w:start w:val="4"/>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0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2022-04-26T06:07:43Z</dcterms:created>
  <dcterms:modified xsi:type="dcterms:W3CDTF">2022-04-26T06:07:43Z</dcterms:modified>
</cp:coreProperties>
</file>