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699135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657225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6"/>
          <w:szCs w:val="16"/>
          <w:color w:val="auto"/>
        </w:rPr>
      </w:pPr>
    </w:p>
    <w:p>
      <w:pPr>
        <w:ind w:left="40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2"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41" w:lineRule="exact"/>
        <w:rPr>
          <w:sz w:val="24"/>
          <w:szCs w:val="24"/>
          <w:color w:val="auto"/>
        </w:rPr>
      </w:pPr>
    </w:p>
    <w:p>
      <w:pPr>
        <w:ind w:left="2600"/>
        <w:spacing w:after="0"/>
        <w:tabs>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80-0812659</w:t>
      </w:r>
    </w:p>
    <w:p>
      <w:pPr>
        <w:spacing w:after="0" w:line="152" w:lineRule="exact"/>
        <w:rPr>
          <w:sz w:val="24"/>
          <w:szCs w:val="24"/>
          <w:color w:val="auto"/>
        </w:rPr>
      </w:pPr>
    </w:p>
    <w:p>
      <w:pPr>
        <w:ind w:left="1240"/>
        <w:spacing w:after="0"/>
        <w:tabs>
          <w:tab w:leader="none" w:pos="76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26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85"/>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18"/>
        </w:trPr>
        <w:tc>
          <w:tcPr>
            <w:tcW w:w="398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c>
          <w:tcPr>
            <w:tcW w:w="0" w:type="dxa"/>
            <w:vAlign w:val="bottom"/>
          </w:tcPr>
          <w:p>
            <w:pPr>
              <w:spacing w:after="0"/>
              <w:rPr>
                <w:sz w:val="1"/>
                <w:szCs w:val="1"/>
                <w:color w:val="auto"/>
              </w:rPr>
            </w:pPr>
          </w:p>
        </w:tc>
      </w:tr>
    </w:tbl>
    <w:p>
      <w:pPr>
        <w:spacing w:after="0" w:line="217"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3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420" w:type="dxa"/>
        <w:tblCellMar>
          <w:top w:w="0" w:type="dxa"/>
          <w:left w:w="0" w:type="dxa"/>
          <w:bottom w:w="0" w:type="dxa"/>
          <w:right w:w="0" w:type="dxa"/>
        </w:tblCellMar>
      </w:tblPr>
      <w:tr>
        <w:trPr>
          <w:trHeight w:val="193"/>
        </w:trPr>
        <w:tc>
          <w:tcPr>
            <w:tcW w:w="25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7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Accelerated filer</w:t>
            </w:r>
          </w:p>
        </w:tc>
        <w:tc>
          <w:tcPr>
            <w:tcW w:w="4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60" w:type="dxa"/>
            <w:vAlign w:val="bottom"/>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19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7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vMerge w:val="continue"/>
          </w:tcPr>
          <w:p>
            <w:pPr>
              <w:spacing w:after="0"/>
              <w:rPr>
                <w:sz w:val="15"/>
                <w:szCs w:val="15"/>
                <w:color w:val="auto"/>
              </w:rPr>
            </w:pPr>
          </w:p>
        </w:tc>
        <w:tc>
          <w:tcPr>
            <w:tcW w:w="4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60" w:type="dxa"/>
            <w:vAlign w:val="bottom"/>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19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Emerging growth company</w:t>
            </w: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4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4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April 24, 2026, 36,738,014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4"/>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80" w:type="dxa"/>
            <w:vAlign w:val="bottom"/>
            <w:tcBorders>
              <w:bottom w:val="single" w:sz="8" w:color="0000FF"/>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4"/>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3"/>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8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3"/>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3"/>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proposed merger with Getty Images Holdings, Inc. (the “Merger”),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proposed Merger;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17, 2026 (our “2025 Form 10-K”) and in our consolidated financial statements, related notes, and the other information appearing elsewhere in the 2025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4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Shutterstock,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29"/>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162,518</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$3,547 and $3,431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338,639</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62,553</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215,673</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574,614</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61,289</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93,398</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1,311,198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129,952</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212,984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158,110</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19,295</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629,095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628,402</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116,639</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774,898</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41,076 and 41,049 shares issued and 35,555 and</w:t>
            </w:r>
          </w:p>
        </w:tc>
        <w:tc>
          <w:tcPr>
            <w:tcW w:w="4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35,528 shares outstanding as of March 31, 2026 and December 31, 2025, respectively</w:t>
            </w:r>
          </w:p>
        </w:tc>
        <w:tc>
          <w:tcPr>
            <w:tcW w:w="4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shares as of March 31, 2026 and December 31, 2025</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520,018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335,168</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532,078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581,038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1,311,198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6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0" w:type="dxa"/>
            <w:vAlign w:val="bottom"/>
          </w:tcPr>
          <w:p>
            <w:pPr>
              <w:spacing w:after="0"/>
              <w:rPr>
                <w:sz w:val="1"/>
                <w:szCs w:val="1"/>
                <w:color w:val="auto"/>
              </w:rPr>
            </w:pPr>
          </w:p>
        </w:tc>
      </w:tr>
      <w:tr>
        <w:trPr>
          <w:trHeight w:val="197"/>
        </w:trPr>
        <w:tc>
          <w:tcPr>
            <w:tcW w:w="8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0" w:type="dxa"/>
            <w:vAlign w:val="bottom"/>
          </w:tcPr>
          <w:p>
            <w:pPr>
              <w:spacing w:after="0"/>
              <w:rPr>
                <w:sz w:val="1"/>
                <w:szCs w:val="1"/>
                <w:color w:val="auto"/>
              </w:rPr>
            </w:pP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0" w:type="dxa"/>
            <w:vAlign w:val="bottom"/>
          </w:tcPr>
          <w:p>
            <w:pPr>
              <w:spacing w:after="0"/>
              <w:rPr>
                <w:sz w:val="1"/>
                <w:szCs w:val="1"/>
                <w:color w:val="auto"/>
              </w:rPr>
            </w:pPr>
          </w:p>
        </w:tc>
      </w:tr>
      <w:tr>
        <w:trPr>
          <w:trHeight w:val="202"/>
        </w:trPr>
        <w:tc>
          <w:tcPr>
            <w:tcW w:w="8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230,124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09"/>
        </w:trPr>
        <w:tc>
          <w:tcPr>
            <w:tcW w:w="8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0" w:type="dxa"/>
            <w:vAlign w:val="bottom"/>
          </w:tcPr>
          <w:p>
            <w:pPr>
              <w:spacing w:after="0"/>
              <w:rPr>
                <w:sz w:val="1"/>
                <w:szCs w:val="1"/>
                <w:color w:val="auto"/>
              </w:rPr>
            </w:pPr>
          </w:p>
        </w:tc>
      </w:tr>
      <w:tr>
        <w:trPr>
          <w:trHeight w:val="202"/>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177"/>
        </w:trPr>
        <w:tc>
          <w:tcPr>
            <w:tcW w:w="864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Net (loss) / income</w:t>
            </w:r>
          </w:p>
        </w:tc>
        <w:tc>
          <w:tcPr>
            <w:tcW w:w="380" w:type="dxa"/>
            <w:vAlign w:val="bottom"/>
            <w:tcBorders>
              <w:bottom w:val="single" w:sz="8" w:color="auto"/>
            </w:tcBorders>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(47,569)</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0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18,688</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 Earnings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r>
      <w:tr>
        <w:trPr>
          <w:trHeight w:val="128"/>
        </w:trPr>
        <w:tc>
          <w:tcPr>
            <w:tcW w:w="86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80"/>
        </w:trPr>
        <w:tc>
          <w:tcPr>
            <w:tcW w:w="8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86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91"/>
        </w:trPr>
        <w:tc>
          <w:tcPr>
            <w:tcW w:w="8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w:t>
            </w:r>
          </w:p>
        </w:tc>
      </w:tr>
      <w:tr>
        <w:trPr>
          <w:trHeight w:val="20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w:t>
            </w:r>
          </w:p>
        </w:tc>
      </w:tr>
      <w:tr>
        <w:trPr>
          <w:trHeight w:val="20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r>
      <w:tr>
        <w:trPr>
          <w:trHeight w:val="20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 income</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22,985</w:t>
            </w:r>
          </w:p>
        </w:tc>
      </w:tr>
      <w:tr>
        <w:trPr>
          <w:trHeight w:val="21"/>
        </w:trPr>
        <w:tc>
          <w:tcPr>
            <w:tcW w:w="8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(Loss) / Income</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335,168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581,038</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13,372</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(47,569)</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41,076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533,004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274,817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532,078</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485,736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343,389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547,180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6"/>
                <w:szCs w:val="16"/>
                <w:color w:val="auto"/>
              </w:rPr>
            </w:pPr>
          </w:p>
        </w:tc>
      </w:tr>
      <w:tr>
        <w:trPr>
          <w:trHeight w:val="128"/>
        </w:trPr>
        <w:tc>
          <w:tcPr>
            <w:tcW w:w="8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0"/>
        </w:trPr>
        <w:tc>
          <w:tcPr>
            <w:tcW w:w="8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8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18,688</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Legal contingencies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 (gain) on investments,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17,982</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25,247</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(15,821)</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94"/>
        </w:trPr>
        <w:tc>
          <w:tcPr>
            <w:tcW w:w="85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162,518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 (received) for income taxes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 with Getty Images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January 6, 2025, the Company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40" w:lineRule="exact"/>
        <w:rPr>
          <w:sz w:val="20"/>
          <w:szCs w:val="20"/>
          <w:color w:val="auto"/>
        </w:rPr>
      </w:pPr>
    </w:p>
    <w:p>
      <w:pPr>
        <w:ind w:left="640" w:right="160" w:hanging="319"/>
        <w:spacing w:after="0" w:line="268" w:lineRule="auto"/>
        <w:tabs>
          <w:tab w:leader="none" w:pos="6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6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208"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0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80" w:lineRule="exact"/>
        <w:rPr>
          <w:sz w:val="20"/>
          <w:szCs w:val="20"/>
          <w:color w:val="auto"/>
        </w:rPr>
      </w:pPr>
    </w:p>
    <w:p>
      <w:pPr>
        <w:ind w:left="640" w:right="48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satisfied at the special meeting described above, and the Getty Images stockholder approval, which condition was subsequently satisfied by the Getty Images stockholder written consent;</w:t>
      </w:r>
    </w:p>
    <w:p>
      <w:pPr>
        <w:spacing w:after="0" w:line="64" w:lineRule="exact"/>
        <w:rPr>
          <w:rFonts w:ascii="Times New Roman" w:cs="Times New Roman" w:eastAsia="Times New Roman" w:hAnsi="Times New Roman"/>
          <w:sz w:val="18"/>
          <w:szCs w:val="18"/>
          <w:color w:val="auto"/>
        </w:rPr>
      </w:pPr>
    </w:p>
    <w:p>
      <w:pPr>
        <w:ind w:left="640" w:right="200" w:hanging="319"/>
        <w:spacing w:after="0" w:line="332" w:lineRule="auto"/>
        <w:tabs>
          <w:tab w:leader="none" w:pos="6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108" w:lineRule="exact"/>
        <w:rPr>
          <w:rFonts w:ascii="Times New Roman" w:cs="Times New Roman" w:eastAsia="Times New Roman" w:hAnsi="Times New Roman"/>
          <w:sz w:val="18"/>
          <w:szCs w:val="18"/>
          <w:color w:val="auto"/>
        </w:rPr>
      </w:pPr>
    </w:p>
    <w:p>
      <w:pPr>
        <w:ind w:left="640" w:right="20" w:hanging="319"/>
        <w:spacing w:after="0" w:line="250"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applicable waiting period (and extensions thereof) under the Hart-Scott-Rodino Antitrust Improvements Act of 1976, as amended (the “HSR Act”). On April 2, 2025, the Company and Getty Images each received a Request for Additional Information and Documentary Material from the U.S. Department of Justice (“DOJ”) in connection with the Merger. On February 23, 2026, the Company announced the DOJ had concluded its review of the Merger and the applicable waiting period under the HSR Act had expired, without conditions. As a result, the condition under the HSR Act has been satisfied;</w:t>
      </w:r>
    </w:p>
    <w:p>
      <w:pPr>
        <w:spacing w:after="0" w:line="66" w:lineRule="exact"/>
        <w:rPr>
          <w:rFonts w:ascii="Times New Roman" w:cs="Times New Roman" w:eastAsia="Times New Roman" w:hAnsi="Times New Roman"/>
          <w:sz w:val="18"/>
          <w:szCs w:val="18"/>
          <w:color w:val="auto"/>
        </w:rPr>
      </w:pPr>
    </w:p>
    <w:p>
      <w:pPr>
        <w:ind w:left="640" w:hanging="319"/>
        <w:spacing w:after="0" w:line="253"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other regulatory approvals deemed necessary or advisable, including but not limited to the U.K. Competition and Markets Authority (the “CMA”):</w:t>
      </w:r>
    </w:p>
    <w:p>
      <w:pPr>
        <w:spacing w:after="0" w:line="195"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2025, the Company announced that the CMA referred the Merger to a Phase 2 review process;</w:t>
      </w:r>
    </w:p>
    <w:p>
      <w:pPr>
        <w:spacing w:after="0" w:line="214" w:lineRule="exact"/>
        <w:rPr>
          <w:rFonts w:ascii="Times New Roman" w:cs="Times New Roman" w:eastAsia="Times New Roman" w:hAnsi="Times New Roman"/>
          <w:sz w:val="18"/>
          <w:szCs w:val="18"/>
          <w:color w:val="auto"/>
        </w:rPr>
      </w:pPr>
    </w:p>
    <w:p>
      <w:pPr>
        <w:ind w:left="1260" w:right="480" w:hanging="307"/>
        <w:spacing w:after="0" w:line="241" w:lineRule="auto"/>
        <w:tabs>
          <w:tab w:leader="none" w:pos="12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the Company announced that the CMA issued its Interim Report and provisionally concluded the Merger is not expected to result in competition issues in the global stock content market, but that the Merger may result in a “substantial lessening of competition” (“SLC”) in the U.K. editorial market; 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8" w:lineRule="exact"/>
        <w:rPr>
          <w:sz w:val="20"/>
          <w:szCs w:val="20"/>
          <w:color w:val="auto"/>
        </w:rPr>
      </w:pPr>
    </w:p>
    <w:p>
      <w:pPr>
        <w:ind w:left="1260" w:right="140" w:hanging="307"/>
        <w:spacing w:after="0" w:line="234"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2026, the CMA published the summary of its Interim Report on Remedies (“IRR”), following its interim report of February 19, 2026 which provisionally found that the Merger could be expected to lead to an SLC in the supply of editorial content in the U.K. The IRR states that the remedy proposal offered by Getty Images was unlikely to address the provisional SLC it had identified but that a sale of Shutterstock’s Rex Features, Backgrid and Splash News businesses would likely be acceptable. The CMA is now further consulting on that proposition including its view that Rex Features, Backgrid and Splash News could be sold to different buyers. The statutory deadline for the CMA to publish its final report is June 14, 2026.</w:t>
      </w:r>
    </w:p>
    <w:p>
      <w:pPr>
        <w:spacing w:after="0" w:line="210" w:lineRule="exact"/>
        <w:rPr>
          <w:sz w:val="20"/>
          <w:szCs w:val="20"/>
          <w:color w:val="auto"/>
        </w:rPr>
      </w:pPr>
    </w:p>
    <w:p>
      <w:pPr>
        <w:ind w:left="640" w:right="220"/>
        <w:spacing w:after="0" w:line="239" w:lineRule="auto"/>
        <w:rPr>
          <w:sz w:val="20"/>
          <w:szCs w:val="20"/>
          <w:color w:val="auto"/>
        </w:rPr>
      </w:pPr>
      <w:r>
        <w:rPr>
          <w:rFonts w:ascii="Times New Roman" w:cs="Times New Roman" w:eastAsia="Times New Roman" w:hAnsi="Times New Roman"/>
          <w:sz w:val="18"/>
          <w:szCs w:val="18"/>
          <w:color w:val="auto"/>
        </w:rPr>
        <w:t>The Company remains committed to the proposed Merger and will continue to engage with the CMA, including on its provisional SLC finding, and work with Getty Images to expeditiously secure the necessary clearances on its Editorial business.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 2025, global Editorial revenue was $32.7 million, of which $11.7 million related to our Rex Features related content and Shutterstock brands and</w:t>
      </w:r>
    </w:p>
    <w:p>
      <w:pPr>
        <w:spacing w:after="0" w:line="33" w:lineRule="exact"/>
        <w:rPr>
          <w:sz w:val="20"/>
          <w:szCs w:val="20"/>
          <w:color w:val="auto"/>
        </w:rPr>
      </w:pPr>
    </w:p>
    <w:p>
      <w:pPr>
        <w:jc w:val="both"/>
        <w:ind w:left="640" w:right="20"/>
        <w:spacing w:after="0" w:line="233" w:lineRule="auto"/>
        <w:rPr>
          <w:sz w:val="20"/>
          <w:szCs w:val="20"/>
          <w:color w:val="auto"/>
        </w:rPr>
      </w:pPr>
      <w:r>
        <w:rPr>
          <w:rFonts w:ascii="Times New Roman" w:cs="Times New Roman" w:eastAsia="Times New Roman" w:hAnsi="Times New Roman"/>
          <w:sz w:val="18"/>
          <w:szCs w:val="18"/>
          <w:color w:val="auto"/>
        </w:rPr>
        <w:t>$21.0 million was from our Backgrid and Splash branded content. In addition, our 2025 Editorial revenue for customers in the U.K. was $10.6 million, of which $5.4 million related to our Rex Features related content and Shutterstock brands and $5.2 million was from our Backgrid and Splash branded content.</w:t>
      </w:r>
    </w:p>
    <w:p>
      <w:pPr>
        <w:spacing w:after="0" w:line="219" w:lineRule="exact"/>
        <w:rPr>
          <w:sz w:val="20"/>
          <w:szCs w:val="20"/>
          <w:color w:val="auto"/>
        </w:rPr>
      </w:pPr>
    </w:p>
    <w:p>
      <w:pPr>
        <w:ind w:left="640" w:hanging="319"/>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108"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64"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50" w:lineRule="exact"/>
        <w:rPr>
          <w:rFonts w:ascii="Times New Roman" w:cs="Times New Roman" w:eastAsia="Times New Roman" w:hAnsi="Times New Roman"/>
          <w:sz w:val="18"/>
          <w:szCs w:val="18"/>
          <w:color w:val="auto"/>
        </w:rPr>
      </w:pPr>
    </w:p>
    <w:p>
      <w:pPr>
        <w:ind w:left="640" w:right="140" w:hanging="319"/>
        <w:spacing w:after="0" w:line="241" w:lineRule="auto"/>
        <w:tabs>
          <w:tab w:leader="none" w:pos="6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On September 18, 2025, the Company and Getty Images agreed to waive this condition such that it is no longer a condition to the Merger.</w:t>
      </w:r>
    </w:p>
    <w:p>
      <w:pPr>
        <w:spacing w:after="0" w:line="348"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8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The interim Consolidated Balance Sheet as of March 31, 2026, and the Consolidated Statements of Operations, Comprehensive Income and Stockholders’ Equity for the three months ended March 31, 2026 and 2025, and the Consolidated Statements of Cash Flows for the three months ended March 31, 2026 and 2025 are unaudited. The Consolidated Balance Sheet as of December 31, 2025,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2026, and its consolidated results of operations, comprehensive income, stockholders’ equity and cash flows for the three months ended March 31, 2026 and 2025. The financial data and the other financial information disclosed in the notes to the financial statements related to these periods are also unaudited. The results of operations for the three months ended March 31, 2026 are not necessarily indicative of the results to be expected for the fiscal year ending December 31, 2026 or for any other future annual or interim period.</w:t>
      </w:r>
    </w:p>
    <w:p>
      <w:pPr>
        <w:spacing w:after="0" w:line="27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2025 included in the Company’s Annual Report on Form 10-K, which was filed with the SEC on February 17, 2026. The unaudited consolidated financial statements include the accounts of</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$37.5 million of unbilled receivables of which $23.2 million are recorded in Accounts Receivable and $14.3 million are recorded in Other Assets, as of March 31, 2026.</w:t>
      </w:r>
    </w:p>
    <w:p>
      <w:pPr>
        <w:spacing w:after="0" w:line="90"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bad debt expense of $0.1 million. As of March 31, 2026 and December 31, 2025, the Company’s allowance for doubtful accounts was approximately $3.5 million and $3.4 million, respectively. The allowance for doubtful accounts is included as a reduction of accounts receivable on the Consolidated Balance Sheets.</w:t>
      </w:r>
    </w:p>
    <w:p>
      <w:pPr>
        <w:spacing w:after="0" w:line="75"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March 31, 2026 and December 31, 2025, approximately $10.1 million and $9.8 million of financing receivables, respectively, were included in accounts receivable and other assets on the Consolidated Balance Sheets.</w:t>
      </w:r>
    </w:p>
    <w:p>
      <w:pPr>
        <w:spacing w:after="0" w:line="78"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March 31, 2026 one customer accounted for approximately 16% of the accounts receivable balance. As of December 31, 2025, one customer accounted for approximately 15%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40"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March 31, 2026 and December 31, 2025, the Company’s combined allowance for chargebacks and sales refunds was $0.2 million and $0.2 million, respectively, which was included as a component of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1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200" w:lineRule="exact"/>
        <w:rPr>
          <w:sz w:val="20"/>
          <w:szCs w:val="20"/>
          <w:color w:val="auto"/>
        </w:rPr>
      </w:pPr>
    </w:p>
    <w:p>
      <w:pPr>
        <w:spacing w:after="0" w:line="3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2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March 31, 2026 or December 31, 2025,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50"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spacing w:after="0" w:line="40" w:lineRule="exact"/>
        <w:rPr>
          <w:sz w:val="20"/>
          <w:szCs w:val="20"/>
          <w:color w:val="auto"/>
        </w:rPr>
      </w:pPr>
    </w:p>
    <w:p>
      <w:pPr>
        <w:ind w:right="100" w:firstLine="395"/>
        <w:spacing w:after="0" w:line="293" w:lineRule="auto"/>
        <w:rPr>
          <w:sz w:val="20"/>
          <w:szCs w:val="20"/>
          <w:color w:val="auto"/>
        </w:rPr>
      </w:pPr>
      <w:r>
        <w:rPr>
          <w:rFonts w:ascii="Times New Roman" w:cs="Times New Roman" w:eastAsia="Times New Roman" w:hAnsi="Times New Roman"/>
          <w:sz w:val="16"/>
          <w:szCs w:val="16"/>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being recorded in Other income, net in the Consolidated Statement of Operations. The investment is subject to a contractual sale restriction that limits the sale or transfer of the investment for a period of 3 years, ending March 2027. Its fair value level hierarchy and amount at March 31, 2026 are as follows (in thousands):</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24,465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40,021</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50"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March 31, 2026 and December 31, 2025, the Company had $30.5 million and $30.5 million, respectively, recorded in Other Assets in the Consolidated Balance Sheet from equity instruments received. The Company estimated the value of these equity instruments based on issuers’ recent market transactions at the time the instruments were received from the customers.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394,200</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11,046</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20,524</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435,329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425,770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(373,361)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(363,217)</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62,553</w:t>
            </w:r>
          </w:p>
        </w:tc>
      </w:tr>
      <w:tr>
        <w:trPr>
          <w:trHeight w:val="21"/>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$10.9 million and $10.6 million for the three months ended March 31, 2026 and 2025, respectively. Of these amounts, $10.7 million and $10.3 million are included in cost of revenue for the three months ended March 31, 2026 and 2025, respectively, and $0.3 million and $0.3 million are included in general and administrative expense for the three months ended March 31, 2026 and 2025, respectively.</w:t>
      </w:r>
    </w:p>
    <w:p>
      <w:pPr>
        <w:spacing w:after="0" w:line="183"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$10.5 million and $9.0 million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and 2025, respectively. Capitalized amounts are included as a component of property and equipment under computer equipment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Consolidated Balance Sheets.</w:t>
      </w:r>
    </w:p>
    <w:p>
      <w:pPr>
        <w:spacing w:after="0" w:line="91"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$10.4 million and $10.0 million for the three months ended March 31, 2026 and 2025, respectively. Depreciation expense related to capitalized internal-use software is included in cost of revenue in the Consolidated Statements of Operations.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and December 31, 2025, the Company had capitalized internal-use software of $57.8 million and $57.7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2026.</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three months ended March 31, 2026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574,614</w:t>
            </w:r>
          </w:p>
        </w:tc>
      </w:tr>
      <w:tr>
        <w:trPr>
          <w:trHeight w:val="209"/>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31"/>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574,169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March 31, 2026 and December 31, 2025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106,152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106,557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50,630</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179,498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81,606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36,796</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437,124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203,879</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$11.7 million and $12.1 million for the three months ended March 31, 2026 and 2025, respectively. Of these amounts, $10.2 million and $10.5 million are included in cost of revenue for the three months ended March 31, 2026 and 2025, respectively, and $1.5 million and $1.6 million are included in general and administrative expense for the three months ended March 31, 2026 and 2025, respectively.</w:t>
      </w:r>
    </w:p>
    <w:p>
      <w:pPr>
        <w:spacing w:after="0" w:line="75"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$33.6 million for the remaining nine months of 2026, $38.9 million in 2027, $36.0 million in 2028, $29.3 million in 2029, $17.9 million in 2030, $12.7 million in 2031 and $35.4 million thereafter.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49,705</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41,584</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w:t>
            </w: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compensation-related accrued expenses included amounts due to Giphy employees for compensation earned pre-acquisition and severance costs associated with workforce optimizations. Approximately $3.3 million and $1.5 million of severance costs associated with workforce optimization is included within accrued expenses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0"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$30.0 million of existing outstanding borrowings and accrued interest.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the Company had a remaining borrowing capacity of $94 million, net of standby letters of credit.</w:t>
      </w:r>
    </w:p>
    <w:p>
      <w:pPr>
        <w:spacing w:after="0" w:line="109"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March 31, 2026, the Company was in compliance with these covenants.</w:t>
      </w:r>
    </w:p>
    <w:p>
      <w:pPr>
        <w:spacing w:after="0" w:line="78"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3,110</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116,639</w:t>
            </w:r>
          </w:p>
        </w:tc>
      </w:tr>
    </w:tbl>
    <w:p>
      <w:pPr>
        <w:spacing w:after="0" w:line="179"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interest expense of $3.8 million. As of March 31, 2026, unamortized debt issuance cost related to the Term Loan - A&amp;R Credit Agreement is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28,000 and 27,000 shares of common stock during the three months ended March 31, 2026 and 2025,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2026, the Company has repurchased approximately 5.5 million shares of common stock in total since 2015 under the repurchase programs (including the 2015 and 2017 Share Repurchase Programs and the 2023 Share Repurchase Program) at an average per-share cost of $48.86. During the three months ended March 31, 2026 and 2025, the Company did not repurchase any shares of common stock. As of March 31, 2026, the Company had $30.2 million of remaining authorization for purchases under the 2023 Share Repurchase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cash dividends of $0.36 and $0.33 per share of common stock, or $12.8 million and $11.5 million during the three months ended March 31, 2026 and 2025, respectively.</w:t>
      </w:r>
    </w:p>
    <w:p>
      <w:pPr>
        <w:spacing w:after="0" w:line="169"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On April 20, 2026, the Company’s Board of Directors declared a quarterly cash dividend of $0.36 per share of outstanding common stock payable on June 18, 2026 to stockholders of record at the close of business on June 4, 2026.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months ended March 31, 2026 and 2025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60" w:type="dxa"/>
            <w:vAlign w:val="bottom"/>
            <w:gridSpan w:val="5"/>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12,321</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three months ended March 31, 2026 and 2025, substantially all of the Company’s non-cash equity-based compensation expense related to RSUs.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RSU grants, net of forfeitures, of approximately (49,000). As of March 31, 2026, there are approximately 4,656,000 non-vested RSUs outstanding with a weighted average grant-date fair value of $24.49. As of March 31, 2026, the total unrecognized non-cash equity-based compensation expense related to the non-vested RSUs was approximately $51.0 million, which is expected to be recognized through 2030.</w:t>
      </w:r>
    </w:p>
    <w:p>
      <w:pPr>
        <w:spacing w:after="0" w:line="7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2026 and 2025, shares of common stock with an aggregate value of $0.4 million and $0.5 million were withheld upon vesting of RSUs and paid in connection with related remittance of employee withholding taxes to taxing authorities.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1, 2026, the Company granted approximately 1,215,000 RSUs with a grant date fair value of $16.7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55"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months ended March 31, 2026 and 2025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8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0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202,888</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39,732</w:t>
            </w:r>
          </w:p>
        </w:tc>
      </w:tr>
      <w:tr>
        <w:trPr>
          <w:trHeight w:val="231"/>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March 31, 2026 deferred revenue balance will be earned as content is downloaded or upon the expiration of subscription-based products, and nearly all is expected to be earned within the next</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color w:val="auto"/>
        </w:rPr>
        <w:t>twelve months. $143.6 million of total revenue recognized for the three months ended March 31, 2026 was reflected in deferred revenue as of December 31, 2025. In addition, as of March 31, 2026, the Company has approximately $35.2 million of contracted but unsatisfied performance obligations relating primarily to our data deal offerings, which are not included as a component of deferred revenue and that the Company expects to recognize over a five year period.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2026 and 2025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unrealized (loss) / gain on investments, and other</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14,195</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(expense) / income,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11"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were 3.7% and 8.5% for the three months ended March 31, 2026 and 2025, respectively. For the three months ended March 31, 2026, the net effect of discrete items decreased the effective tax rate by 33.2%. Excluding these items, the Company’s effective tax rate would have been 36.9% for the three months ended March 31, 2026.</w:t>
      </w:r>
    </w:p>
    <w:p>
      <w:pPr>
        <w:spacing w:after="0" w:line="75"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the net effect of discrete items decreased the effective tax rate by 19.6%. Excluding these items, the Company’s effective tax rate would have been 28.1% for the three months ended March 31, 2025.</w:t>
      </w:r>
    </w:p>
    <w:p>
      <w:pPr>
        <w:spacing w:after="0" w:line="6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uncertain tax positions recorded by the Company were a reserve of $6.6 million. During the three months ended March 31, 2025, uncertain tax positions recorded by the Company were not material. To the extent the remaining uncertain tax positions are ultimately recognized, the Company’s effective tax rate may be impacted in future periods.</w:t>
      </w:r>
    </w:p>
    <w:p>
      <w:pPr>
        <w:spacing w:after="0" w:line="75"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2026 and 2025.</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net cash taxes paid of $0.7 million and during the three months ended March 31, 2025, the Company had net cash tax refund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months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35,543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34,890</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31"/>
        </w:trPr>
        <w:tc>
          <w:tcPr>
            <w:tcW w:w="8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and Geographic Information</w:t>
      </w:r>
    </w:p>
    <w:p>
      <w:pPr>
        <w:spacing w:after="0" w:line="11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212"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8"/>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20,069</w:t>
            </w:r>
          </w:p>
        </w:tc>
        <w:tc>
          <w:tcPr>
            <w:tcW w:w="0" w:type="dxa"/>
            <w:vAlign w:val="bottom"/>
          </w:tcPr>
          <w:p>
            <w:pPr>
              <w:spacing w:after="0"/>
              <w:rPr>
                <w:sz w:val="1"/>
                <w:szCs w:val="1"/>
                <w:color w:val="auto"/>
              </w:rPr>
            </w:pP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89,432</w:t>
            </w:r>
          </w:p>
        </w:tc>
        <w:tc>
          <w:tcPr>
            <w:tcW w:w="0" w:type="dxa"/>
            <w:vAlign w:val="bottom"/>
          </w:tcPr>
          <w:p>
            <w:pPr>
              <w:spacing w:after="0"/>
              <w:rPr>
                <w:sz w:val="1"/>
                <w:szCs w:val="1"/>
                <w:color w:val="auto"/>
              </w:rPr>
            </w:pPr>
          </w:p>
        </w:tc>
      </w:tr>
      <w:tr>
        <w:trPr>
          <w:trHeight w:val="211"/>
        </w:trPr>
        <w:tc>
          <w:tcPr>
            <w:tcW w:w="8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30,522</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64,090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54,012</w:t>
            </w: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230,124</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0" w:type="dxa"/>
            <w:vAlign w:val="bottom"/>
          </w:tcPr>
          <w:p>
            <w:pPr>
              <w:spacing w:after="0"/>
              <w:rPr>
                <w:sz w:val="1"/>
                <w:szCs w:val="1"/>
                <w:color w:val="auto"/>
              </w:rPr>
            </w:pPr>
          </w:p>
        </w:tc>
      </w:tr>
      <w:tr>
        <w:trPr>
          <w:trHeight w:val="202"/>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0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8"/>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20,898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20,742</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00"/>
        </w:trPr>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40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22,704</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22,671</w:t>
            </w:r>
          </w:p>
        </w:tc>
        <w:tc>
          <w:tcPr>
            <w:tcW w:w="0" w:type="dxa"/>
            <w:vAlign w:val="bottom"/>
          </w:tcPr>
          <w:p>
            <w:pPr>
              <w:spacing w:after="0"/>
              <w:rPr>
                <w:sz w:val="1"/>
                <w:szCs w:val="1"/>
                <w:color w:val="auto"/>
              </w:rPr>
            </w:pPr>
          </w:p>
        </w:tc>
      </w:tr>
      <w:tr>
        <w:trPr>
          <w:trHeight w:val="23"/>
        </w:trPr>
        <w:tc>
          <w:tcPr>
            <w:tcW w:w="83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9"/>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89,021</w:t>
            </w:r>
          </w:p>
        </w:tc>
        <w:tc>
          <w:tcPr>
            <w:tcW w:w="1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120,208</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66,179</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47,428</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56,233</w:t>
            </w:r>
          </w:p>
        </w:tc>
        <w:tc>
          <w:tcPr>
            <w:tcW w:w="0" w:type="dxa"/>
            <w:vAlign w:val="bottom"/>
          </w:tcPr>
          <w:p>
            <w:pPr>
              <w:spacing w:after="0"/>
              <w:rPr>
                <w:sz w:val="1"/>
                <w:szCs w:val="1"/>
                <w:color w:val="auto"/>
              </w:rPr>
            </w:pPr>
          </w:p>
        </w:tc>
      </w:tr>
      <w:tr>
        <w:trPr>
          <w:trHeight w:val="200"/>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Pr>
          <w:p>
            <w:pPr>
              <w:spacing w:after="0"/>
              <w:rPr>
                <w:sz w:val="17"/>
                <w:szCs w:val="17"/>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0" w:type="dxa"/>
            <w:vAlign w:val="bottom"/>
          </w:tcPr>
          <w:p>
            <w:pPr>
              <w:spacing w:after="0"/>
              <w:rPr>
                <w:sz w:val="1"/>
                <w:szCs w:val="1"/>
                <w:color w:val="auto"/>
              </w:rPr>
            </w:pPr>
          </w:p>
        </w:tc>
      </w:tr>
      <w:tr>
        <w:trPr>
          <w:trHeight w:val="23"/>
        </w:trPr>
        <w:tc>
          <w:tcPr>
            <w:tcW w:w="8340" w:type="dxa"/>
            <w:vAlign w:val="bottom"/>
            <w:vMerge w:val="restart"/>
          </w:tcPr>
          <w:p>
            <w:pPr>
              <w:ind w:left="574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4"/>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33% and 39% of consolidated revenue for the three months ended March 31, 2026 and 2025,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32,553</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17,382</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62,553</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46% and 48% of total long-lived tangible assets as of March 31, 2026 and December 31, 2025, respectively. Ireland, included in Europe in the above table, accounted for 23% and 23% of total long-lived tangible assets as of March 31, 2026 and December 31, 2025, respectively. Australia, included in Rest of the world in the above table, accounted for 23% and 20% of the total long-lived tangible assets as of March 31, 2026 and December 31, 2025, respectively. No other country accounts for more than 10% of the Company’s long-lived tangible assets in any period presented.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2026, the Company had total other non-lease obligations in the amount of approximately $150.7 million, which consisted primarily of minimum royalty guarantees and unconditional purchase obligations related to contracts for infrastructure and other business services. As of March 31, 2026, the Company’s other obligations for the remainder of 2026 and for the years ending December 31, 2027, and 2028 were approximately $61.2 million, $51.3 million, and $38.2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3"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Although we are not currently a party to any material pending litigation (except as described below),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 Except as described below, the Company currently has no material active litigation matters and, accordingly, no material reserves related to litigation.</w:t>
      </w:r>
    </w:p>
    <w:p>
      <w:pPr>
        <w:spacing w:after="0" w:line="55"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Since the definitive proxy statement filed with the SEC on April 30, 2025 (the “Proxy Statement”), two complaints have been filed against Shutterstock and each member of Shutterstock’s board of directors (the “Individual Defendants”). The two complaints are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 claims for (i) negligent misrepresentation and concealment, and (ii) negligence in connection with the filing of the allegedly false and misleading Proxy Statement. The Stockholder Actions seek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 Except as described below, the Company currently does not expect the outcome of pending legal proceedings to have a material effect on its consolidated results of operations, financial position or cash flows</w:t>
      </w:r>
    </w:p>
    <w:p>
      <w:pPr>
        <w:spacing w:after="0" w:line="200" w:lineRule="exact"/>
        <w:rPr>
          <w:sz w:val="20"/>
          <w:szCs w:val="20"/>
          <w:color w:val="auto"/>
        </w:rPr>
      </w:pPr>
    </w:p>
    <w:p>
      <w:pPr>
        <w:spacing w:after="0" w:line="3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w:t>
      </w:r>
    </w:p>
    <w:p>
      <w:pPr>
        <w:spacing w:after="0" w:line="7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Shutterstock believes it has substantial defenses in connection with the Matters and no supplemental disclosure is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has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spacing w:after="0" w:line="53"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In August 2024, the Company received a Civil Investigative Demand (a “CID”) from the Federal Trade Commission (the “FTC”) regarding its investigation into the Company’s disclosure and subscription enrollment and cancellation practices under Section 5 of the Federal Trade Commission Act (“FTC Act”) and the Restore Online Shoppers’ Confidence Act (“ROSCA”). The Company has cooperated throughout the investigation, and in January 2026 the FTC entered into discussions with management to resolve this matter. The defense or resolution of this matter could involve significant monetary costs or penalties and have a significant impact on the Company’s financial results and operations. There can be no assurance that the Company will be successful in reaching a favorable resolution of this matter. Any costs, penalties, remedies or compliance requirements could adversely affect the Company’s ability to operate its business or have a materially adverse impact on its financial results. Since a possible range of loss cannot be reasonably estimated, the Company recorded its best estimate of a loss reserve. Accordingly, the Company recorded a legal contingency expense of $28.0 million for the three months ended March 31, 2026 within General and administrative expenses in the Consolidated Statements of Operations, and has a loss contingency accrual of $30.0 million recorded as of March 31, 2026 within Other current liabilities in the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13" w:lineRule="exact"/>
        <w:rPr>
          <w:sz w:val="20"/>
          <w:szCs w:val="20"/>
          <w:color w:val="auto"/>
        </w:rPr>
      </w:pPr>
    </w:p>
    <w:p>
      <w:pPr>
        <w:ind w:right="8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three months ended March 31, 2026, the Company made no material payments for losses on customer indemnification claims and recorded no liabilities related to indemnification for loss contingencies, before considering any insurance recoveries.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13" w:lineRule="exact"/>
        <w:rPr>
          <w:sz w:val="20"/>
          <w:szCs w:val="20"/>
          <w:color w:val="auto"/>
        </w:rPr>
      </w:pPr>
    </w:p>
    <w:p>
      <w:pPr>
        <w:jc w:val="both"/>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16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2025 Form 10-K.</w:t>
      </w:r>
    </w:p>
    <w:p>
      <w:pPr>
        <w:spacing w:after="0" w:line="111"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2025 Form 10-K for additional discussion of the risks and uncertainties that could cause our actual results to differ materially from those expressed or implied in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Getty Images</w:t>
      </w:r>
    </w:p>
    <w:p>
      <w:pPr>
        <w:spacing w:after="0" w:line="113" w:lineRule="exact"/>
        <w:rPr>
          <w:sz w:val="20"/>
          <w:szCs w:val="20"/>
          <w:color w:val="auto"/>
        </w:rPr>
      </w:pPr>
    </w:p>
    <w:p>
      <w:pPr>
        <w:jc w:val="both"/>
        <w:ind w:right="340" w:firstLine="395"/>
        <w:spacing w:after="0" w:line="303"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2" w:lineRule="exact"/>
        <w:rPr>
          <w:sz w:val="20"/>
          <w:szCs w:val="20"/>
          <w:color w:val="auto"/>
        </w:rPr>
      </w:pPr>
    </w:p>
    <w:p>
      <w:pPr>
        <w:ind w:left="640" w:right="140" w:hanging="319"/>
        <w:spacing w:after="0" w:line="268" w:lineRule="auto"/>
        <w:tabs>
          <w:tab w:leader="none" w:pos="6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60" w:hanging="319"/>
        <w:spacing w:after="0" w:line="268"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9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104"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48"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106" w:lineRule="exact"/>
        <w:rPr>
          <w:sz w:val="20"/>
          <w:szCs w:val="20"/>
          <w:color w:val="auto"/>
        </w:rPr>
      </w:pPr>
    </w:p>
    <w:p>
      <w:pPr>
        <w:ind w:left="640" w:right="46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satisfied at the special meeting described above, and the Getty Images stockholder approval, which condition was subsequently satisfied by the Getty Images stockholder written consent;</w:t>
      </w:r>
    </w:p>
    <w:p>
      <w:pPr>
        <w:spacing w:after="0" w:line="64" w:lineRule="exact"/>
        <w:rPr>
          <w:rFonts w:ascii="Times New Roman" w:cs="Times New Roman" w:eastAsia="Times New Roman" w:hAnsi="Times New Roman"/>
          <w:sz w:val="18"/>
          <w:szCs w:val="18"/>
          <w:color w:val="auto"/>
        </w:rPr>
      </w:pPr>
    </w:p>
    <w:p>
      <w:pPr>
        <w:ind w:left="640" w:right="180" w:hanging="319"/>
        <w:spacing w:after="0" w:line="332" w:lineRule="auto"/>
        <w:tabs>
          <w:tab w:leader="none" w:pos="63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108" w:lineRule="exact"/>
        <w:rPr>
          <w:rFonts w:ascii="Times New Roman" w:cs="Times New Roman" w:eastAsia="Times New Roman" w:hAnsi="Times New Roman"/>
          <w:sz w:val="18"/>
          <w:szCs w:val="18"/>
          <w:color w:val="auto"/>
        </w:rPr>
      </w:pPr>
    </w:p>
    <w:p>
      <w:pPr>
        <w:ind w:left="640" w:hanging="319"/>
        <w:spacing w:after="0" w:line="250"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applicable waiting period (and extensions thereof) under the Hart-Scott-Rodino Antitrust Improvements Act of 1976, as amended (the “HSR Act”). On April 2, 2025, the Company and Getty Images each received a Request for Additional Information and Documentary Material from the U.S. Department of Justice (“DOJ”) in connection with the Merger. On February 23, 2026, the Company announced the DOJ had concluded its review of the Merger and the applicable waiting period under the HSR Act had expired, without conditions. As a result, the condition under the HSR Act has been satisfied;</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right="20" w:hanging="319"/>
        <w:spacing w:after="0" w:line="253"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other regulatory approvals deemed necessary or advisable, including but not limited to the U.K. Competition and Markets Authority (the “CMA”):</w:t>
      </w:r>
    </w:p>
    <w:p>
      <w:pPr>
        <w:spacing w:after="0" w:line="195"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2025, the Company announced that the CMA referred the Merger to a Phase 2 review process;</w:t>
      </w:r>
    </w:p>
    <w:p>
      <w:pPr>
        <w:spacing w:after="0" w:line="227" w:lineRule="exact"/>
        <w:rPr>
          <w:rFonts w:ascii="Times New Roman" w:cs="Times New Roman" w:eastAsia="Times New Roman" w:hAnsi="Times New Roman"/>
          <w:sz w:val="18"/>
          <w:szCs w:val="18"/>
          <w:color w:val="auto"/>
        </w:rPr>
      </w:pPr>
    </w:p>
    <w:p>
      <w:pPr>
        <w:ind w:left="1260" w:right="500" w:hanging="307"/>
        <w:spacing w:after="0" w:line="241" w:lineRule="auto"/>
        <w:tabs>
          <w:tab w:leader="none" w:pos="12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the Company announced that the CMA issued its Interim Report and provisionally concluded the Merger is not expected to result in competition issues in the global stock content market, but that the Merger may result in a “substantial lessening of competition” (“SLC”) in the U.K. editorial market; and</w:t>
      </w:r>
    </w:p>
    <w:p>
      <w:pPr>
        <w:spacing w:after="0" w:line="205" w:lineRule="exact"/>
        <w:rPr>
          <w:rFonts w:ascii="Times New Roman" w:cs="Times New Roman" w:eastAsia="Times New Roman" w:hAnsi="Times New Roman"/>
          <w:sz w:val="18"/>
          <w:szCs w:val="18"/>
          <w:color w:val="auto"/>
        </w:rPr>
      </w:pPr>
    </w:p>
    <w:p>
      <w:pPr>
        <w:ind w:left="1260" w:right="120" w:hanging="307"/>
        <w:spacing w:after="0" w:line="232" w:lineRule="auto"/>
        <w:tabs>
          <w:tab w:leader="none" w:pos="12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2026, the CMA published the summary of its Interim Report on Remedies (“IRR”), following its interim report of February 19, 2026 which provisionally found that the Merger could be expected to lead to an SLC in the supply of editorial content in the U.K. The IRR states that the remedy proposal offered by Getty Images was unlikely to address the provisional SLC it had identified but that a sale of Shutterstock’s Rex Features, Backgrid and Splash News businesses would likely be acceptable. The CMA is now further consulting on that proposition including its view that Rex Features, Backgrid and Splash News could be sold to different buyers. The statutory deadline for the CMA to publish its final report is June 14, 2026.</w:t>
      </w:r>
    </w:p>
    <w:p>
      <w:pPr>
        <w:spacing w:after="0" w:line="207" w:lineRule="exact"/>
        <w:rPr>
          <w:sz w:val="20"/>
          <w:szCs w:val="20"/>
          <w:color w:val="auto"/>
        </w:rPr>
      </w:pPr>
    </w:p>
    <w:p>
      <w:pPr>
        <w:ind w:left="640" w:right="200"/>
        <w:spacing w:after="0" w:line="253" w:lineRule="auto"/>
        <w:rPr>
          <w:sz w:val="20"/>
          <w:szCs w:val="20"/>
          <w:color w:val="auto"/>
        </w:rPr>
      </w:pPr>
      <w:r>
        <w:rPr>
          <w:rFonts w:ascii="Times New Roman" w:cs="Times New Roman" w:eastAsia="Times New Roman" w:hAnsi="Times New Roman"/>
          <w:sz w:val="18"/>
          <w:szCs w:val="18"/>
          <w:color w:val="auto"/>
        </w:rPr>
        <w:t>The Company remains committed to the proposed Merger and will continue to engage with the CMA, including on its provisional SLC finding, and work with Getty Images to expeditiously secure the necessary clearances on its Editorial business.</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 2025, global Editorial revenue was $32.7 million, of which $11.7 million related to our Rex Features related content and Shutterstock brands and</w:t>
      </w:r>
    </w:p>
    <w:p>
      <w:pPr>
        <w:spacing w:after="0" w:line="33" w:lineRule="exact"/>
        <w:rPr>
          <w:sz w:val="20"/>
          <w:szCs w:val="20"/>
          <w:color w:val="auto"/>
        </w:rPr>
      </w:pPr>
    </w:p>
    <w:p>
      <w:pPr>
        <w:jc w:val="both"/>
        <w:ind w:left="640"/>
        <w:spacing w:after="0" w:line="233" w:lineRule="auto"/>
        <w:rPr>
          <w:sz w:val="20"/>
          <w:szCs w:val="20"/>
          <w:color w:val="auto"/>
        </w:rPr>
      </w:pPr>
      <w:r>
        <w:rPr>
          <w:rFonts w:ascii="Times New Roman" w:cs="Times New Roman" w:eastAsia="Times New Roman" w:hAnsi="Times New Roman"/>
          <w:sz w:val="18"/>
          <w:szCs w:val="18"/>
          <w:color w:val="auto"/>
        </w:rPr>
        <w:t>$21.0 million was from our Backgrid and Splash branded content. In addition, our 2025 Editorial revenue for customers in the U.K. was $10.6 million, of which $5.4 million related to our Rex Features related content and Shutterstock brands and $5.2 million was from our Backgrid and Splash branded content.</w:t>
      </w:r>
    </w:p>
    <w:p>
      <w:pPr>
        <w:spacing w:after="0" w:line="219" w:lineRule="exact"/>
        <w:rPr>
          <w:sz w:val="20"/>
          <w:szCs w:val="20"/>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108"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50" w:lineRule="exact"/>
        <w:rPr>
          <w:rFonts w:ascii="Times New Roman" w:cs="Times New Roman" w:eastAsia="Times New Roman" w:hAnsi="Times New Roman"/>
          <w:sz w:val="18"/>
          <w:szCs w:val="18"/>
          <w:color w:val="auto"/>
        </w:rPr>
      </w:pPr>
    </w:p>
    <w:p>
      <w:pPr>
        <w:ind w:left="640" w:right="120" w:hanging="319"/>
        <w:spacing w:after="0" w:line="235"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On September 18, 2025, the Company and Getty Images agreed to waive this condition such that it is no longer a condition to the Merger.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color w:val="auto"/>
        </w:rPr>
        <w:t>solutions for high-quality content matched with production tools and services through Shutterstock Studios and (iv) other tailored white-glove services (collectively, our “Data, Distribution, and Services” offerings).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Envato. Shutterstock, our flagship brand, includes various content types such as image, footage, music and editorial.</w:t>
      </w:r>
    </w:p>
    <w:p>
      <w:pPr>
        <w:spacing w:after="0" w:line="104"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Envato enhances digital creative assets and templates.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10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for the three months ended March 31, 2025, which was acquired in July 22,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months ended March 31, 2026 and 2025:</w:t>
      </w:r>
    </w:p>
    <w:p>
      <w:pPr>
        <w:spacing w:after="0" w:line="14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1,079,000</w:t>
            </w: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92"/>
        </w:trPr>
        <w:tc>
          <w:tcPr>
            <w:tcW w:w="8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147" w:lineRule="exact"/>
        <w:rPr>
          <w:sz w:val="20"/>
          <w:szCs w:val="20"/>
          <w:color w:val="auto"/>
        </w:rPr>
      </w:pPr>
    </w:p>
    <w:p>
      <w:pPr>
        <w:ind w:right="380" w:firstLine="5"/>
        <w:spacing w:after="0" w:line="209" w:lineRule="auto"/>
        <w:tabs>
          <w:tab w:leader="none" w:pos="101"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22, 2024.</w:t>
      </w:r>
    </w:p>
    <w:p>
      <w:pPr>
        <w:spacing w:after="0" w:line="200" w:lineRule="exact"/>
        <w:rPr>
          <w:sz w:val="20"/>
          <w:szCs w:val="20"/>
          <w:color w:val="auto"/>
        </w:rPr>
      </w:pPr>
    </w:p>
    <w:p>
      <w:pPr>
        <w:spacing w:after="0" w:line="21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12"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2025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3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2025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w:t>
      </w:r>
    </w:p>
    <w:p>
      <w:pPr>
        <w:spacing w:after="0" w:line="11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2026 and 2025 are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r>
      <w:tr>
        <w:trPr>
          <w:trHeight w:val="190"/>
        </w:trPr>
        <w:tc>
          <w:tcPr>
            <w:tcW w:w="8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185"/>
        </w:trPr>
        <w:tc>
          <w:tcPr>
            <w:tcW w:w="8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8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202,888</w:t>
            </w: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39,732</w:t>
            </w:r>
          </w:p>
        </w:tc>
      </w:tr>
      <w:tr>
        <w:trPr>
          <w:trHeight w:val="23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 software and other IT equipment costs, allocated facility expenses and other supporting overhead costs.</w:t>
      </w:r>
    </w:p>
    <w:p>
      <w:pPr>
        <w:spacing w:after="0" w:line="111" w:lineRule="exact"/>
        <w:rPr>
          <w:sz w:val="20"/>
          <w:szCs w:val="20"/>
          <w:color w:val="auto"/>
        </w:rPr>
      </w:pPr>
    </w:p>
    <w:p>
      <w:pPr>
        <w:ind w:right="2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right="3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unrealized gains and losses on investments and interest income and expense.</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242,620</w:t>
            </w:r>
          </w:p>
        </w:tc>
      </w:tr>
      <w:tr>
        <w:trPr>
          <w:trHeight w:val="21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r>
      <w:tr>
        <w:trPr>
          <w:trHeight w:val="202"/>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r>
      <w:tr>
        <w:trPr>
          <w:trHeight w:val="20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r>
      <w:tr>
        <w:trPr>
          <w:trHeight w:val="202"/>
        </w:trPr>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02"/>
        </w:trPr>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18,688</w:t>
            </w: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9"/>
        </w:trPr>
        <w:tc>
          <w:tcPr>
            <w:tcW w:w="9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9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9"/>
        </w:trPr>
        <w:tc>
          <w:tcPr>
            <w:tcW w:w="9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2"/>
        </w:trPr>
        <w:tc>
          <w:tcPr>
            <w:tcW w:w="9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9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2"/>
        </w:trPr>
        <w:tc>
          <w:tcPr>
            <w:tcW w:w="9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2"/>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0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9"/>
        </w:trPr>
        <w:tc>
          <w:tcPr>
            <w:tcW w:w="9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2"/>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2"/>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2"/>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 income</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r>
      <w:tr>
        <w:trPr>
          <w:trHeight w:val="24"/>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2"/>
        </w:trPr>
        <w:tc>
          <w:tcPr>
            <w:tcW w:w="5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(403)</w:t>
            </w: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(29,176)</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(201)</w:t>
            </w: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(69,793)</w:t>
            </w:r>
          </w:p>
        </w:tc>
        <w:tc>
          <w:tcPr>
            <w:tcW w:w="12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(342)</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(204)</w:t>
            </w:r>
          </w:p>
        </w:tc>
      </w:tr>
      <w:tr>
        <w:trPr>
          <w:trHeight w:val="202"/>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(66,257)</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Revenue decreased by $43.5 million, or 18%, to $199.2 million for the three months ended March 31, 2026, compared to the same period in 2025. On a constant currency basis, revenue decreased by 19% in the three months ended March 31, 2026, compared to the same period in 2025.</w:t>
      </w:r>
    </w:p>
    <w:p>
      <w:pPr>
        <w:spacing w:after="0" w:line="104"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Content revenues decreased by 12%, to $178.1 million in the three months ended March 31, 2026, compared to the same period in 2025. On a constant currency basis, content revenue decreased by 14% in the three months ended March 31, 2026, compared to the same period in 2025. During the three months ended March 31, 2026, the reduction in our Content revenue was driven primarily by weakness in new customer acquisition.</w:t>
      </w:r>
    </w:p>
    <w:p>
      <w:pPr>
        <w:spacing w:after="0" w:line="11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Data, Distribution, and Services revenues decreased by 47%, to $21.0 million in the three months ended March 31, 2026, compared to the same period in 2025. Data, Distribution, and Services revenues were not impacted on a constant currency basis in the three months ended March 31, 2026, compared to the same period in 2025. The decrease in Data, Distribution, and Services revenues was primarily driven by a decline in our data offering, which decreased by 63% in the three months ended March 31, 2026 compared to the same period in 2025. Revenue recognition in our data offering may vary from quarter-to-quarter based on the delivery timing of metadata licenses.</w:t>
      </w:r>
    </w:p>
    <w:p>
      <w:pPr>
        <w:spacing w:after="0" w:line="106"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decreased by $31.2 million, or 26%, to $89.0 million, revenue from Europe decreased by $3.5 million, or 5%, to $62.7 million and revenue from outside Europe and North America decreased by $8.8 million, or 16%, to $47.4 million, in the three months ended March 31, 2026 compared to the same period in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6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decreased by $6.1 million to $94.8 million in the three months ended March 31, 2026 compared to the same period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This decrease is primarily due to lower royalty expenses as a result of the decline in revenue for the quarter. As a percentage of revenue, cost of revenue increased to 48% for the three months ended March 31, 2026, from 42% for the same period in 2025, and this increase relate to AI token usage fees and website hosting costs which do not fluctuate with revenue. We expect that our cost of revenue will continue to fluctuate in-line with changes in revenue.</w:t>
      </w:r>
    </w:p>
    <w:p>
      <w:pPr>
        <w:spacing w:after="0" w:line="46" w:lineRule="exact"/>
        <w:rPr>
          <w:sz w:val="20"/>
          <w:szCs w:val="20"/>
          <w:color w:val="auto"/>
        </w:rPr>
      </w:pPr>
    </w:p>
    <w:p>
      <w:pPr>
        <w:ind w:right="1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$5.0 million, or 9%, to $48.3 million in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This was driven by a decrease in brand and performance-based marketing expenses. As a percentage of revenue, sales and marketing expenses increased to 24% for the three months ended March 31, 2026, from 22% for the same period in 2025. We expect sales and marketing expenses to continue to fluctuate as we optimize our sales channels and invest in new customer acquisition, products and geographies.</w:t>
      </w:r>
    </w:p>
    <w:p>
      <w:pPr>
        <w:spacing w:after="0" w:line="75" w:lineRule="exact"/>
        <w:rPr>
          <w:sz w:val="20"/>
          <w:szCs w:val="20"/>
          <w:color w:val="auto"/>
        </w:rPr>
      </w:pPr>
    </w:p>
    <w:p>
      <w:pPr>
        <w:ind w:right="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decreased by $0.5 million to $19.4 million in the three months ended March 31,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2025. The decrease in product development was driven by a decrease in</w:t>
      </w:r>
    </w:p>
    <w:p>
      <w:pPr>
        <w:spacing w:after="0" w:line="200" w:lineRule="exact"/>
        <w:rPr>
          <w:sz w:val="20"/>
          <w:szCs w:val="20"/>
          <w:color w:val="auto"/>
        </w:rPr>
      </w:pPr>
    </w:p>
    <w:p>
      <w:pPr>
        <w:spacing w:after="0" w:line="29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employee-related costs. This was partially offset by increases in software licenses and third-party contractor related costs, net of capitalized labor.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73" w:lineRule="exact"/>
        <w:rPr>
          <w:sz w:val="20"/>
          <w:szCs w:val="20"/>
          <w:color w:val="auto"/>
        </w:rPr>
      </w:pPr>
    </w:p>
    <w:p>
      <w:pPr>
        <w:ind w:right="6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$9.3 million to $67.6 million in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This increase was driven by increases in legal contingencies of $28.0 million (see Item 1 of Part I, “Financial Statements — Note 15 — Commitments and Contingencies — Legal Matters” for more information) offset by a decrease in employee-related expenses.</w:t>
      </w:r>
    </w:p>
    <w:p>
      <w:pPr>
        <w:spacing w:after="0" w:line="19" w:lineRule="exact"/>
        <w:rPr>
          <w:sz w:val="20"/>
          <w:szCs w:val="20"/>
          <w:color w:val="auto"/>
        </w:rPr>
      </w:pPr>
    </w:p>
    <w:p>
      <w:pPr>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three months ended March 31, 2026 and March 31, 2025, we recognized interest expense of $3.8 million and $4.3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related to our credit facility and the amortization of deferred financing fees. Interest expense for the three months ended March 31, 2026 decreased due to lower interest rates in the three months ended March 31, 2026 as compared to the same period in 2025.</w:t>
      </w:r>
    </w:p>
    <w:p>
      <w:pPr>
        <w:spacing w:after="0" w:line="7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In the three months ended March 31, 2026, other (expense) / income, net was driven by $15.3 million of unrealized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investment in Meitu, Inc. In addition, other income, net had $0.8 million of interest income and $0.2 million of unrealized foreign currency losses. In the three months ended March 31, 2025, other income, net was primarily driven by $13.3 million of unrealized gains related to our investment in Meitu, Inc. In addition, other income, net had $0.9 million of interest income and $0.3 million of unrealized foreign currency gains.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1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income tax expense decreased by $3.5 million for the three months ended March 31, 2026, compared to the same period in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a net benefit of 3.7% and 8.5% for the three months ended March 31, 2026 and 2025, respectively.</w:t>
      </w:r>
    </w:p>
    <w:p>
      <w:pPr>
        <w:spacing w:after="0" w:line="48" w:lineRule="exact"/>
        <w:rPr>
          <w:sz w:val="20"/>
          <w:szCs w:val="20"/>
          <w:color w:val="auto"/>
        </w:rPr>
      </w:pPr>
    </w:p>
    <w:p>
      <w:pPr>
        <w:ind w:right="140" w:firstLine="395"/>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the net effect of discrete items decreased the effective tax rate by 33.2%. The discrete items for the three months ended March 31, 2026 primarily relate to an increase in the UK valuation allowance due to the mark-to-market loss on the Meitu investment, a one-time charge related to the expiration of an equity award, and the establishment of a tax reserve for the proposed FTC settlement. Excluding discrete items, our effective tax rate would have been 36.9% for the three months ended March 31, 2026.</w:t>
      </w:r>
    </w:p>
    <w:p>
      <w:pPr>
        <w:spacing w:after="0" w:line="22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net effect of discrete items decreased the effective tax rate by 19.6%. The discrete items for the three months ended March 31, 2025 primarily relate to decreases for the UK valuation and tax reserve releases. Excluding discrete items, our effective tax rate would have been 28.1% for the three months ended March 31, 2025.</w:t>
      </w:r>
    </w:p>
    <w:p>
      <w:pPr>
        <w:spacing w:after="0" w:line="101"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w:t>
      </w:r>
    </w:p>
    <w:p>
      <w:pPr>
        <w:spacing w:after="0" w:line="90" w:lineRule="exact"/>
        <w:rPr>
          <w:sz w:val="20"/>
          <w:szCs w:val="20"/>
          <w:color w:val="auto"/>
        </w:rPr>
      </w:pPr>
    </w:p>
    <w:p>
      <w:pPr>
        <w:jc w:val="both"/>
        <w:ind w:right="18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$162.5 million which consisted primarily of bank balances. Since inception, we have financed our operations primarily through cash flows generated from operations. In addition, if necessary, we have the ability to draw on our A&amp;R Credit Agreement dated July 22, 2024.</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$0.36 per share of common stock, or $12.8 million during the three months ended March 31, 2026.</w:t>
      </w:r>
    </w:p>
    <w:p>
      <w:pPr>
        <w:spacing w:after="0" w:line="10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On April 20, 2026, the Company’s Board of Directors declared a quarterly cash dividend of $0.36 per share of outstanding common stock payable on June 18, 2026 to stockholders of record at the close of business on June 4, 2026.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“Share Repurchase Program”), providing authorization to repurchase up to $100 million of our common stock.</w:t>
      </w:r>
    </w:p>
    <w:p>
      <w:pPr>
        <w:spacing w:after="0" w:line="64"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2026, we have repurchased approximately 5.5 million shares of our common stock in total since 2015 under the Share repurchase programs (including the 2015 and 2017 Share Repurchase Programs and the 2023 Share Repurchase Program) at an average per-share cost of $48.86. During the three months ended March 31, 2026 and 2025, we did not repurchase shares of our common stock. As of March 31, 2026, we had $30.2 million of remaining authorization for repurchases under the Share Repurchase Program.</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91" w:lineRule="exact"/>
        <w:rPr>
          <w:sz w:val="20"/>
          <w:szCs w:val="20"/>
          <w:color w:val="auto"/>
        </w:rPr>
      </w:pPr>
    </w:p>
    <w:p>
      <w:pPr>
        <w:ind w:right="540" w:firstLine="395"/>
        <w:spacing w:after="0" w:line="332"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we had a remaining borrowing capacity of $94 million, net of standby letters of credit.</w:t>
      </w:r>
    </w:p>
    <w:p>
      <w:pPr>
        <w:spacing w:after="0" w:line="10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March 31, 2026,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3,110</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116,639</w:t>
            </w:r>
          </w:p>
        </w:tc>
      </w:tr>
    </w:tbl>
    <w:p>
      <w:pPr>
        <w:spacing w:after="0" w:line="12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we recognized interest expense of $3.8 million and $4.3 million, respectively. As of March 31, 2026, unamortized debt issuance cost related to the Term Loan - A&amp;R Credit Agreement is $0.5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2026, we had approximately $151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March 31, 2026, we had approximately $26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15 to our Unaudited Consolidated Financial Statements included in Part I, Item 1 of this Quarterly Report on Form 10-Q for information regarding our existing capital commitments as of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2026 and 2025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9"/>
              </w:rPr>
              <w:t>17,370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483"/>
              <w:spacing w:after="0"/>
              <w:rPr>
                <w:sz w:val="20"/>
                <w:szCs w:val="20"/>
                <w:color w:val="auto"/>
              </w:rPr>
            </w:pPr>
            <w:r>
              <w:rPr>
                <w:rFonts w:ascii="Times New Roman" w:cs="Times New Roman" w:eastAsia="Times New Roman" w:hAnsi="Times New Roman"/>
                <w:sz w:val="16"/>
                <w:szCs w:val="16"/>
                <w:color w:val="auto"/>
                <w:w w:val="99"/>
              </w:rPr>
              <w:t>25,247</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center"/>
              <w:ind w:left="525"/>
              <w:spacing w:after="0"/>
              <w:rPr>
                <w:sz w:val="20"/>
                <w:szCs w:val="20"/>
                <w:color w:val="auto"/>
              </w:rPr>
            </w:pPr>
            <w:r>
              <w:rPr>
                <w:rFonts w:ascii="Times New Roman" w:cs="Times New Roman" w:eastAsia="Times New Roman" w:hAnsi="Times New Roman"/>
                <w:sz w:val="16"/>
                <w:szCs w:val="16"/>
                <w:color w:val="auto"/>
                <w:w w:val="98"/>
              </w:rPr>
              <w:t>(11,146)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463"/>
              <w:spacing w:after="0"/>
              <w:rPr>
                <w:sz w:val="20"/>
                <w:szCs w:val="20"/>
                <w:color w:val="auto"/>
              </w:rPr>
            </w:pPr>
            <w:r>
              <w:rPr>
                <w:rFonts w:ascii="Times New Roman" w:cs="Times New Roman" w:eastAsia="Times New Roman" w:hAnsi="Times New Roman"/>
                <w:sz w:val="16"/>
                <w:szCs w:val="16"/>
                <w:color w:val="auto"/>
                <w:w w:val="98"/>
              </w:rPr>
              <w:t>(11,234)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6"/>
                <w:szCs w:val="16"/>
                <w:color w:val="auto"/>
                <w:w w:val="98"/>
              </w:rPr>
              <w:t>(19,950)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463"/>
              <w:spacing w:after="0"/>
              <w:rPr>
                <w:sz w:val="20"/>
                <w:szCs w:val="20"/>
                <w:color w:val="auto"/>
              </w:rPr>
            </w:pPr>
            <w:r>
              <w:rPr>
                <w:rFonts w:ascii="Times New Roman" w:cs="Times New Roman" w:eastAsia="Times New Roman" w:hAnsi="Times New Roman"/>
                <w:sz w:val="16"/>
                <w:szCs w:val="16"/>
                <w:color w:val="auto"/>
                <w:w w:val="98"/>
              </w:rPr>
              <w:t>(15,821)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$17.4 million for the three months ended March 31, 2026, compared to $25.2 million for the three months ended March 31, 2025. The decline in cash flows for the three months ended March 31, 2026, compared to the prior year, is primarily attributed to the year-over-year decline in revenue. First quarter operating cash flows are also impacted by payments of year-end bonuses and commissions.</w:t>
      </w:r>
    </w:p>
    <w:p>
      <w:pPr>
        <w:spacing w:after="0" w:line="114"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In the three months ended March 31, 2025, operating cash flows were unfavorably impacted from payments of year-end bonuses and commissions, which are typical first quarter cash outflows.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was $11.1 million, consisting primarily of (i) capital expenditures of $11.6 million for internal-use software and website development costs and purchases of software and equipment; and (ii) $0.2 million paid to acquire the rights to distribute certain digital content into perpetuity. These cash outflows were partially offset by $0.4 million of Giphy Retention Compensation, as reimbursed by the Giphy seller.</w:t>
      </w:r>
    </w:p>
    <w:p>
      <w:pPr>
        <w:spacing w:after="0" w:line="78" w:lineRule="exact"/>
        <w:rPr>
          <w:sz w:val="20"/>
          <w:szCs w:val="20"/>
          <w:color w:val="auto"/>
        </w:rPr>
      </w:pPr>
    </w:p>
    <w:p>
      <w:pPr>
        <w:jc w:val="both"/>
        <w:ind w:right="2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2025 was $11.2 million, consisting primarily of (i) capital expenditures of $10.8 million for internal-use software and website development costs and purchases of software and equipment; and (ii) $0.9 million paid to acquire the rights to distribute certain digital content in perpetuity. These cash outflows were partially offset by $0.5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was $20.0 million, consisting of (i) $12.8 million, related to the payment of the quarterly cash dividend; (ii) $6.4 million paid in the settlement of tax withholding obligations related to employee stock-based compensation awards; and (ii) $0.8 million used for the repayment of our A&amp;R Credit Agreement.</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2025 was $15.8 million, consisting of (i) $11.5 million related to the payment of the quarterly cash dividend; (ii) $3.5 million paid in settlement of tax withholding obligations related to employee stock-based compensation awards; and (II) $0.8 million used for the repayment of our A&amp;R Credit Agreement.</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 (decline)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20,730</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36,291</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42,706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63,363</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13,132</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23,384</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(decline) / growth on a constant currency basis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 (decline)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 (decline)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90"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 (decline) (including by product offering) on a constant currency basis (expressed as a percentage) and adjusted free cash flow, as well as a reconciliation of the differences between each of our non-GAAP financial measures (adjusted EBITDA, adjusted net income, revenue growth / (decline)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March 31, 2026, the Company also incurred $3.3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legal contingencies, Giphy Retention Compensation Expense - non-recurring, unrealized gains and losses on investments, severance costs associated with strategic workforce optimizations, costs incurred associated with the Getty merger, and the estimated tax impact of such adjustments. We define adjusted net income per diluted common share as adjusted net income divided by weighted average diluted shares.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w:t>
            </w:r>
          </w:p>
        </w:tc>
      </w:tr>
      <w:tr>
        <w:trPr>
          <w:trHeight w:val="211"/>
        </w:trPr>
        <w:tc>
          <w:tcPr>
            <w:tcW w:w="8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r>
      <w:tr>
        <w:trPr>
          <w:trHeight w:val="211"/>
        </w:trPr>
        <w:tc>
          <w:tcPr>
            <w:tcW w:w="8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r>
      <w:tr>
        <w:trPr>
          <w:trHeight w:val="211"/>
        </w:trPr>
        <w:tc>
          <w:tcPr>
            <w:tcW w:w="8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1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contingencies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12"/>
        </w:trPr>
        <w:tc>
          <w:tcPr>
            <w:tcW w:w="8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11,861</w:t>
            </w:r>
          </w:p>
        </w:tc>
      </w:tr>
      <w:tr>
        <w:trPr>
          <w:trHeight w:val="212"/>
        </w:trPr>
        <w:tc>
          <w:tcPr>
            <w:tcW w:w="8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Merger related costs</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r>
      <w:tr>
        <w:trPr>
          <w:trHeight w:val="211"/>
        </w:trPr>
        <w:tc>
          <w:tcPr>
            <w:tcW w:w="8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(13,080)</w:t>
            </w:r>
          </w:p>
        </w:tc>
      </w:tr>
      <w:tr>
        <w:trPr>
          <w:trHeight w:val="211"/>
        </w:trPr>
        <w:tc>
          <w:tcPr>
            <w:tcW w:w="8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36,291</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8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 per diluted common share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63"/>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2" w:lineRule="exact"/>
        <w:rPr>
          <w:rFonts w:ascii="Times New Roman" w:cs="Times New Roman" w:eastAsia="Times New Roman" w:hAnsi="Times New Roman"/>
          <w:sz w:val="14"/>
          <w:szCs w:val="14"/>
          <w:color w:val="auto"/>
        </w:rPr>
      </w:pPr>
    </w:p>
    <w:p>
      <w:pPr>
        <w:ind w:left="320" w:right="600" w:hanging="315"/>
        <w:spacing w:after="0" w:line="251" w:lineRule="auto"/>
        <w:tabs>
          <w:tab w:leader="none" w:pos="3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$8.9 million and $9.0 million are included in cost of revenue for the three months ended March 31, 2026 and 2025, respectively. The remainder of acquisition-related amortization expense is included in general and administrative expense in the Statement of Operations.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Giphy Retention Compensation Expense - non-recurring, costs incurred associated with the Getty merger, foreign currency transaction gains and losses, severance costs associated with strategic workforce optimizations, legal contingencies, unrealized gains and losses on investments, interest income and expense and income taxes. We define adjusted EBITDA margin as the ratio of adjusted EBITDA to revenue.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(47,569)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18,688</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4,298</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(935)</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1,730</w:t>
            </w:r>
          </w:p>
        </w:tc>
      </w:tr>
      <w:tr>
        <w:trPr>
          <w:trHeight w:val="209"/>
        </w:trPr>
        <w:tc>
          <w:tcPr>
            <w:tcW w:w="8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22,704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22,671</w:t>
            </w:r>
          </w:p>
        </w:tc>
      </w:tr>
      <w:tr>
        <w:trPr>
          <w:trHeight w:val="20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(23,712)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46,452</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17,884</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566</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11,861</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(320)</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 (gain) on investment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15,305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(13,260)</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Legal contingencies</w:t>
            </w: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6,080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180</w:t>
            </w:r>
          </w:p>
        </w:tc>
      </w:tr>
      <w:tr>
        <w:trPr>
          <w:trHeight w:val="20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42,706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63,363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9"/>
        </w:trPr>
        <w:tc>
          <w:tcPr>
            <w:tcW w:w="8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242,620</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 margin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 (Decline) (including by product offering) on a Constant Currency Basis</w:t>
      </w:r>
    </w:p>
    <w:p>
      <w:pPr>
        <w:spacing w:after="0" w:line="1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199,170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242,620</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(decline) /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(decline) /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178,126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202,888</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(decline) /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(decline) /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21,044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39,732</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 (decline)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 (decline)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r>
    </w:tbl>
    <w:p>
      <w:pPr>
        <w:spacing w:after="0" w:line="200" w:lineRule="exact"/>
        <w:rPr>
          <w:sz w:val="20"/>
          <w:szCs w:val="20"/>
          <w:color w:val="auto"/>
        </w:rPr>
      </w:pPr>
    </w:p>
    <w:p>
      <w:pPr>
        <w:spacing w:after="0" w:line="3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Merger related costs.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3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7"/>
                <w:szCs w:val="17"/>
                <w:color w:val="auto"/>
              </w:rPr>
            </w:pP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25,247</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w:t>
            </w:r>
          </w:p>
        </w:tc>
      </w:tr>
      <w:tr>
        <w:trPr>
          <w:trHeight w:val="265"/>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25,247</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related costs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31% and 27% for the three months ended March 31, 2026 and 2025,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2026,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201"/>
              <w:spacing w:after="0"/>
              <w:rPr>
                <w:sz w:val="20"/>
                <w:szCs w:val="20"/>
                <w:color w:val="auto"/>
              </w:rPr>
            </w:pPr>
            <w:r>
              <w:rPr>
                <w:rFonts w:ascii="Arial" w:cs="Arial" w:eastAsia="Arial" w:hAnsi="Arial"/>
                <w:sz w:val="12"/>
                <w:szCs w:val="12"/>
                <w:b w:val="1"/>
                <w:bCs w:val="1"/>
                <w:color w:val="auto"/>
              </w:rPr>
              <w:t>Three Months Ended March 31,</w:t>
            </w:r>
          </w:p>
        </w:tc>
        <w:tc>
          <w:tcPr>
            <w:tcW w:w="800" w:type="dxa"/>
            <w:vAlign w:val="bottom"/>
            <w:tcBorders>
              <w:bottom w:val="single" w:sz="8" w:color="auto"/>
            </w:tcBorders>
          </w:tcPr>
          <w:p>
            <w:pPr>
              <w:spacing w:after="0"/>
              <w:rPr>
                <w:sz w:val="14"/>
                <w:szCs w:val="14"/>
                <w:color w:val="auto"/>
              </w:rPr>
            </w:pPr>
          </w:p>
        </w:tc>
      </w:tr>
      <w:tr>
        <w:trPr>
          <w:trHeight w:val="163"/>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2026</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r>
      <w:tr>
        <w:trPr>
          <w:trHeight w:val="116"/>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35,852</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11,679</w:t>
            </w:r>
          </w:p>
        </w:tc>
      </w:tr>
      <w:tr>
        <w:trPr>
          <w:trHeight w:val="211"/>
        </w:trPr>
        <w:tc>
          <w:tcPr>
            <w:tcW w:w="72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137,761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177,112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31"/>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March 31,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1 of Part I, “Financial Statements — Note 15 — Commitments and Contingencies — Legal Matters.”</w:t>
      </w:r>
    </w:p>
    <w:p>
      <w:pPr>
        <w:spacing w:after="0" w:line="3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2025 Form 10-K, which could materially affect our business, financial condition or future results. During the three months ended March 31, 2026, there were no material changes to these risk factors as described in our 2025 Form 10-K.</w:t>
      </w:r>
    </w:p>
    <w:p>
      <w:pPr>
        <w:spacing w:after="0" w:line="2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7"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1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4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8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8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0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2.1</w:t>
            </w:r>
          </w:p>
        </w:tc>
        <w:tc>
          <w:tcPr>
            <w:tcW w:w="100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r:id="rId56">
              <w:r>
                <w:rPr>
                  <w:rFonts w:ascii="Times New Roman" w:cs="Times New Roman" w:eastAsia="Times New Roman" w:hAnsi="Times New Roman"/>
                  <w:sz w:val="16"/>
                  <w:szCs w:val="16"/>
                  <w:color w:val="0000FF"/>
                  <w:w w:val="98"/>
                </w:rPr>
                <w:t>Agreement and Plan of Merger, dated as of January 6, 2025, by and among Getty Images, Merger Sub 2, Merger Sub 3, Shutterstock, HoldCo and Merger Sub</w:t>
              </w:r>
            </w:hyperlink>
          </w:p>
        </w:tc>
      </w:tr>
      <w:tr>
        <w:trPr>
          <w:trHeight w:val="138"/>
        </w:trPr>
        <w:tc>
          <w:tcPr>
            <w:tcW w:w="800" w:type="dxa"/>
            <w:vAlign w:val="bottom"/>
          </w:tcPr>
          <w:p>
            <w:pPr>
              <w:spacing w:after="0"/>
              <w:rPr>
                <w:sz w:val="11"/>
                <w:szCs w:val="11"/>
                <w:color w:val="auto"/>
              </w:rPr>
            </w:pPr>
          </w:p>
        </w:tc>
        <w:tc>
          <w:tcPr>
            <w:tcW w:w="120" w:type="dxa"/>
            <w:vAlign w:val="bottom"/>
            <w:tcBorders>
              <w:bottom w:val="single" w:sz="8" w:color="0000FF"/>
            </w:tcBorders>
          </w:tcPr>
          <w:p>
            <w:pPr>
              <w:spacing w:after="0" w:line="138" w:lineRule="exact"/>
              <w:rPr>
                <w:rFonts w:ascii="Times New Roman" w:cs="Times New Roman" w:eastAsia="Times New Roman" w:hAnsi="Times New Roman"/>
                <w:sz w:val="15"/>
                <w:szCs w:val="15"/>
                <w:color w:val="0000FF"/>
                <w:w w:val="88"/>
              </w:rPr>
            </w:pPr>
            <w:hyperlink r:id="rId56">
              <w:r>
                <w:rPr>
                  <w:rFonts w:ascii="Times New Roman" w:cs="Times New Roman" w:eastAsia="Times New Roman" w:hAnsi="Times New Roman"/>
                  <w:sz w:val="15"/>
                  <w:szCs w:val="15"/>
                  <w:color w:val="0000FF"/>
                  <w:w w:val="88"/>
                </w:rPr>
                <w:t>1.</w:t>
              </w:r>
            </w:hyperlink>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31.1#</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and Chief Financial Officer pursuant to 18 U.S.C. Section 1350, as adopted pursuant to Section 906 of the Sarbanes-</w:t>
            </w:r>
          </w:p>
        </w:tc>
      </w:tr>
      <w:tr>
        <w:trPr>
          <w:trHeight w:val="138"/>
        </w:trPr>
        <w:tc>
          <w:tcPr>
            <w:tcW w:w="800" w:type="dxa"/>
            <w:vAlign w:val="bottom"/>
          </w:tcPr>
          <w:p>
            <w:pPr>
              <w:spacing w:after="0"/>
              <w:rPr>
                <w:sz w:val="11"/>
                <w:szCs w:val="11"/>
                <w:color w:val="auto"/>
              </w:rPr>
            </w:pPr>
          </w:p>
        </w:tc>
        <w:tc>
          <w:tcPr>
            <w:tcW w:w="994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177"/>
        </w:trPr>
        <w:tc>
          <w:tcPr>
            <w:tcW w:w="800" w:type="dxa"/>
            <w:vAlign w:val="bottom"/>
          </w:tcPr>
          <w:p>
            <w:pPr>
              <w:jc w:val="right"/>
              <w:ind w:right="63"/>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1002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w w:val="99"/>
              </w:rPr>
              <w:t>XBRL Instance Document - the instance document does not appear in the Interactive Data File because its XBRL tags are embedded within the Inline XBRL</w:t>
            </w:r>
          </w:p>
        </w:tc>
      </w:tr>
      <w:tr>
        <w:trPr>
          <w:trHeight w:val="207"/>
        </w:trPr>
        <w:tc>
          <w:tcPr>
            <w:tcW w:w="800" w:type="dxa"/>
            <w:vAlign w:val="bottom"/>
          </w:tcPr>
          <w:p>
            <w:pPr>
              <w:spacing w:after="0"/>
              <w:rPr>
                <w:sz w:val="17"/>
                <w:szCs w:val="17"/>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101.DEF</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101.PRE</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800" w:hanging="375"/>
        <w:spacing w:after="0"/>
        <w:tabs>
          <w:tab w:leader="none" w:pos="8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560" w:top="121" w:right="51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7780" w:type="dxa"/>
            <w:vAlign w:val="bottom"/>
            <w:gridSpan w:val="2"/>
          </w:tcPr>
          <w:p>
            <w:pPr>
              <w:ind w:left="202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28,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Rik Powell</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0"/>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28,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28, 2026</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198" w:lineRule="exact"/>
        <w:rPr>
          <w:sz w:val="20"/>
          <w:szCs w:val="20"/>
          <w:color w:val="auto"/>
        </w:rPr>
      </w:pPr>
    </w:p>
    <w:p>
      <w:pPr>
        <w:ind w:left="840" w:hanging="519"/>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April 28,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2026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28, 2026</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2026 as filed with the Securities and Exchange Commission on the date hereof (the “Report”), I, Rik Powell,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28,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2"/>
    </w:lvl>
    <w:lvl w:ilvl="1">
      <w:lvlJc w:val="left"/>
      <w:lvlText w:val="•"/>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lvl w:ilvl="1">
      <w:lvlJc w:val="left"/>
      <w:lvlText w:val="%2"/>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6" Type="http://schemas.openxmlformats.org/officeDocument/2006/relationships/hyperlink" Target="https://www.sec.gov/Archives/edgar/data/1549346/000114036125000468/ny20041185x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2026-04-28T06:19:59Z</dcterms:created>
  <dcterms:modified xsi:type="dcterms:W3CDTF">2026-04-28T06:19:59Z</dcterms:modified>
</cp:coreProperties>
</file>