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2980"/>
        <w:spacing w:after="0" w:line="233" w:lineRule="auto"/>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 w:lineRule="exact"/>
        <w:rPr>
          <w:sz w:val="24"/>
          <w:szCs w:val="24"/>
          <w:color w:val="auto"/>
        </w:rPr>
      </w:pPr>
    </w:p>
    <w:p>
      <w:pPr>
        <w:ind w:left="680" w:hanging="267"/>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8" w:lineRule="exact"/>
        <w:rPr>
          <w:rFonts w:ascii="MS PGothic" w:cs="MS PGothic" w:eastAsia="MS PGothic" w:hAnsi="MS PGothic"/>
          <w:sz w:val="16"/>
          <w:szCs w:val="16"/>
          <w:color w:val="auto"/>
        </w:rPr>
      </w:pPr>
    </w:p>
    <w:p>
      <w:pPr>
        <w:ind w:left="386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63"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ind w:left="920" w:hanging="507"/>
        <w:spacing w:after="0"/>
        <w:tabs>
          <w:tab w:leader="none" w:pos="9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3" w:lineRule="exact"/>
        <w:rPr>
          <w:sz w:val="24"/>
          <w:szCs w:val="24"/>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63"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SHUTTERSTOCK,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88" w:lineRule="exact"/>
        <w:rPr>
          <w:sz w:val="24"/>
          <w:szCs w:val="24"/>
          <w:color w:val="auto"/>
        </w:rPr>
      </w:pPr>
    </w:p>
    <w:p>
      <w:pPr>
        <w:ind w:left="2580"/>
        <w:spacing w:after="0"/>
        <w:tabs>
          <w:tab w:leader="none" w:pos="830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80-0812659</w:t>
      </w:r>
    </w:p>
    <w:p>
      <w:pPr>
        <w:spacing w:after="0" w:line="66" w:lineRule="exact"/>
        <w:rPr>
          <w:sz w:val="24"/>
          <w:szCs w:val="24"/>
          <w:color w:val="auto"/>
        </w:rPr>
      </w:pPr>
    </w:p>
    <w:p>
      <w:pPr>
        <w:ind w:left="1180"/>
        <w:spacing w:after="0"/>
        <w:tabs>
          <w:tab w:leader="none" w:pos="766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129"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6"/>
          <w:szCs w:val="16"/>
          <w:b w:val="1"/>
          <w:bCs w:val="1"/>
          <w:color w:val="auto"/>
        </w:rPr>
        <w:t>350 Fifth Avenue, 21st Floor</w:t>
      </w:r>
    </w:p>
    <w:p>
      <w:pPr>
        <w:spacing w:after="0" w:line="25"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37"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646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710-3417</w:t>
      </w:r>
    </w:p>
    <w:p>
      <w:pPr>
        <w:spacing w:after="0" w:line="3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5"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2"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ind w:left="28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2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720" w:type="dxa"/>
        <w:tblCellMar>
          <w:top w:w="0" w:type="dxa"/>
          <w:left w:w="0" w:type="dxa"/>
          <w:bottom w:w="0" w:type="dxa"/>
          <w:right w:w="0" w:type="dxa"/>
        </w:tblCellMar>
      </w:tblPr>
      <w:tr>
        <w:trPr>
          <w:trHeight w:val="195"/>
        </w:trPr>
        <w:tc>
          <w:tcPr>
            <w:tcW w:w="3980" w:type="dxa"/>
            <w:vAlign w:val="bottom"/>
            <w:tcBorders>
              <w:bottom w:val="single" w:sz="8" w:color="auto"/>
            </w:tcBorders>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1"/>
        </w:trPr>
        <w:tc>
          <w:tcPr>
            <w:tcW w:w="398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Common Stock, $0.01 par value per share</w:t>
            </w:r>
          </w:p>
        </w:tc>
        <w:tc>
          <w:tcPr>
            <w:tcW w:w="2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SSTK</w:t>
            </w:r>
          </w:p>
        </w:tc>
        <w:tc>
          <w:tcPr>
            <w:tcW w:w="36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101" w:lineRule="exact"/>
        <w:rPr>
          <w:sz w:val="24"/>
          <w:szCs w:val="24"/>
          <w:color w:val="auto"/>
        </w:rPr>
      </w:pPr>
    </w:p>
    <w:p>
      <w:pPr>
        <w:ind w:right="40" w:firstLine="405"/>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5" w:lineRule="exact"/>
        <w:rPr>
          <w:sz w:val="24"/>
          <w:szCs w:val="24"/>
          <w:color w:val="auto"/>
        </w:rPr>
      </w:pPr>
    </w:p>
    <w:p>
      <w:pPr>
        <w:ind w:firstLine="405"/>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5" w:lineRule="exact"/>
        <w:rPr>
          <w:sz w:val="24"/>
          <w:szCs w:val="24"/>
          <w:color w:val="auto"/>
        </w:rPr>
      </w:pPr>
    </w:p>
    <w:p>
      <w:pPr>
        <w:jc w:val="both"/>
        <w:ind w:right="460" w:firstLine="405"/>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34" w:lineRule="exact"/>
        <w:rPr>
          <w:sz w:val="24"/>
          <w:szCs w:val="24"/>
          <w:color w:val="auto"/>
        </w:rPr>
      </w:pPr>
    </w:p>
    <w:tbl>
      <w:tblPr>
        <w:tblLayout w:type="fixed"/>
        <w:tblInd w:w="1100" w:type="dxa"/>
        <w:tblCellMar>
          <w:top w:w="0" w:type="dxa"/>
          <w:left w:w="0" w:type="dxa"/>
          <w:bottom w:w="0" w:type="dxa"/>
          <w:right w:w="0" w:type="dxa"/>
        </w:tblCellMar>
      </w:tblPr>
      <w:tr>
        <w:trPr>
          <w:trHeight w:val="243"/>
        </w:trPr>
        <w:tc>
          <w:tcPr>
            <w:tcW w:w="14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Large accelerated filer</w:t>
            </w:r>
          </w:p>
        </w:tc>
        <w:tc>
          <w:tcPr>
            <w:tcW w:w="26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Accelerated filer</w:t>
            </w:r>
          </w:p>
        </w:tc>
        <w:tc>
          <w:tcPr>
            <w:tcW w:w="24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14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Non-accelerated filer</w:t>
            </w:r>
          </w:p>
        </w:tc>
        <w:tc>
          <w:tcPr>
            <w:tcW w:w="26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4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4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4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1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Emerging growth company</w:t>
            </w:r>
          </w:p>
        </w:tc>
        <w:tc>
          <w:tcPr>
            <w:tcW w:w="24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9" w:lineRule="exact"/>
        <w:rPr>
          <w:sz w:val="24"/>
          <w:szCs w:val="24"/>
          <w:color w:val="auto"/>
        </w:rPr>
      </w:pPr>
    </w:p>
    <w:p>
      <w:pPr>
        <w:ind w:left="20"/>
        <w:spacing w:after="0" w:line="29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20" w:right="160"/>
        <w:spacing w:after="0" w:line="24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405" w:lineRule="exact"/>
        <w:rPr>
          <w:sz w:val="24"/>
          <w:szCs w:val="24"/>
          <w:color w:val="auto"/>
        </w:rPr>
      </w:pPr>
    </w:p>
    <w:p>
      <w:pPr>
        <w:sectPr>
          <w:pgSz w:w="11900" w:h="16838" w:orient="portrait"/>
          <w:cols w:equalWidth="0" w:num="2">
            <w:col w:w="10680" w:space="120"/>
            <w:col w:w="440"/>
          </w:cols>
          <w:pgMar w:left="320" w:top="229" w:right="3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As of October 23, 2020, 36,222,746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ind w:left="40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60" w:type="dxa"/>
            <w:vAlign w:val="bottom"/>
          </w:tcPr>
          <w:p>
            <w:pPr>
              <w:spacing w:after="0"/>
              <w:rPr>
                <w:sz w:val="16"/>
                <w:szCs w:val="16"/>
                <w:color w:val="auto"/>
              </w:rPr>
            </w:pPr>
          </w:p>
        </w:tc>
        <w:tc>
          <w:tcPr>
            <w:tcW w:w="9180" w:type="dxa"/>
            <w:vAlign w:val="bottom"/>
          </w:tcPr>
          <w:p>
            <w:pPr>
              <w:spacing w:after="0"/>
              <w:rPr>
                <w:sz w:val="16"/>
                <w:szCs w:val="16"/>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51"/>
        </w:trPr>
        <w:tc>
          <w:tcPr>
            <w:tcW w:w="10240" w:type="dxa"/>
            <w:vAlign w:val="bottom"/>
            <w:gridSpan w:val="2"/>
          </w:tcPr>
          <w:p>
            <w:pPr>
              <w:spacing w:after="0"/>
              <w:rPr>
                <w:rFonts w:ascii="Times New Roman" w:cs="Times New Roman" w:eastAsia="Times New Roman" w:hAnsi="Times New Roman"/>
                <w:sz w:val="16"/>
                <w:szCs w:val="16"/>
                <w:b w:val="1"/>
                <w:bCs w:val="1"/>
                <w:u w:val="single" w:color="auto"/>
                <w:color w:val="0000FF"/>
              </w:rPr>
            </w:pPr>
            <w:hyperlink w:anchor="page3">
              <w:r>
                <w:rPr>
                  <w:rFonts w:ascii="Times New Roman" w:cs="Times New Roman" w:eastAsia="Times New Roman" w:hAnsi="Times New Roman"/>
                  <w:sz w:val="16"/>
                  <w:szCs w:val="16"/>
                  <w:b w:val="1"/>
                  <w:bCs w:val="1"/>
                  <w:u w:val="single" w:color="auto"/>
                  <w:color w:val="0000FF"/>
                </w:rPr>
                <w:t>PART I. FINANCIAL INFORMATION</w:t>
              </w:r>
            </w:hyperlink>
          </w:p>
        </w:tc>
        <w:tc>
          <w:tcPr>
            <w:tcW w:w="960" w:type="dxa"/>
            <w:vAlign w:val="bottom"/>
          </w:tcPr>
          <w:p>
            <w:pPr>
              <w:spacing w:after="0"/>
              <w:rPr>
                <w:sz w:val="21"/>
                <w:szCs w:val="21"/>
                <w:color w:val="auto"/>
              </w:rPr>
            </w:pPr>
          </w:p>
        </w:tc>
      </w:tr>
      <w:tr>
        <w:trPr>
          <w:trHeight w:val="270"/>
        </w:trPr>
        <w:tc>
          <w:tcPr>
            <w:tcW w:w="1060" w:type="dxa"/>
            <w:vAlign w:val="bottom"/>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0000FF"/>
                </w:rPr>
                <w:t>.</w:t>
              </w:r>
            </w:hyperlink>
          </w:p>
        </w:tc>
        <w:tc>
          <w:tcPr>
            <w:tcW w:w="9180" w:type="dxa"/>
            <w:vAlign w:val="bottom"/>
          </w:tcPr>
          <w:p>
            <w:pPr>
              <w:ind w:left="40"/>
              <w:spacing w:after="0"/>
              <w:rPr>
                <w:rFonts w:ascii="Times New Roman" w:cs="Times New Roman" w:eastAsia="Times New Roman" w:hAnsi="Times New Roman"/>
                <w:sz w:val="16"/>
                <w:szCs w:val="16"/>
                <w:u w:val="single" w:color="auto"/>
                <w:color w:val="0000FF"/>
              </w:rPr>
            </w:pPr>
            <w:hyperlink w:anchor="page4">
              <w:r>
                <w:rPr>
                  <w:rFonts w:ascii="Times New Roman" w:cs="Times New Roman" w:eastAsia="Times New Roman" w:hAnsi="Times New Roman"/>
                  <w:sz w:val="16"/>
                  <w:szCs w:val="16"/>
                  <w:u w:val="single" w:color="auto"/>
                  <w:color w:val="0000FF"/>
                </w:rPr>
                <w:t>Financial Statements (Unaudited)</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4</w:t>
              </w:r>
            </w:hyperlink>
          </w:p>
        </w:tc>
      </w:tr>
      <w:tr>
        <w:trPr>
          <w:trHeight w:val="216"/>
        </w:trPr>
        <w:tc>
          <w:tcPr>
            <w:tcW w:w="1060" w:type="dxa"/>
            <w:vAlign w:val="bottom"/>
          </w:tcPr>
          <w:p>
            <w:pPr>
              <w:spacing w:after="0"/>
              <w:rPr>
                <w:sz w:val="18"/>
                <w:szCs w:val="18"/>
                <w:color w:val="auto"/>
              </w:rPr>
            </w:pPr>
          </w:p>
        </w:tc>
        <w:tc>
          <w:tcPr>
            <w:tcW w:w="9180" w:type="dxa"/>
            <w:vAlign w:val="bottom"/>
          </w:tcPr>
          <w:p>
            <w:pPr>
              <w:ind w:left="160"/>
              <w:spacing w:after="0"/>
              <w:rPr>
                <w:rFonts w:ascii="Times New Roman" w:cs="Times New Roman" w:eastAsia="Times New Roman" w:hAnsi="Times New Roman"/>
                <w:sz w:val="16"/>
                <w:szCs w:val="16"/>
                <w:u w:val="single" w:color="auto"/>
                <w:color w:val="0000FF"/>
              </w:rPr>
            </w:pPr>
            <w:hyperlink w:anchor="page4">
              <w:r>
                <w:rPr>
                  <w:rFonts w:ascii="Times New Roman" w:cs="Times New Roman" w:eastAsia="Times New Roman" w:hAnsi="Times New Roman"/>
                  <w:sz w:val="16"/>
                  <w:szCs w:val="16"/>
                  <w:u w:val="single" w:color="auto"/>
                  <w:color w:val="0000FF"/>
                </w:rPr>
                <w:t>Consolidated Balance Sheets</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4</w:t>
              </w:r>
            </w:hyperlink>
          </w:p>
        </w:tc>
      </w:tr>
      <w:tr>
        <w:trPr>
          <w:trHeight w:val="216"/>
        </w:trPr>
        <w:tc>
          <w:tcPr>
            <w:tcW w:w="1060" w:type="dxa"/>
            <w:vAlign w:val="bottom"/>
          </w:tcPr>
          <w:p>
            <w:pPr>
              <w:spacing w:after="0"/>
              <w:rPr>
                <w:sz w:val="18"/>
                <w:szCs w:val="18"/>
                <w:color w:val="auto"/>
              </w:rPr>
            </w:pPr>
          </w:p>
        </w:tc>
        <w:tc>
          <w:tcPr>
            <w:tcW w:w="9180" w:type="dxa"/>
            <w:vAlign w:val="bottom"/>
          </w:tcPr>
          <w:p>
            <w:pPr>
              <w:ind w:left="160"/>
              <w:spacing w:after="0"/>
              <w:rPr>
                <w:rFonts w:ascii="Times New Roman" w:cs="Times New Roman" w:eastAsia="Times New Roman" w:hAnsi="Times New Roman"/>
                <w:sz w:val="16"/>
                <w:szCs w:val="16"/>
                <w:u w:val="single" w:color="auto"/>
                <w:color w:val="0000FF"/>
              </w:rPr>
            </w:pPr>
            <w:hyperlink w:anchor="page4">
              <w:r>
                <w:rPr>
                  <w:rFonts w:ascii="Times New Roman" w:cs="Times New Roman" w:eastAsia="Times New Roman" w:hAnsi="Times New Roman"/>
                  <w:sz w:val="16"/>
                  <w:szCs w:val="16"/>
                  <w:u w:val="single" w:color="auto"/>
                  <w:color w:val="0000FF"/>
                </w:rPr>
                <w:t>Consolidated Statements of Operations</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5</w:t>
              </w:r>
            </w:hyperlink>
          </w:p>
        </w:tc>
      </w:tr>
      <w:tr>
        <w:trPr>
          <w:trHeight w:val="216"/>
        </w:trPr>
        <w:tc>
          <w:tcPr>
            <w:tcW w:w="1060" w:type="dxa"/>
            <w:vAlign w:val="bottom"/>
          </w:tcPr>
          <w:p>
            <w:pPr>
              <w:spacing w:after="0"/>
              <w:rPr>
                <w:sz w:val="18"/>
                <w:szCs w:val="18"/>
                <w:color w:val="auto"/>
              </w:rPr>
            </w:pPr>
          </w:p>
        </w:tc>
        <w:tc>
          <w:tcPr>
            <w:tcW w:w="9180" w:type="dxa"/>
            <w:vAlign w:val="bottom"/>
          </w:tcPr>
          <w:p>
            <w:pPr>
              <w:ind w:left="160"/>
              <w:spacing w:after="0"/>
              <w:rPr>
                <w:rFonts w:ascii="Times New Roman" w:cs="Times New Roman" w:eastAsia="Times New Roman" w:hAnsi="Times New Roman"/>
                <w:sz w:val="16"/>
                <w:szCs w:val="16"/>
                <w:u w:val="single" w:color="auto"/>
                <w:color w:val="0000FF"/>
              </w:rPr>
            </w:pPr>
            <w:hyperlink w:anchor="page5">
              <w:r>
                <w:rPr>
                  <w:rFonts w:ascii="Times New Roman" w:cs="Times New Roman" w:eastAsia="Times New Roman" w:hAnsi="Times New Roman"/>
                  <w:sz w:val="16"/>
                  <w:szCs w:val="16"/>
                  <w:u w:val="single" w:color="auto"/>
                  <w:color w:val="0000FF"/>
                </w:rPr>
                <w:t>Consolidated Statements of Comprehensive Income</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6</w:t>
              </w:r>
            </w:hyperlink>
          </w:p>
        </w:tc>
      </w:tr>
      <w:tr>
        <w:trPr>
          <w:trHeight w:val="216"/>
        </w:trPr>
        <w:tc>
          <w:tcPr>
            <w:tcW w:w="1060" w:type="dxa"/>
            <w:vAlign w:val="bottom"/>
          </w:tcPr>
          <w:p>
            <w:pPr>
              <w:spacing w:after="0"/>
              <w:rPr>
                <w:sz w:val="18"/>
                <w:szCs w:val="18"/>
                <w:color w:val="auto"/>
              </w:rPr>
            </w:pPr>
          </w:p>
        </w:tc>
        <w:tc>
          <w:tcPr>
            <w:tcW w:w="9180" w:type="dxa"/>
            <w:vAlign w:val="bottom"/>
          </w:tcPr>
          <w:p>
            <w:pPr>
              <w:ind w:left="160"/>
              <w:spacing w:after="0"/>
              <w:rPr>
                <w:rFonts w:ascii="Times New Roman" w:cs="Times New Roman" w:eastAsia="Times New Roman" w:hAnsi="Times New Roman"/>
                <w:sz w:val="16"/>
                <w:szCs w:val="16"/>
                <w:u w:val="single" w:color="auto"/>
                <w:color w:val="0000FF"/>
              </w:rPr>
            </w:pPr>
            <w:hyperlink w:anchor="page6">
              <w:r>
                <w:rPr>
                  <w:rFonts w:ascii="Times New Roman" w:cs="Times New Roman" w:eastAsia="Times New Roman" w:hAnsi="Times New Roman"/>
                  <w:sz w:val="16"/>
                  <w:szCs w:val="16"/>
                  <w:u w:val="single" w:color="auto"/>
                  <w:color w:val="0000FF"/>
                </w:rPr>
                <w:t>Consolidated Statements of Stockholders’ Equity</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7</w:t>
              </w:r>
            </w:hyperlink>
          </w:p>
        </w:tc>
      </w:tr>
      <w:tr>
        <w:trPr>
          <w:trHeight w:val="216"/>
        </w:trPr>
        <w:tc>
          <w:tcPr>
            <w:tcW w:w="1060" w:type="dxa"/>
            <w:vAlign w:val="bottom"/>
          </w:tcPr>
          <w:p>
            <w:pPr>
              <w:spacing w:after="0"/>
              <w:rPr>
                <w:sz w:val="18"/>
                <w:szCs w:val="18"/>
                <w:color w:val="auto"/>
              </w:rPr>
            </w:pPr>
          </w:p>
        </w:tc>
        <w:tc>
          <w:tcPr>
            <w:tcW w:w="9180" w:type="dxa"/>
            <w:vAlign w:val="bottom"/>
          </w:tcPr>
          <w:p>
            <w:pPr>
              <w:ind w:left="160"/>
              <w:spacing w:after="0"/>
              <w:rPr>
                <w:rFonts w:ascii="Times New Roman" w:cs="Times New Roman" w:eastAsia="Times New Roman" w:hAnsi="Times New Roman"/>
                <w:sz w:val="16"/>
                <w:szCs w:val="16"/>
                <w:u w:val="single" w:color="auto"/>
                <w:color w:val="0000FF"/>
              </w:rPr>
            </w:pPr>
            <w:hyperlink w:anchor="page7">
              <w:r>
                <w:rPr>
                  <w:rFonts w:ascii="Times New Roman" w:cs="Times New Roman" w:eastAsia="Times New Roman" w:hAnsi="Times New Roman"/>
                  <w:sz w:val="16"/>
                  <w:szCs w:val="16"/>
                  <w:u w:val="single" w:color="auto"/>
                  <w:color w:val="0000FF"/>
                </w:rPr>
                <w:t>Consolidated Statements of Cash Flows</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8</w:t>
              </w:r>
            </w:hyperlink>
          </w:p>
        </w:tc>
      </w:tr>
      <w:tr>
        <w:trPr>
          <w:trHeight w:val="216"/>
        </w:trPr>
        <w:tc>
          <w:tcPr>
            <w:tcW w:w="1060" w:type="dxa"/>
            <w:vAlign w:val="bottom"/>
          </w:tcPr>
          <w:p>
            <w:pPr>
              <w:spacing w:after="0"/>
              <w:rPr>
                <w:sz w:val="18"/>
                <w:szCs w:val="18"/>
                <w:color w:val="auto"/>
              </w:rPr>
            </w:pPr>
          </w:p>
        </w:tc>
        <w:tc>
          <w:tcPr>
            <w:tcW w:w="9180" w:type="dxa"/>
            <w:vAlign w:val="bottom"/>
          </w:tcPr>
          <w:p>
            <w:pPr>
              <w:ind w:left="160"/>
              <w:spacing w:after="0"/>
              <w:rPr>
                <w:rFonts w:ascii="Times New Roman" w:cs="Times New Roman" w:eastAsia="Times New Roman" w:hAnsi="Times New Roman"/>
                <w:sz w:val="16"/>
                <w:szCs w:val="16"/>
                <w:u w:val="single" w:color="auto"/>
                <w:color w:val="0000FF"/>
              </w:rPr>
            </w:pPr>
            <w:hyperlink w:anchor="page8">
              <w:r>
                <w:rPr>
                  <w:rFonts w:ascii="Times New Roman" w:cs="Times New Roman" w:eastAsia="Times New Roman" w:hAnsi="Times New Roman"/>
                  <w:sz w:val="16"/>
                  <w:szCs w:val="16"/>
                  <w:u w:val="single" w:color="auto"/>
                  <w:color w:val="0000FF"/>
                </w:rPr>
                <w:t>Notes to Consolidated Financial Statements</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8">
              <w:r>
                <w:rPr>
                  <w:rFonts w:ascii="Times New Roman" w:cs="Times New Roman" w:eastAsia="Times New Roman" w:hAnsi="Times New Roman"/>
                  <w:sz w:val="16"/>
                  <w:szCs w:val="16"/>
                  <w:color w:val="0000FF"/>
                </w:rPr>
                <w:t>9</w:t>
              </w:r>
            </w:hyperlink>
          </w:p>
        </w:tc>
      </w:tr>
      <w:tr>
        <w:trPr>
          <w:trHeight w:val="216"/>
        </w:trPr>
        <w:tc>
          <w:tcPr>
            <w:tcW w:w="1060" w:type="dxa"/>
            <w:vAlign w:val="bottom"/>
          </w:tcPr>
          <w:p>
            <w:pPr>
              <w:spacing w:after="0"/>
              <w:rPr>
                <w:rFonts w:ascii="Times New Roman" w:cs="Times New Roman" w:eastAsia="Times New Roman" w:hAnsi="Times New Roman"/>
                <w:sz w:val="16"/>
                <w:szCs w:val="16"/>
                <w:color w:val="0000FF"/>
              </w:rPr>
            </w:pPr>
            <w:hyperlink w:anchor="page19">
              <w:r>
                <w:rPr>
                  <w:rFonts w:ascii="Times New Roman" w:cs="Times New Roman" w:eastAsia="Times New Roman" w:hAnsi="Times New Roman"/>
                  <w:sz w:val="16"/>
                  <w:szCs w:val="16"/>
                  <w:u w:val="single" w:color="auto"/>
                  <w:color w:val="0000FF"/>
                </w:rPr>
                <w:t>Item 2</w:t>
              </w:r>
              <w:r>
                <w:rPr>
                  <w:rFonts w:ascii="Times New Roman" w:cs="Times New Roman" w:eastAsia="Times New Roman" w:hAnsi="Times New Roman"/>
                  <w:sz w:val="16"/>
                  <w:szCs w:val="16"/>
                  <w:color w:val="0000FF"/>
                </w:rPr>
                <w:t>.</w:t>
              </w:r>
            </w:hyperlink>
          </w:p>
        </w:tc>
        <w:tc>
          <w:tcPr>
            <w:tcW w:w="9180" w:type="dxa"/>
            <w:vAlign w:val="bottom"/>
          </w:tcPr>
          <w:p>
            <w:pPr>
              <w:ind w:left="40"/>
              <w:spacing w:after="0"/>
              <w:rPr>
                <w:rFonts w:ascii="Times New Roman" w:cs="Times New Roman" w:eastAsia="Times New Roman" w:hAnsi="Times New Roman"/>
                <w:sz w:val="16"/>
                <w:szCs w:val="16"/>
                <w:u w:val="single" w:color="auto"/>
                <w:color w:val="0000FF"/>
              </w:rPr>
            </w:pPr>
            <w:hyperlink w:anchor="page19">
              <w:r>
                <w:rPr>
                  <w:rFonts w:ascii="Times New Roman" w:cs="Times New Roman" w:eastAsia="Times New Roman" w:hAnsi="Times New Roman"/>
                  <w:sz w:val="16"/>
                  <w:szCs w:val="16"/>
                  <w:u w:val="single" w:color="auto"/>
                  <w:color w:val="0000FF"/>
                </w:rPr>
                <w:t>Management’s Discussion and Analysis of Financial Condition and Results of Operations</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19">
              <w:r>
                <w:rPr>
                  <w:rFonts w:ascii="Times New Roman" w:cs="Times New Roman" w:eastAsia="Times New Roman" w:hAnsi="Times New Roman"/>
                  <w:sz w:val="16"/>
                  <w:szCs w:val="16"/>
                  <w:color w:val="0000FF"/>
                </w:rPr>
                <w:t>20</w:t>
              </w:r>
            </w:hyperlink>
          </w:p>
        </w:tc>
      </w:tr>
      <w:tr>
        <w:trPr>
          <w:trHeight w:val="216"/>
        </w:trPr>
        <w:tc>
          <w:tcPr>
            <w:tcW w:w="1060" w:type="dxa"/>
            <w:vAlign w:val="bottom"/>
          </w:tcPr>
          <w:p>
            <w:pPr>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u w:val="single" w:color="auto"/>
                  <w:color w:val="0000FF"/>
                </w:rPr>
                <w:t>Item 3</w:t>
              </w:r>
              <w:r>
                <w:rPr>
                  <w:rFonts w:ascii="Times New Roman" w:cs="Times New Roman" w:eastAsia="Times New Roman" w:hAnsi="Times New Roman"/>
                  <w:sz w:val="16"/>
                  <w:szCs w:val="16"/>
                  <w:color w:val="0000FF"/>
                </w:rPr>
                <w:t>.</w:t>
              </w:r>
            </w:hyperlink>
          </w:p>
        </w:tc>
        <w:tc>
          <w:tcPr>
            <w:tcW w:w="9180" w:type="dxa"/>
            <w:vAlign w:val="bottom"/>
          </w:tcPr>
          <w:p>
            <w:pPr>
              <w:ind w:left="40"/>
              <w:spacing w:after="0"/>
              <w:rPr>
                <w:rFonts w:ascii="Times New Roman" w:cs="Times New Roman" w:eastAsia="Times New Roman" w:hAnsi="Times New Roman"/>
                <w:sz w:val="16"/>
                <w:szCs w:val="16"/>
                <w:u w:val="single" w:color="auto"/>
                <w:color w:val="0000FF"/>
              </w:rPr>
            </w:pPr>
            <w:hyperlink w:anchor="page35">
              <w:r>
                <w:rPr>
                  <w:rFonts w:ascii="Times New Roman" w:cs="Times New Roman" w:eastAsia="Times New Roman" w:hAnsi="Times New Roman"/>
                  <w:sz w:val="16"/>
                  <w:szCs w:val="16"/>
                  <w:u w:val="single" w:color="auto"/>
                  <w:color w:val="0000FF"/>
                </w:rPr>
                <w:t>Quantitative and Qualitative Disclosures About Market Risk</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35</w:t>
              </w:r>
            </w:hyperlink>
          </w:p>
        </w:tc>
      </w:tr>
      <w:tr>
        <w:trPr>
          <w:trHeight w:val="216"/>
        </w:trPr>
        <w:tc>
          <w:tcPr>
            <w:tcW w:w="1060" w:type="dxa"/>
            <w:vAlign w:val="bottom"/>
          </w:tcPr>
          <w:p>
            <w:pPr>
              <w:spacing w:after="0"/>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u w:val="single" w:color="auto"/>
                  <w:color w:val="0000FF"/>
                </w:rPr>
                <w:t>Item 4</w:t>
              </w:r>
              <w:r>
                <w:rPr>
                  <w:rFonts w:ascii="Times New Roman" w:cs="Times New Roman" w:eastAsia="Times New Roman" w:hAnsi="Times New Roman"/>
                  <w:sz w:val="16"/>
                  <w:szCs w:val="16"/>
                  <w:color w:val="0000FF"/>
                </w:rPr>
                <w:t>.</w:t>
              </w:r>
            </w:hyperlink>
          </w:p>
        </w:tc>
        <w:tc>
          <w:tcPr>
            <w:tcW w:w="9180" w:type="dxa"/>
            <w:vAlign w:val="bottom"/>
          </w:tcPr>
          <w:p>
            <w:pPr>
              <w:ind w:left="40"/>
              <w:spacing w:after="0"/>
              <w:rPr>
                <w:rFonts w:ascii="Times New Roman" w:cs="Times New Roman" w:eastAsia="Times New Roman" w:hAnsi="Times New Roman"/>
                <w:sz w:val="16"/>
                <w:szCs w:val="16"/>
                <w:u w:val="single" w:color="auto"/>
                <w:color w:val="0000FF"/>
              </w:rPr>
            </w:pPr>
            <w:hyperlink w:anchor="page36">
              <w:r>
                <w:rPr>
                  <w:rFonts w:ascii="Times New Roman" w:cs="Times New Roman" w:eastAsia="Times New Roman" w:hAnsi="Times New Roman"/>
                  <w:sz w:val="16"/>
                  <w:szCs w:val="16"/>
                  <w:u w:val="single" w:color="auto"/>
                  <w:color w:val="0000FF"/>
                </w:rPr>
                <w:t>Controls and Procedures</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37</w:t>
              </w:r>
            </w:hyperlink>
          </w:p>
        </w:tc>
      </w:tr>
      <w:tr>
        <w:trPr>
          <w:trHeight w:val="270"/>
        </w:trPr>
        <w:tc>
          <w:tcPr>
            <w:tcW w:w="10240" w:type="dxa"/>
            <w:vAlign w:val="bottom"/>
            <w:gridSpan w:val="2"/>
          </w:tcPr>
          <w:p>
            <w:pPr>
              <w:spacing w:after="0"/>
              <w:rPr>
                <w:rFonts w:ascii="Times New Roman" w:cs="Times New Roman" w:eastAsia="Times New Roman" w:hAnsi="Times New Roman"/>
                <w:sz w:val="16"/>
                <w:szCs w:val="16"/>
                <w:b w:val="1"/>
                <w:bCs w:val="1"/>
                <w:u w:val="single" w:color="auto"/>
                <w:color w:val="0000FF"/>
              </w:rPr>
            </w:pPr>
            <w:hyperlink w:anchor="page37">
              <w:r>
                <w:rPr>
                  <w:rFonts w:ascii="Times New Roman" w:cs="Times New Roman" w:eastAsia="Times New Roman" w:hAnsi="Times New Roman"/>
                  <w:sz w:val="16"/>
                  <w:szCs w:val="16"/>
                  <w:b w:val="1"/>
                  <w:bCs w:val="1"/>
                  <w:u w:val="single" w:color="auto"/>
                  <w:color w:val="0000FF"/>
                </w:rPr>
                <w:t>PART II. OTHER INFORMATION</w:t>
              </w:r>
            </w:hyperlink>
          </w:p>
        </w:tc>
        <w:tc>
          <w:tcPr>
            <w:tcW w:w="960" w:type="dxa"/>
            <w:vAlign w:val="bottom"/>
          </w:tcPr>
          <w:p>
            <w:pPr>
              <w:spacing w:after="0"/>
              <w:rPr>
                <w:sz w:val="23"/>
                <w:szCs w:val="23"/>
                <w:color w:val="auto"/>
              </w:rPr>
            </w:pPr>
          </w:p>
        </w:tc>
      </w:tr>
      <w:tr>
        <w:trPr>
          <w:trHeight w:val="270"/>
        </w:trPr>
        <w:tc>
          <w:tcPr>
            <w:tcW w:w="1060" w:type="dxa"/>
            <w:vAlign w:val="bottom"/>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0000FF"/>
                </w:rPr>
                <w:t>.</w:t>
              </w:r>
            </w:hyperlink>
          </w:p>
        </w:tc>
        <w:tc>
          <w:tcPr>
            <w:tcW w:w="9180" w:type="dxa"/>
            <w:vAlign w:val="bottom"/>
          </w:tcPr>
          <w:p>
            <w:pPr>
              <w:ind w:left="40"/>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Legal Proceedings</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38</w:t>
              </w:r>
            </w:hyperlink>
          </w:p>
        </w:tc>
      </w:tr>
      <w:tr>
        <w:trPr>
          <w:trHeight w:val="216"/>
        </w:trPr>
        <w:tc>
          <w:tcPr>
            <w:tcW w:w="1060" w:type="dxa"/>
            <w:vAlign w:val="bottom"/>
          </w:tcPr>
          <w:p>
            <w:pPr>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Item 1A.</w:t>
              </w:r>
            </w:hyperlink>
          </w:p>
        </w:tc>
        <w:tc>
          <w:tcPr>
            <w:tcW w:w="9180" w:type="dxa"/>
            <w:vAlign w:val="bottom"/>
          </w:tcPr>
          <w:p>
            <w:pPr>
              <w:ind w:left="40"/>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Risk Factors</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38</w:t>
              </w:r>
            </w:hyperlink>
          </w:p>
        </w:tc>
      </w:tr>
      <w:tr>
        <w:trPr>
          <w:trHeight w:val="216"/>
        </w:trPr>
        <w:tc>
          <w:tcPr>
            <w:tcW w:w="1060" w:type="dxa"/>
            <w:vAlign w:val="bottom"/>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u w:val="single" w:color="auto"/>
                  <w:color w:val="0000FF"/>
                </w:rPr>
                <w:t>Item 6</w:t>
              </w:r>
              <w:r>
                <w:rPr>
                  <w:rFonts w:ascii="Times New Roman" w:cs="Times New Roman" w:eastAsia="Times New Roman" w:hAnsi="Times New Roman"/>
                  <w:sz w:val="16"/>
                  <w:szCs w:val="16"/>
                  <w:color w:val="0000FF"/>
                </w:rPr>
                <w:t>.</w:t>
              </w:r>
            </w:hyperlink>
          </w:p>
        </w:tc>
        <w:tc>
          <w:tcPr>
            <w:tcW w:w="9180" w:type="dxa"/>
            <w:vAlign w:val="bottom"/>
          </w:tcPr>
          <w:p>
            <w:pPr>
              <w:ind w:left="40"/>
              <w:spacing w:after="0"/>
              <w:rPr>
                <w:rFonts w:ascii="Times New Roman" w:cs="Times New Roman" w:eastAsia="Times New Roman" w:hAnsi="Times New Roman"/>
                <w:sz w:val="16"/>
                <w:szCs w:val="16"/>
                <w:u w:val="single" w:color="auto"/>
                <w:color w:val="0000FF"/>
              </w:rPr>
            </w:pPr>
            <w:hyperlink w:anchor="page38">
              <w:r>
                <w:rPr>
                  <w:rFonts w:ascii="Times New Roman" w:cs="Times New Roman" w:eastAsia="Times New Roman" w:hAnsi="Times New Roman"/>
                  <w:sz w:val="16"/>
                  <w:szCs w:val="16"/>
                  <w:u w:val="single" w:color="auto"/>
                  <w:color w:val="0000FF"/>
                </w:rPr>
                <w:t>Exhibits</w:t>
              </w:r>
            </w:hyperlink>
          </w:p>
        </w:tc>
        <w:tc>
          <w:tcPr>
            <w:tcW w:w="960" w:type="dxa"/>
            <w:vAlign w:val="bottom"/>
          </w:tcPr>
          <w:p>
            <w:pPr>
              <w:jc w:val="right"/>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38</w:t>
              </w:r>
            </w:hyperlink>
          </w:p>
        </w:tc>
      </w:tr>
      <w:tr>
        <w:trPr>
          <w:trHeight w:val="311"/>
        </w:trPr>
        <w:tc>
          <w:tcPr>
            <w:tcW w:w="1060" w:type="dxa"/>
            <w:vAlign w:val="bottom"/>
          </w:tcPr>
          <w:p>
            <w:pPr>
              <w:ind w:left="340"/>
              <w:spacing w:after="0"/>
              <w:rPr>
                <w:rFonts w:ascii="Times New Roman" w:cs="Times New Roman" w:eastAsia="Times New Roman" w:hAnsi="Times New Roman"/>
                <w:sz w:val="16"/>
                <w:szCs w:val="16"/>
                <w:u w:val="single" w:color="auto"/>
                <w:color w:val="0000FF"/>
              </w:rPr>
            </w:pPr>
            <w:hyperlink w:anchor="page39">
              <w:r>
                <w:rPr>
                  <w:rFonts w:ascii="Times New Roman" w:cs="Times New Roman" w:eastAsia="Times New Roman" w:hAnsi="Times New Roman"/>
                  <w:sz w:val="16"/>
                  <w:szCs w:val="16"/>
                  <w:u w:val="single" w:color="auto"/>
                  <w:color w:val="0000FF"/>
                </w:rPr>
                <w:t>Signatures</w:t>
              </w:r>
            </w:hyperlink>
          </w:p>
        </w:tc>
        <w:tc>
          <w:tcPr>
            <w:tcW w:w="9180" w:type="dxa"/>
            <w:vAlign w:val="bottom"/>
          </w:tcPr>
          <w:p>
            <w:pPr>
              <w:spacing w:after="0"/>
              <w:rPr>
                <w:sz w:val="24"/>
                <w:szCs w:val="24"/>
                <w:color w:val="auto"/>
              </w:rPr>
            </w:pPr>
          </w:p>
        </w:tc>
        <w:tc>
          <w:tcPr>
            <w:tcW w:w="960" w:type="dxa"/>
            <w:vAlign w:val="bottom"/>
          </w:tcPr>
          <w:p>
            <w:pPr>
              <w:jc w:val="right"/>
              <w:spacing w:after="0"/>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color w:val="0000FF"/>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 w:name="page3"/>
    <w:bookmarkEnd w:id="2"/>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35"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including statements regarding guidance, industry prospects or future results of operations or financial position, are forward-looking. Examples of forward-looking statements include, but are not limited to, statements regarding future business, future results of operations or financial condition, future dividends, new or planned features, products or services, management strategies and the COVID-19 pandemic. You can identify many forward-looking statements by words such as “may,” “will,” “would,” “should,” “could,” “expect,” “aim,” “anticipate,” “believe,” “estimate,” “intend,” “plan” and other similar expressions. However, not all forward-looking statements contain these words. Forward-looking statements involve risks and uncertainties that could cause our actual results to differ materially from those expressed or implied in the forward-looking statements. Such risks and uncertainties include, among others, those discussed under the caption “Risk Factors” in our most recently filed Annual Report on Form 10-K, which was filed with the Securities and Exchange Commission, or the SEC, on February 13, 2020, under the caption “Risk Factors” in our Quarterly Report on Form 10-Q for the quarter ended March 31, 2020, which was filed with the SEC on April 28, 2020, and in our consolidated financial statements, related notes, and the other information appearing elsewhere in such Annual Report, this Quarterly Report on Form 10-Q and our other filings with the SEC. Given these risks and uncertainties, you should not place undue reliance on these forward-looking statements. We do not intend, and, except as required by law, we undertake no obligation, to update any of our forward-looking statements after the date of this report to reflect actual results or future events or circumstances.</w:t>
      </w:r>
    </w:p>
    <w:p>
      <w:pPr>
        <w:spacing w:after="0" w:line="87"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“Asset Assurance,” “Offset,” “Bigstock,” “Rex Features,” “PremiumBeat”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40" w:type="dxa"/>
            <w:vAlign w:val="bottom"/>
          </w:tcPr>
          <w:p>
            <w:pPr>
              <w:spacing w:after="0"/>
              <w:rPr>
                <w:sz w:val="24"/>
                <w:szCs w:val="24"/>
                <w:color w:val="auto"/>
              </w:rPr>
            </w:pPr>
          </w:p>
        </w:tc>
        <w:tc>
          <w:tcPr>
            <w:tcW w:w="7000" w:type="dxa"/>
            <w:vAlign w:val="bottom"/>
          </w:tcPr>
          <w:p>
            <w:pPr>
              <w:jc w:val="center"/>
              <w:ind w:left="2872"/>
              <w:spacing w:after="0"/>
              <w:rPr>
                <w:sz w:val="20"/>
                <w:szCs w:val="20"/>
                <w:color w:val="auto"/>
              </w:rPr>
            </w:pPr>
            <w:r>
              <w:rPr>
                <w:rFonts w:ascii="Times New Roman" w:cs="Times New Roman" w:eastAsia="Times New Roman" w:hAnsi="Times New Roman"/>
                <w:sz w:val="18"/>
                <w:szCs w:val="18"/>
                <w:b w:val="1"/>
                <w:bCs w:val="1"/>
                <w:color w:val="auto"/>
                <w:w w:val="99"/>
              </w:rPr>
              <w:t>Shutterstock, Inc.</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000" w:type="dxa"/>
            <w:vAlign w:val="bottom"/>
          </w:tcPr>
          <w:p>
            <w:pPr>
              <w:jc w:val="center"/>
              <w:ind w:left="2872"/>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000" w:type="dxa"/>
            <w:vAlign w:val="bottom"/>
          </w:tcPr>
          <w:p>
            <w:pPr>
              <w:jc w:val="center"/>
              <w:ind w:left="2892"/>
              <w:spacing w:after="0"/>
              <w:rPr>
                <w:sz w:val="20"/>
                <w:szCs w:val="20"/>
                <w:color w:val="auto"/>
              </w:rPr>
            </w:pPr>
            <w:r>
              <w:rPr>
                <w:rFonts w:ascii="Times New Roman" w:cs="Times New Roman" w:eastAsia="Times New Roman" w:hAnsi="Times New Roman"/>
                <w:sz w:val="18"/>
                <w:szCs w:val="18"/>
                <w:b w:val="1"/>
                <w:bCs w:val="1"/>
                <w:color w:val="auto"/>
                <w:w w:val="99"/>
              </w:rPr>
              <w:t>(In thousands, except par value amount)</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7000" w:type="dxa"/>
            <w:vAlign w:val="bottom"/>
          </w:tcPr>
          <w:p>
            <w:pPr>
              <w:jc w:val="center"/>
              <w:ind w:left="2892"/>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9"/>
                <w:szCs w:val="19"/>
                <w:color w:val="auto"/>
              </w:rPr>
            </w:pPr>
          </w:p>
        </w:tc>
        <w:tc>
          <w:tcPr>
            <w:tcW w:w="136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413"/>
        </w:trPr>
        <w:tc>
          <w:tcPr>
            <w:tcW w:w="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383,127</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303,261</w:t>
            </w: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 net of allowance of $4,051 and $3,579</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48,225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47,016</w:t>
            </w:r>
          </w:p>
        </w:tc>
        <w:tc>
          <w:tcPr>
            <w:tcW w:w="0" w:type="dxa"/>
            <w:vAlign w:val="bottom"/>
          </w:tcPr>
          <w:p>
            <w:pPr>
              <w:spacing w:after="0"/>
              <w:rPr>
                <w:sz w:val="1"/>
                <w:szCs w:val="1"/>
                <w:color w:val="auto"/>
              </w:rPr>
            </w:pPr>
          </w:p>
        </w:tc>
      </w:tr>
      <w:tr>
        <w:trPr>
          <w:trHeight w:val="224"/>
        </w:trPr>
        <w:tc>
          <w:tcPr>
            <w:tcW w:w="76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19,309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26,703</w:t>
            </w:r>
          </w:p>
        </w:tc>
        <w:tc>
          <w:tcPr>
            <w:tcW w:w="0" w:type="dxa"/>
            <w:vAlign w:val="bottom"/>
          </w:tcPr>
          <w:p>
            <w:pPr>
              <w:spacing w:after="0"/>
              <w:rPr>
                <w:sz w:val="1"/>
                <w:szCs w:val="1"/>
                <w:color w:val="auto"/>
              </w:rPr>
            </w:pPr>
          </w:p>
        </w:tc>
      </w:tr>
      <w:tr>
        <w:trPr>
          <w:trHeight w:val="33"/>
        </w:trPr>
        <w:tc>
          <w:tcPr>
            <w:tcW w:w="64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CCEEFF"/>
            </w:tcBorders>
            <w:shd w:val="clear" w:color="auto" w:fill="CCEEFF"/>
          </w:tcPr>
          <w:p>
            <w:pPr>
              <w:spacing w:after="0"/>
              <w:rPr>
                <w:sz w:val="20"/>
                <w:szCs w:val="20"/>
                <w:color w:val="auto"/>
              </w:rPr>
            </w:pPr>
          </w:p>
        </w:tc>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450,661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376,980</w:t>
            </w:r>
          </w:p>
        </w:tc>
        <w:tc>
          <w:tcPr>
            <w:tcW w:w="0" w:type="dxa"/>
            <w:vAlign w:val="bottom"/>
          </w:tcPr>
          <w:p>
            <w:pPr>
              <w:spacing w:after="0"/>
              <w:rPr>
                <w:sz w:val="1"/>
                <w:szCs w:val="1"/>
                <w:color w:val="auto"/>
              </w:rPr>
            </w:pPr>
          </w:p>
        </w:tc>
      </w:tr>
      <w:tr>
        <w:trPr>
          <w:trHeight w:val="223"/>
        </w:trPr>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8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52,686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58,834</w:t>
            </w: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40,856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45,453</w:t>
            </w:r>
          </w:p>
        </w:tc>
        <w:tc>
          <w:tcPr>
            <w:tcW w:w="0" w:type="dxa"/>
            <w:vAlign w:val="bottom"/>
          </w:tcPr>
          <w:p>
            <w:pPr>
              <w:spacing w:after="0"/>
              <w:rPr>
                <w:sz w:val="1"/>
                <w:szCs w:val="1"/>
                <w:color w:val="auto"/>
              </w:rPr>
            </w:pPr>
          </w:p>
        </w:tc>
      </w:tr>
      <w:tr>
        <w:trPr>
          <w:trHeight w:val="224"/>
        </w:trPr>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38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24,459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26,669</w:t>
            </w: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88,727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88,974</w:t>
            </w:r>
          </w:p>
        </w:tc>
        <w:tc>
          <w:tcPr>
            <w:tcW w:w="0" w:type="dxa"/>
            <w:vAlign w:val="bottom"/>
          </w:tcPr>
          <w:p>
            <w:pPr>
              <w:spacing w:after="0"/>
              <w:rPr>
                <w:sz w:val="1"/>
                <w:szCs w:val="1"/>
                <w:color w:val="auto"/>
              </w:rPr>
            </w:pPr>
          </w:p>
        </w:tc>
      </w:tr>
      <w:tr>
        <w:trPr>
          <w:trHeight w:val="223"/>
        </w:trPr>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8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14,387</w:t>
            </w: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16,228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19,215</w:t>
            </w:r>
          </w:p>
        </w:tc>
        <w:tc>
          <w:tcPr>
            <w:tcW w:w="0" w:type="dxa"/>
            <w:vAlign w:val="bottom"/>
          </w:tcPr>
          <w:p>
            <w:pPr>
              <w:spacing w:after="0"/>
              <w:rPr>
                <w:sz w:val="1"/>
                <w:szCs w:val="1"/>
                <w:color w:val="auto"/>
              </w:rPr>
            </w:pPr>
          </w:p>
        </w:tc>
      </w:tr>
      <w:tr>
        <w:trPr>
          <w:trHeight w:val="217"/>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688,282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630,512</w:t>
            </w: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0" w:type="dxa"/>
            <w:vAlign w:val="bottom"/>
          </w:tcPr>
          <w:p>
            <w:pPr>
              <w:spacing w:after="0"/>
              <w:rPr>
                <w:sz w:val="1"/>
                <w:szCs w:val="1"/>
                <w:color w:val="auto"/>
              </w:rPr>
            </w:pPr>
          </w:p>
        </w:tc>
      </w:tr>
      <w:tr>
        <w:trPr>
          <w:trHeight w:val="223"/>
        </w:trPr>
        <w:tc>
          <w:tcPr>
            <w:tcW w:w="76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Accrued expenses</w:t>
            </w:r>
          </w:p>
        </w:tc>
        <w:tc>
          <w:tcPr>
            <w:tcW w:w="38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61,377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53,864</w:t>
            </w: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24,976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25,193</w:t>
            </w:r>
          </w:p>
        </w:tc>
        <w:tc>
          <w:tcPr>
            <w:tcW w:w="0" w:type="dxa"/>
            <w:vAlign w:val="bottom"/>
          </w:tcPr>
          <w:p>
            <w:pPr>
              <w:spacing w:after="0"/>
              <w:rPr>
                <w:sz w:val="1"/>
                <w:szCs w:val="1"/>
                <w:color w:val="auto"/>
              </w:rPr>
            </w:pPr>
          </w:p>
        </w:tc>
      </w:tr>
      <w:tr>
        <w:trPr>
          <w:trHeight w:val="223"/>
        </w:trPr>
        <w:tc>
          <w:tcPr>
            <w:tcW w:w="76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144,657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141,922</w:t>
            </w: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6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18,811</w:t>
            </w:r>
          </w:p>
        </w:tc>
        <w:tc>
          <w:tcPr>
            <w:tcW w:w="0" w:type="dxa"/>
            <w:vAlign w:val="bottom"/>
          </w:tcPr>
          <w:p>
            <w:pPr>
              <w:spacing w:after="0"/>
              <w:rPr>
                <w:sz w:val="1"/>
                <w:szCs w:val="1"/>
                <w:color w:val="auto"/>
              </w:rPr>
            </w:pPr>
          </w:p>
        </w:tc>
      </w:tr>
      <w:tr>
        <w:trPr>
          <w:trHeight w:val="217"/>
        </w:trPr>
        <w:tc>
          <w:tcPr>
            <w:tcW w:w="64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245,230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245,894</w:t>
            </w: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42,954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47,313</w:t>
            </w:r>
          </w:p>
        </w:tc>
        <w:tc>
          <w:tcPr>
            <w:tcW w:w="0" w:type="dxa"/>
            <w:vAlign w:val="bottom"/>
          </w:tcPr>
          <w:p>
            <w:pPr>
              <w:spacing w:after="0"/>
              <w:rPr>
                <w:sz w:val="1"/>
                <w:szCs w:val="1"/>
                <w:color w:val="auto"/>
              </w:rPr>
            </w:pPr>
          </w:p>
        </w:tc>
      </w:tr>
      <w:tr>
        <w:trPr>
          <w:trHeight w:val="223"/>
        </w:trPr>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8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9,160</w:t>
            </w: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298,042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302,367</w:t>
            </w:r>
          </w:p>
        </w:tc>
        <w:tc>
          <w:tcPr>
            <w:tcW w:w="0" w:type="dxa"/>
            <w:vAlign w:val="bottom"/>
          </w:tcPr>
          <w:p>
            <w:pPr>
              <w:spacing w:after="0"/>
              <w:rPr>
                <w:sz w:val="1"/>
                <w:szCs w:val="1"/>
                <w:color w:val="auto"/>
              </w:rPr>
            </w:pPr>
          </w:p>
        </w:tc>
      </w:tr>
      <w:tr>
        <w:trPr>
          <w:trHeight w:val="203"/>
        </w:trPr>
        <w:tc>
          <w:tcPr>
            <w:tcW w:w="7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3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640" w:type="dxa"/>
            <w:vAlign w:val="bottom"/>
            <w:gridSpan w:val="2"/>
          </w:tcPr>
          <w:p>
            <w:pPr>
              <w:ind w:left="480"/>
              <w:spacing w:after="0" w:line="162" w:lineRule="exact"/>
              <w:rPr>
                <w:sz w:val="20"/>
                <w:szCs w:val="20"/>
                <w:color w:val="auto"/>
              </w:rPr>
            </w:pPr>
            <w:r>
              <w:rPr>
                <w:rFonts w:ascii="Times New Roman" w:cs="Times New Roman" w:eastAsia="Times New Roman" w:hAnsi="Times New Roman"/>
                <w:sz w:val="16"/>
                <w:szCs w:val="16"/>
                <w:color w:val="auto"/>
              </w:rPr>
              <w:t>Common stock, $0.01 par value; 200,000 shares authorized; 38,776 and 38,055 shares issued and 36,218 and</w:t>
            </w:r>
          </w:p>
        </w:tc>
        <w:tc>
          <w:tcPr>
            <w:tcW w:w="380" w:type="dxa"/>
            <w:vAlign w:val="bottom"/>
          </w:tcPr>
          <w:p>
            <w:pPr>
              <w:spacing w:after="0"/>
              <w:rPr>
                <w:sz w:val="14"/>
                <w:szCs w:val="14"/>
                <w:color w:val="auto"/>
              </w:rPr>
            </w:pPr>
          </w:p>
        </w:tc>
        <w:tc>
          <w:tcPr>
            <w:tcW w:w="13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3"/>
        </w:trPr>
        <w:tc>
          <w:tcPr>
            <w:tcW w:w="76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35,497 shares outstanding as of September 30, 2020 and December 31, 2019, respectively</w:t>
            </w:r>
          </w:p>
        </w:tc>
        <w:tc>
          <w:tcPr>
            <w:tcW w:w="3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6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Treasury stock, at cost; 2,558 shares as of September 30, 2020 and December 31, 2019</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(100,027)</w:t>
            </w:r>
          </w:p>
        </w:tc>
        <w:tc>
          <w:tcPr>
            <w:tcW w:w="0" w:type="dxa"/>
            <w:vAlign w:val="bottom"/>
          </w:tcPr>
          <w:p>
            <w:pPr>
              <w:spacing w:after="0"/>
              <w:rPr>
                <w:sz w:val="1"/>
                <w:szCs w:val="1"/>
                <w:color w:val="auto"/>
              </w:rPr>
            </w:pPr>
          </w:p>
        </w:tc>
      </w:tr>
      <w:tr>
        <w:trPr>
          <w:trHeight w:val="223"/>
        </w:trPr>
        <w:tc>
          <w:tcPr>
            <w:tcW w:w="76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8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350,428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312,824</w:t>
            </w:r>
          </w:p>
        </w:tc>
        <w:tc>
          <w:tcPr>
            <w:tcW w:w="0" w:type="dxa"/>
            <w:vAlign w:val="bottom"/>
          </w:tcPr>
          <w:p>
            <w:pPr>
              <w:spacing w:after="0"/>
              <w:rPr>
                <w:sz w:val="1"/>
                <w:szCs w:val="1"/>
                <w:color w:val="auto"/>
              </w:rPr>
            </w:pPr>
          </w:p>
        </w:tc>
      </w:tr>
      <w:tr>
        <w:trPr>
          <w:trHeight w:val="33"/>
        </w:trPr>
        <w:tc>
          <w:tcPr>
            <w:tcW w:w="7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0" w:type="dxa"/>
            <w:vAlign w:val="bottom"/>
          </w:tcPr>
          <w:p>
            <w:pPr>
              <w:spacing w:after="0"/>
              <w:rPr>
                <w:sz w:val="1"/>
                <w:szCs w:val="1"/>
                <w:color w:val="auto"/>
              </w:rPr>
            </w:pPr>
          </w:p>
        </w:tc>
      </w:tr>
      <w:tr>
        <w:trPr>
          <w:trHeight w:val="223"/>
        </w:trPr>
        <w:tc>
          <w:tcPr>
            <w:tcW w:w="76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Retained earnings</w:t>
            </w:r>
          </w:p>
        </w:tc>
        <w:tc>
          <w:tcPr>
            <w:tcW w:w="38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148,580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121,187</w:t>
            </w: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390,240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328,145</w:t>
            </w:r>
          </w:p>
        </w:tc>
        <w:tc>
          <w:tcPr>
            <w:tcW w:w="0" w:type="dxa"/>
            <w:vAlign w:val="bottom"/>
          </w:tcPr>
          <w:p>
            <w:pPr>
              <w:spacing w:after="0"/>
              <w:rPr>
                <w:sz w:val="1"/>
                <w:szCs w:val="1"/>
                <w:color w:val="auto"/>
              </w:rPr>
            </w:pPr>
          </w:p>
        </w:tc>
      </w:tr>
      <w:tr>
        <w:trPr>
          <w:trHeight w:val="217"/>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688,282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630,512</w:t>
            </w:r>
          </w:p>
        </w:tc>
        <w:tc>
          <w:tcPr>
            <w:tcW w:w="0" w:type="dxa"/>
            <w:vAlign w:val="bottom"/>
          </w:tcPr>
          <w:p>
            <w:pPr>
              <w:spacing w:after="0"/>
              <w:rPr>
                <w:sz w:val="1"/>
                <w:szCs w:val="1"/>
                <w:color w:val="auto"/>
              </w:rPr>
            </w:pPr>
          </w:p>
        </w:tc>
      </w:tr>
      <w:tr>
        <w:trPr>
          <w:trHeight w:val="33"/>
        </w:trPr>
        <w:tc>
          <w:tcPr>
            <w:tcW w:w="6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6"/>
        </w:trPr>
        <w:tc>
          <w:tcPr>
            <w:tcW w:w="5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47"/>
        </w:trPr>
        <w:tc>
          <w:tcPr>
            <w:tcW w:w="5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165,227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485,742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484,152</w:t>
            </w:r>
          </w:p>
        </w:tc>
      </w:tr>
      <w:tr>
        <w:trPr>
          <w:trHeight w:val="203"/>
        </w:trPr>
        <w:tc>
          <w:tcPr>
            <w:tcW w:w="5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23"/>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60,331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193,265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206,379</w:t>
            </w:r>
          </w:p>
        </w:tc>
      </w:tr>
      <w:tr>
        <w:trPr>
          <w:trHeight w:val="33"/>
        </w:trPr>
        <w:tc>
          <w:tcPr>
            <w:tcW w:w="5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36,655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114,872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134,548</w:t>
            </w:r>
          </w:p>
        </w:tc>
      </w:tr>
      <w:tr>
        <w:trPr>
          <w:trHeight w:val="224"/>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38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10,617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36,171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42,113</w:t>
            </w:r>
          </w:p>
        </w:tc>
      </w:tr>
      <w:tr>
        <w:trPr>
          <w:trHeight w:val="33"/>
        </w:trPr>
        <w:tc>
          <w:tcPr>
            <w:tcW w:w="5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28,277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83,761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86,760</w:t>
            </w:r>
          </w:p>
        </w:tc>
      </w:tr>
      <w:tr>
        <w:trPr>
          <w:trHeight w:val="217"/>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135,880</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155,896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428,069</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469,800</w:t>
            </w:r>
          </w:p>
        </w:tc>
      </w:tr>
      <w:tr>
        <w:trPr>
          <w:trHeight w:val="33"/>
        </w:trPr>
        <w:tc>
          <w:tcPr>
            <w:tcW w:w="5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29,347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57,673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14,352</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r>
      <w:tr>
        <w:trPr>
          <w:trHeight w:val="33"/>
        </w:trPr>
        <w:tc>
          <w:tcPr>
            <w:tcW w:w="5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28,179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57,167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16,297</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38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5,597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11,280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33"/>
        </w:trPr>
        <w:tc>
          <w:tcPr>
            <w:tcW w:w="5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5"/>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22,582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45,887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24"/>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0.63</w:t>
            </w:r>
          </w:p>
        </w:tc>
        <w:tc>
          <w:tcPr>
            <w:tcW w:w="12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r>
      <w:tr>
        <w:trPr>
          <w:trHeight w:val="33"/>
        </w:trPr>
        <w:tc>
          <w:tcPr>
            <w:tcW w:w="5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5"/>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0.62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23"/>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35,219</w:t>
            </w:r>
          </w:p>
        </w:tc>
      </w:tr>
      <w:tr>
        <w:trPr>
          <w:trHeight w:val="33"/>
        </w:trPr>
        <w:tc>
          <w:tcPr>
            <w:tcW w:w="5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6"/>
        </w:trPr>
        <w:tc>
          <w:tcPr>
            <w:tcW w:w="5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0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r>
      <w:tr>
        <w:trPr>
          <w:trHeight w:val="196"/>
        </w:trPr>
        <w:tc>
          <w:tcPr>
            <w:tcW w:w="6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1"/>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22,582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45,887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15,755</w:t>
            </w:r>
          </w:p>
        </w:tc>
      </w:tr>
      <w:tr>
        <w:trPr>
          <w:trHeight w:val="22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360" w:type="dxa"/>
            <w:vAlign w:val="bottom"/>
          </w:tcPr>
          <w:p>
            <w:pPr>
              <w:spacing w:after="0"/>
              <w:rPr>
                <w:sz w:val="19"/>
                <w:szCs w:val="19"/>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(1,296)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(2,908)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(2,278)</w:t>
            </w:r>
          </w:p>
        </w:tc>
      </w:tr>
      <w:tr>
        <w:trPr>
          <w:trHeight w:val="3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(2,908)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(2,278)</w:t>
            </w:r>
          </w:p>
        </w:tc>
      </w:tr>
      <w:tr>
        <w:trPr>
          <w:trHeight w:val="21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21,868</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3,638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42,979</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13,477</w:t>
            </w:r>
          </w:p>
        </w:tc>
      </w:tr>
      <w:tr>
        <w:trPr>
          <w:trHeight w:val="3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166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840" w:type="dxa"/>
            <w:vAlign w:val="bottom"/>
            <w:gridSpan w:val="5"/>
          </w:tcPr>
          <w:p>
            <w:pPr>
              <w:ind w:left="52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0"/>
                <w:szCs w:val="10"/>
                <w:color w:val="auto"/>
              </w:rPr>
            </w:pPr>
          </w:p>
        </w:tc>
        <w:tc>
          <w:tcPr>
            <w:tcW w:w="8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20" w:type="dxa"/>
            <w:vAlign w:val="bottom"/>
          </w:tcPr>
          <w:p>
            <w:pPr>
              <w:spacing w:after="0"/>
              <w:rPr>
                <w:sz w:val="3"/>
                <w:szCs w:val="3"/>
                <w:color w:val="auto"/>
              </w:rPr>
            </w:pPr>
          </w:p>
        </w:tc>
        <w:tc>
          <w:tcPr>
            <w:tcW w:w="10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60" w:type="dxa"/>
            <w:vAlign w:val="bottom"/>
          </w:tcPr>
          <w:p>
            <w:pPr>
              <w:spacing w:after="0"/>
              <w:rPr>
                <w:sz w:val="3"/>
                <w:szCs w:val="3"/>
                <w:color w:val="auto"/>
              </w:rPr>
            </w:pPr>
          </w:p>
        </w:tc>
        <w:tc>
          <w:tcPr>
            <w:tcW w:w="820" w:type="dxa"/>
            <w:vAlign w:val="bottom"/>
            <w:gridSpan w:val="2"/>
            <w:vMerge w:val="restart"/>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37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740" w:type="dxa"/>
            <w:vAlign w:val="bottom"/>
            <w:vMerge w:val="continue"/>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0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2020</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38,245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(100,027)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319,412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132,147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343,500</w:t>
            </w: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8,285</w:t>
            </w: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23,153</w:t>
            </w:r>
          </w:p>
        </w:tc>
        <w:tc>
          <w:tcPr>
            <w:tcW w:w="0" w:type="dxa"/>
            <w:vAlign w:val="bottom"/>
          </w:tcPr>
          <w:p>
            <w:pPr>
              <w:spacing w:after="0"/>
              <w:rPr>
                <w:sz w:val="1"/>
                <w:szCs w:val="1"/>
                <w:color w:val="auto"/>
              </w:rPr>
            </w:pPr>
          </w:p>
        </w:tc>
      </w:tr>
      <w:tr>
        <w:trPr>
          <w:trHeight w:val="153"/>
        </w:trPr>
        <w:tc>
          <w:tcPr>
            <w:tcW w:w="37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Common shares withheld for settlement of taxes in</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connection with equity-based compensation</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dividends paid</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22,582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22,582</w:t>
            </w: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2020</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(100,027)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148,580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390,240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2019</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37,816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(100,027)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299,122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(7,453)</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111,900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303,921</w:t>
            </w: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5,509</w:t>
            </w:r>
          </w:p>
        </w:tc>
        <w:tc>
          <w:tcPr>
            <w:tcW w:w="0" w:type="dxa"/>
            <w:vAlign w:val="bottom"/>
          </w:tcPr>
          <w:p>
            <w:pPr>
              <w:spacing w:after="0"/>
              <w:rPr>
                <w:sz w:val="1"/>
                <w:szCs w:val="1"/>
                <w:color w:val="auto"/>
              </w:rPr>
            </w:pPr>
          </w:p>
        </w:tc>
      </w:tr>
      <w:tr>
        <w:trPr>
          <w:trHeight w:val="153"/>
        </w:trPr>
        <w:tc>
          <w:tcPr>
            <w:tcW w:w="37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3"/>
                <w:szCs w:val="13"/>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4,374</w:t>
            </w:r>
          </w:p>
        </w:tc>
        <w:tc>
          <w:tcPr>
            <w:tcW w:w="0" w:type="dxa"/>
            <w:vAlign w:val="bottom"/>
          </w:tcPr>
          <w:p>
            <w:pPr>
              <w:spacing w:after="0"/>
              <w:rPr>
                <w:sz w:val="1"/>
                <w:szCs w:val="1"/>
                <w:color w:val="auto"/>
              </w:rPr>
            </w:pPr>
          </w:p>
        </w:tc>
      </w:tr>
      <w:tr>
        <w:trPr>
          <w:trHeight w:val="193"/>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Common shares withheld for settlement of taxes in</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connection with equity-based compensation</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4,934</w:t>
            </w:r>
          </w:p>
        </w:tc>
        <w:tc>
          <w:tcPr>
            <w:tcW w:w="0" w:type="dxa"/>
            <w:vAlign w:val="bottom"/>
          </w:tcPr>
          <w:p>
            <w:pPr>
              <w:spacing w:after="0"/>
              <w:rPr>
                <w:sz w:val="1"/>
                <w:szCs w:val="1"/>
                <w:color w:val="auto"/>
              </w:rPr>
            </w:pPr>
          </w:p>
        </w:tc>
      </w:tr>
      <w:tr>
        <w:trPr>
          <w:trHeight w:val="20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2019</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38,006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(100,027)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307,815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116,834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316,253</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7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38,055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(100,027)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121,187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328,145</w:t>
            </w: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Cumulative effect of accounting change (Note 1)</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0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2020</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38,055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(100,027)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312,824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120,940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327,898</w:t>
            </w: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17,681</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23,153</w:t>
            </w:r>
          </w:p>
        </w:tc>
        <w:tc>
          <w:tcPr>
            <w:tcW w:w="0" w:type="dxa"/>
            <w:vAlign w:val="bottom"/>
          </w:tcPr>
          <w:p>
            <w:pPr>
              <w:spacing w:after="0"/>
              <w:rPr>
                <w:sz w:val="1"/>
                <w:szCs w:val="1"/>
                <w:color w:val="auto"/>
              </w:rPr>
            </w:pPr>
          </w:p>
        </w:tc>
      </w:tr>
      <w:tr>
        <w:trPr>
          <w:trHeight w:val="153"/>
        </w:trPr>
        <w:tc>
          <w:tcPr>
            <w:tcW w:w="37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193"/>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Common shares withheld for settlement of taxes in</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connection with equity-based compensation</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dividends paid</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(18,247)</w:t>
            </w: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45,887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45,887</w:t>
            </w:r>
          </w:p>
        </w:tc>
        <w:tc>
          <w:tcPr>
            <w:tcW w:w="0" w:type="dxa"/>
            <w:vAlign w:val="bottom"/>
          </w:tcPr>
          <w:p>
            <w:pPr>
              <w:spacing w:after="0"/>
              <w:rPr>
                <w:sz w:val="1"/>
                <w:szCs w:val="1"/>
                <w:color w:val="auto"/>
              </w:rPr>
            </w:pPr>
          </w:p>
        </w:tc>
      </w:tr>
      <w:tr>
        <w:trPr>
          <w:trHeight w:val="22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2020</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(100,027)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148,580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390,240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37,618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(100,027)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291,710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101,079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286,667</w:t>
            </w: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17,884</w:t>
            </w:r>
          </w:p>
        </w:tc>
        <w:tc>
          <w:tcPr>
            <w:tcW w:w="0" w:type="dxa"/>
            <w:vAlign w:val="bottom"/>
          </w:tcPr>
          <w:p>
            <w:pPr>
              <w:spacing w:after="0"/>
              <w:rPr>
                <w:sz w:val="1"/>
                <w:szCs w:val="1"/>
                <w:color w:val="auto"/>
              </w:rPr>
            </w:pPr>
          </w:p>
        </w:tc>
      </w:tr>
      <w:tr>
        <w:trPr>
          <w:trHeight w:val="153"/>
        </w:trPr>
        <w:tc>
          <w:tcPr>
            <w:tcW w:w="37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4,590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4,596</w:t>
            </w:r>
          </w:p>
        </w:tc>
        <w:tc>
          <w:tcPr>
            <w:tcW w:w="0" w:type="dxa"/>
            <w:vAlign w:val="bottom"/>
          </w:tcPr>
          <w:p>
            <w:pPr>
              <w:spacing w:after="0"/>
              <w:rPr>
                <w:sz w:val="1"/>
                <w:szCs w:val="1"/>
                <w:color w:val="auto"/>
              </w:rPr>
            </w:pPr>
          </w:p>
        </w:tc>
      </w:tr>
      <w:tr>
        <w:trPr>
          <w:trHeight w:val="193"/>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74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Common shares withheld for settlement of taxes in</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w:t>
            </w: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connection with equity-based compensation</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15,755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15,755</w:t>
            </w:r>
          </w:p>
        </w:tc>
        <w:tc>
          <w:tcPr>
            <w:tcW w:w="0" w:type="dxa"/>
            <w:vAlign w:val="bottom"/>
          </w:tcPr>
          <w:p>
            <w:pPr>
              <w:spacing w:after="0"/>
              <w:rPr>
                <w:sz w:val="1"/>
                <w:szCs w:val="1"/>
                <w:color w:val="auto"/>
              </w:rPr>
            </w:pPr>
          </w:p>
        </w:tc>
      </w:tr>
      <w:tr>
        <w:trPr>
          <w:trHeight w:val="20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2019</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38,006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(100,027)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307,815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116,834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316,253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r>
      <w:tr>
        <w:trPr>
          <w:trHeight w:val="191"/>
        </w:trPr>
        <w:tc>
          <w:tcPr>
            <w:tcW w:w="8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1"/>
        </w:trPr>
        <w:tc>
          <w:tcPr>
            <w:tcW w:w="8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45,887</w:t>
            </w:r>
          </w:p>
        </w:tc>
        <w:tc>
          <w:tcPr>
            <w:tcW w:w="1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15,755</w:t>
            </w:r>
          </w:p>
        </w:tc>
      </w:tr>
      <w:tr>
        <w:trPr>
          <w:trHeight w:val="33"/>
        </w:trPr>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37,311</w:t>
            </w:r>
          </w:p>
        </w:tc>
      </w:tr>
      <w:tr>
        <w:trPr>
          <w:trHeight w:val="33"/>
        </w:trPr>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r>
      <w:tr>
        <w:trPr>
          <w:trHeight w:val="224"/>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17,884</w:t>
            </w:r>
          </w:p>
        </w:tc>
      </w:tr>
      <w:tr>
        <w:trPr>
          <w:trHeight w:val="33"/>
        </w:trPr>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r>
      <w:tr>
        <w:trPr>
          <w:trHeight w:val="223"/>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w:t>
            </w:r>
          </w:p>
        </w:tc>
      </w:tr>
      <w:tr>
        <w:trPr>
          <w:trHeight w:val="224"/>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r>
      <w:tr>
        <w:trPr>
          <w:trHeight w:val="33"/>
        </w:trPr>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13,284</w:t>
            </w:r>
          </w:p>
        </w:tc>
      </w:tr>
      <w:tr>
        <w:trPr>
          <w:trHeight w:val="22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Long-term incentives related to acquisitions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r>
      <w:tr>
        <w:trPr>
          <w:trHeight w:val="224"/>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33"/>
        </w:trPr>
        <w:tc>
          <w:tcPr>
            <w:tcW w:w="8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77,020</w:t>
            </w:r>
          </w:p>
        </w:tc>
      </w:tr>
      <w:tr>
        <w:trPr>
          <w:trHeight w:val="196"/>
        </w:trPr>
        <w:tc>
          <w:tcPr>
            <w:tcW w:w="82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(19,547)</w:t>
            </w:r>
          </w:p>
        </w:tc>
      </w:tr>
      <w:tr>
        <w:trPr>
          <w:trHeight w:val="33"/>
        </w:trPr>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Webdam, net</w:t>
            </w:r>
          </w:p>
        </w:tc>
        <w:tc>
          <w:tcPr>
            <w:tcW w:w="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23"/>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r>
      <w:tr>
        <w:trPr>
          <w:trHeight w:val="33"/>
        </w:trPr>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Security deposit release</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(22,088)</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(18,943)</w:t>
            </w:r>
          </w:p>
        </w:tc>
      </w:tr>
      <w:tr>
        <w:trPr>
          <w:trHeight w:val="33"/>
        </w:trPr>
        <w:tc>
          <w:tcPr>
            <w:tcW w:w="8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8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proceeds from issuance of common stock</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r>
      <w:tr>
        <w:trPr>
          <w:trHeight w:val="33"/>
        </w:trPr>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r>
      <w:tr>
        <w:trPr>
          <w:trHeight w:val="223"/>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cash dividend</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 (used in) financing activities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r>
      <w:tr>
        <w:trPr>
          <w:trHeight w:val="196"/>
        </w:trPr>
        <w:tc>
          <w:tcPr>
            <w:tcW w:w="82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5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r>
      <w:tr>
        <w:trPr>
          <w:trHeight w:val="21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77,253</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54,544</w:t>
            </w:r>
          </w:p>
        </w:tc>
      </w:tr>
      <w:tr>
        <w:trPr>
          <w:trHeight w:val="33"/>
        </w:trPr>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8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305,874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233,465</w:t>
            </w:r>
          </w:p>
        </w:tc>
      </w:tr>
      <w:tr>
        <w:trPr>
          <w:trHeight w:val="33"/>
        </w:trPr>
        <w:tc>
          <w:tcPr>
            <w:tcW w:w="8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383,127</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288,009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r>
    </w:tbl>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 w:name="page9"/>
    <w:bookmarkEnd w:id="8"/>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62"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Shutterstock, Inc. (the “Company” or “Shutterstock”) is a global technology company offering a creative platform, which provides high-quality content, tools and services to creative professionals. The content licensed by the Company’s customers includes:</w:t>
      </w:r>
    </w:p>
    <w:p>
      <w:pPr>
        <w:spacing w:after="0" w:line="81" w:lineRule="exact"/>
        <w:rPr>
          <w:sz w:val="20"/>
          <w:szCs w:val="20"/>
          <w:color w:val="auto"/>
        </w:rPr>
      </w:pPr>
    </w:p>
    <w:p>
      <w:pPr>
        <w:ind w:left="980" w:right="26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53"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5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Company licenses content to its customers. Contributors upload their content to the Company’s web properties in exchange for royalty payments based on customer download activity.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firstLine="405"/>
        <w:spacing w:after="0" w:line="289" w:lineRule="auto"/>
        <w:rPr>
          <w:sz w:val="20"/>
          <w:szCs w:val="20"/>
          <w:color w:val="auto"/>
        </w:rPr>
      </w:pPr>
      <w:r>
        <w:rPr>
          <w:rFonts w:ascii="Times New Roman" w:cs="Times New Roman" w:eastAsia="Times New Roman" w:hAnsi="Times New Roman"/>
          <w:sz w:val="17"/>
          <w:szCs w:val="17"/>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50"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interim Consolidated Balance Sheet as of September 30, 2020, and the Consolidated Statements of Operations, Comprehensive Income and Stockholders’ Equity for the three and nine months ended September 30, 2020 and 2019, and the Consolidated Statements of Cash Flows for the nine months ended September 30, 2020 and 2019, are unaudited. The Consolidated Balance Sheet as of December 31, 2019,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September 30, 2020, and its consolidated results of operations, comprehensive income and stockholders’ equity for the three and nine months ended September 30, 2020 and 2019, and its cash flows for the nine months ended September 30, 2020 and 2019. The financial data and the other financial information disclosed in the notes to the financial statements related to these periods are also unaudited. The results of operations for the nine months ended September 30, 2020 are not necessarily indicative of the results to be expected for the fiscal year ending December 31, 2020 or for any other future annual or interim period.</w:t>
      </w:r>
    </w:p>
    <w:p>
      <w:pPr>
        <w:spacing w:after="0" w:line="8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2019 included in the Company’s Annual Report on Form 10-K, which was filed with the SEC on February 13, 2020.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200" w:lineRule="exact"/>
        <w:rPr>
          <w:sz w:val="20"/>
          <w:szCs w:val="20"/>
          <w:color w:val="auto"/>
        </w:rPr>
      </w:pPr>
    </w:p>
    <w:p>
      <w:pPr>
        <w:spacing w:after="0" w:line="36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represents the Company’s cash and cash equivalents and restricted cash balances as of September 30, 2020 and December 31, 2019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r>
      <w:tr>
        <w:trPr>
          <w:trHeight w:val="235"/>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60" w:type="dxa"/>
            <w:vAlign w:val="bottom"/>
            <w:tcBorders>
              <w:top w:val="single" w:sz="8" w:color="auto"/>
              <w:bottom w:val="single" w:sz="8" w:color="CCEEFF"/>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303,261</w:t>
            </w:r>
          </w:p>
        </w:tc>
      </w:tr>
      <w:tr>
        <w:trPr>
          <w:trHeight w:val="22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5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r>
      <w:tr>
        <w:trPr>
          <w:trHeight w:val="33"/>
        </w:trPr>
        <w:tc>
          <w:tcPr>
            <w:tcW w:w="7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7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383,127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305,874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consist of cash on hand, bank deposits and money market funds. These assets are stated at cost, which approximates fair value.</w:t>
      </w:r>
    </w:p>
    <w:p>
      <w:pPr>
        <w:spacing w:after="0" w:line="16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Effective February 2020, the Company was no longer required to provide cash collateral for its letter of credit for its New York City headquarters, and, accordingly, these funds are no longer restricted.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the aging of its accounts receivable and on a customer-by-customer basis where appropriate. The Company’s reserve analysis contemplates the Company’s historical loss rate on receivables, specific customer situations and the economic environments in which the Company operates.</w:t>
      </w:r>
    </w:p>
    <w:p>
      <w:pPr>
        <w:spacing w:after="0" w:line="72"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 xml:space="preserve">Historically, the Company used an incurred loss model to calculate its allowance for doubtful accounts. Upon the adoption of ASU 2016-13, </w:t>
      </w:r>
      <w:r>
        <w:rPr>
          <w:rFonts w:ascii="Times New Roman" w:cs="Times New Roman" w:eastAsia="Times New Roman" w:hAnsi="Times New Roman"/>
          <w:sz w:val="18"/>
          <w:szCs w:val="18"/>
          <w:i w:val="1"/>
          <w:iCs w:val="1"/>
          <w:color w:val="auto"/>
        </w:rPr>
        <w:t xml:space="preserve">Financial Instruments - Credit Losses (Topic 326): Measurement of Credit Losses of Financial Instruments </w:t>
      </w:r>
      <w:r>
        <w:rPr>
          <w:rFonts w:ascii="Times New Roman" w:cs="Times New Roman" w:eastAsia="Times New Roman" w:hAnsi="Times New Roman"/>
          <w:sz w:val="18"/>
          <w:szCs w:val="18"/>
          <w:color w:val="auto"/>
        </w:rPr>
        <w:t>(“ASU 2016-13”) on January 1,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shifted to a current expected credit loss model.</w:t>
      </w:r>
    </w:p>
    <w:p>
      <w:pPr>
        <w:spacing w:after="0" w:line="68"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recorded bad debt expense of $1.6 million. As of September 30, 2020 and December 31, 2019, the Company’s allowance for doubtful accounts was approximately $4.1 million and $3.6 million, respectively. The allowance for doubtful accounts is included as a reduction of accounts receivable on the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2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Company establishes a chargeback allowance and sales refund reserve allowance based on factors surrounding historical credit card chargeback trends, historical sales refund trends and other information. As of September 30, 2020 and December 31, 2019, the Company’s combined allowance for chargebacks and sales refunds was $0.4 million and $0.3 million, respectively, which was included as a component of other current liabilities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w:t>
      </w:r>
    </w:p>
    <w:p>
      <w:pPr>
        <w:spacing w:after="0" w:line="68"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which generally occurs when content is downloaded by a customer. The Company recognizes revenue on both its subscription-based and transaction-based products when content is downloaded, at which time the license is provided. In addition, management estimates expected unused licenses for subscription-based products and recognizes the estimated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The Company expenses contract acquisition costs as incurred, to the extent that the amortization period would otherwise be one year or less.</w:t>
      </w:r>
    </w:p>
    <w:p>
      <w:pPr>
        <w:spacing w:after="0" w:line="121"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the Company’s customers purchase products by making an electronic payment with a credit card at the time of a transaction. Customer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 Updates</w:t>
      </w:r>
    </w:p>
    <w:p>
      <w:pPr>
        <w:spacing w:after="0" w:line="14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 which as amended, replaces the current incurred loss impairment methodology with a methodology that reflects expected credit losses. The ASU is intended to provide financial statement users with more decision-useful information about the expected credit losses on financial instruments and other commitments to extend credit held by a reporting entity at each reporting date. Adoption of this guidance was required, prospectively, for annual periods beginning after December 15, 2019, with early adoption permitted for annual periods beginning after December 15, 2018. The Company adopted ASU 2016-13, as amended, effective January 1, 2020 using the modified retrospective method and recorded a cumulative-effect adjustment of $0.2 million, net of tax, in retained earnings as of January 1, 2020.</w:t>
      </w:r>
    </w:p>
    <w:p>
      <w:pPr>
        <w:spacing w:after="0" w:line="118"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 - Changes to the Disclosure Requirements for Fair Value Measurements</w:t>
      </w:r>
      <w:r>
        <w:rPr>
          <w:rFonts w:ascii="Times New Roman" w:cs="Times New Roman" w:eastAsia="Times New Roman" w:hAnsi="Times New Roman"/>
          <w:sz w:val="18"/>
          <w:szCs w:val="18"/>
          <w:color w:val="auto"/>
        </w:rPr>
        <w:t xml:space="preserve"> (“ASU 2018-13”), which eliminates, adds and modifies certain disclosure requirements for fair value measurements as part of the FASB’s disclosure framework project. Adoption of this guidance was required for fiscal years and interim periods within those fiscal years, beginning after December 15, 2019. The Company adopted ASU 2018-13, effective January 1, 2020. The impact of adoption of this standard on the consolidated financial statements, including accounting policies, processes and systems, was not material.</w:t>
      </w:r>
    </w:p>
    <w:p>
      <w:pPr>
        <w:spacing w:after="0" w:line="11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Is a Service Contract </w:t>
      </w:r>
      <w:r>
        <w:rPr>
          <w:rFonts w:ascii="Times New Roman" w:cs="Times New Roman" w:eastAsia="Times New Roman" w:hAnsi="Times New Roman"/>
          <w:sz w:val="18"/>
          <w:szCs w:val="18"/>
          <w:color w:val="auto"/>
        </w:rPr>
        <w:t>(“ASU 2018-15”), which aligns the requirements for capitalizing implementation costs in a cloud computing arrangement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requirements for capitalizing implementation costs incurred for an internal-use software license. Adoption of this guidance was required for fiscal years beginning after December 15, 2019 and interim periods within those fiscal years and early adoption is permitted. Entities are permitted to choose to adopt the new guidance (1) prospectively for eligible costs incurred on or after the date this guidance is first applied or (2) retrospectively. The Company adopted ASU 2018-15 on a prospective basis, effective January 1, 2020. The adoption of this standard is not expected to have a significant impact on our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 Updates</w:t>
      </w:r>
    </w:p>
    <w:p>
      <w:pPr>
        <w:spacing w:after="0" w:line="146"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(“ASU-2019-12”). ASU 2019-12 eliminates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enacted changes in tax laws or rates and clarifies the accounting transactions that result in a step-up in the tax basis of goodwill. The guidance is effective for fiscal years beginning after December 15, 2020 and interim periods within those fiscal years. We are currently in the process of evaluating the effect that ASU 2019-12 will have on the Company’s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 and Other Long-term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no assets or liabilities requiring fair value hierarchy disclosures as of September 30, 2020 or December 31,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6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The Company’s non-financial assets, which include property and equipment,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ZCool Technologies Limited (“ZCool”)</w:t>
      </w:r>
    </w:p>
    <w:p>
      <w:pPr>
        <w:spacing w:after="0" w:line="65" w:lineRule="exact"/>
        <w:rPr>
          <w:sz w:val="20"/>
          <w:szCs w:val="20"/>
          <w:color w:val="auto"/>
        </w:rPr>
      </w:pPr>
    </w:p>
    <w:p>
      <w:pPr>
        <w:ind w:right="460" w:firstLine="405"/>
        <w:spacing w:after="0" w:line="261" w:lineRule="auto"/>
        <w:rPr>
          <w:sz w:val="20"/>
          <w:szCs w:val="20"/>
          <w:color w:val="auto"/>
        </w:rPr>
      </w:pPr>
      <w:r>
        <w:rPr>
          <w:rFonts w:ascii="Times New Roman" w:cs="Times New Roman" w:eastAsia="Times New Roman" w:hAnsi="Times New Roman"/>
          <w:sz w:val="18"/>
          <w:szCs w:val="18"/>
          <w:color w:val="auto"/>
        </w:rPr>
        <w:t>On January 4, 2018, the Company invested $15.0 million in convertible preferred shares issued by ZCool (the “Preferred Shares”), which is equivalent to a 25% fully diluted equity ownership interest. ZCool’s primary business is the operation of an E-commerce platform in China whereby customers can pay to license content contributed by creative professionals. ZCool and its affiliates have been the exclusive distributor of Shutterstock creative content in China since 2014.</w:t>
      </w:r>
    </w:p>
    <w:p>
      <w:pPr>
        <w:spacing w:after="0" w:line="7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ZCool is a variable interest entity that is not consolidated because the Company is not the primary beneficiary. The Preferred Shares are not deemed to be in-substance common stock and are accounted for using the measurement alternative for equity investments with no readily determinable fair value. The Preferred Shares are reported at cost, adjusted for impairments or any observable price changes in orderly transactions for identical or similar investments issued by ZCool.</w:t>
      </w:r>
    </w:p>
    <w:p>
      <w:pPr>
        <w:spacing w:after="0" w:line="7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evaluates the carrying value of the Preferred Shares for impairment, which includes an assessment of ZCool’s revenue growth, earnings performance, working capital and the general regional market conditions. As of September 30, 2020, no adjustments to the carrying value were identified as a result of this assessment. Changes in performance negatively impacting ZCool’s operating results and cash flows could result in the Company recording an impairment charge on the Preferred Shares in future periods.</w:t>
      </w:r>
    </w:p>
    <w:p>
      <w:pPr>
        <w:spacing w:after="0" w:line="7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the Company’s total investment in ZCool is $15.0 million, which is reported within other assets on the Consolidated Balance Sheets.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r>
      <w:tr>
        <w:trPr>
          <w:trHeight w:val="235"/>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165,950</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10,199</w:t>
            </w:r>
          </w:p>
        </w:tc>
      </w:tr>
      <w:tr>
        <w:trPr>
          <w:trHeight w:val="33"/>
        </w:trPr>
        <w:tc>
          <w:tcPr>
            <w:tcW w:w="7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19,203</w:t>
            </w:r>
          </w:p>
        </w:tc>
      </w:tr>
      <w:tr>
        <w:trPr>
          <w:trHeight w:val="217"/>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w:t>
            </w: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215,897</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195,352</w:t>
            </w:r>
          </w:p>
        </w:tc>
      </w:tr>
      <w:tr>
        <w:trPr>
          <w:trHeight w:val="33"/>
        </w:trPr>
        <w:tc>
          <w:tcPr>
            <w:tcW w:w="7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(136,518)</w:t>
            </w:r>
          </w:p>
        </w:tc>
      </w:tr>
      <w:tr>
        <w:trPr>
          <w:trHeight w:val="217"/>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52,686</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58,834</w:t>
            </w:r>
          </w:p>
        </w:tc>
      </w:tr>
      <w:tr>
        <w:trPr>
          <w:trHeight w:val="33"/>
        </w:trPr>
        <w:tc>
          <w:tcPr>
            <w:tcW w:w="79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$8.4 million and $10.8 million for the three months ended September 30, 2020 and 2019, respectively, and $27.3 million and $31.9 million for the nine months ended September 30, 2020 and 2019, respectively. Cost of revenues includes depreciation expense of $7.5 million and $9.6 million for the three months ended September 30, 2020 and 2019, respectively, and $24.3 million and $28.2 million for the nine months ended September 30, 2020 and 2019, respectively. General and administrative expense includes depreciation expense of $0.9 million and $1.2 million for the three months ended September 30, 2020 and 2019, respectively, and $3.0 million and $3.7 million for the nine months ended September 30, 2020 and 2019,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6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capitalized costs related to the development of internal-use software of $6.1 million and $5.6 million for the three months ended September 30, 2020 and 2019, respectively, and $19.3 million and $17.8 million for the nine months ended September 30, 2020 and 2019, respectively. Capitalized amounts are included as a component of property and equipment under computer equipment and software on the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$7.1 million and $7.7 million for the three months ended September 30, 2020 and 2019, respectively, and $22.0 million and $22.5 million for the nine months ended September 30, 2020 and 2019, respectively. Depreciation expense related to capitalized internal-use software is included in cost of revenue in the Consolidated Statements of Operations.</w:t>
      </w:r>
    </w:p>
    <w:p>
      <w:pPr>
        <w:spacing w:after="0" w:line="68" w:lineRule="exact"/>
        <w:rPr>
          <w:sz w:val="20"/>
          <w:szCs w:val="20"/>
          <w:color w:val="auto"/>
        </w:rPr>
      </w:pPr>
    </w:p>
    <w:p>
      <w:pPr>
        <w:ind w:right="86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the Company had capitalized internal-use software of $39.0 million and $41.8 million, respectively, net of accumulated depreciation, which was included in property and equipment, net.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nine months ended September 30, 2020.</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goodwill balance during the nine months ended September 30, 2020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35"/>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2019</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88,974</w:t>
            </w:r>
          </w:p>
        </w:tc>
      </w:tr>
      <w:tr>
        <w:trPr>
          <w:trHeight w:val="223"/>
        </w:trPr>
        <w:tc>
          <w:tcPr>
            <w:tcW w:w="9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33"/>
        </w:trPr>
        <w:tc>
          <w:tcPr>
            <w:tcW w:w="9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2"/>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2020</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88,727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2020 and December 31, 2019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1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42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1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 Life</w:t>
            </w: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1"/>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17,499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17,729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Trade name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0" w:type="dxa"/>
            <w:vAlign w:val="bottom"/>
          </w:tcPr>
          <w:p>
            <w:pPr>
              <w:spacing w:after="0"/>
              <w:rPr>
                <w:sz w:val="1"/>
                <w:szCs w:val="1"/>
                <w:color w:val="auto"/>
              </w:rPr>
            </w:pPr>
          </w:p>
        </w:tc>
      </w:tr>
      <w:tr>
        <w:trPr>
          <w:trHeight w:val="223"/>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Developed technology</w:t>
            </w:r>
          </w:p>
        </w:tc>
        <w:tc>
          <w:tcPr>
            <w:tcW w:w="2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4,841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Contributor content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25,548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23,510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0" w:type="dxa"/>
            <w:vAlign w:val="bottom"/>
          </w:tcPr>
          <w:p>
            <w:pPr>
              <w:spacing w:after="0"/>
              <w:rPr>
                <w:sz w:val="1"/>
                <w:szCs w:val="1"/>
                <w:color w:val="auto"/>
              </w:rPr>
            </w:pPr>
          </w:p>
        </w:tc>
      </w:tr>
      <w:tr>
        <w:trPr>
          <w:trHeight w:val="224"/>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Patents</w:t>
            </w:r>
          </w:p>
        </w:tc>
        <w:tc>
          <w:tcPr>
            <w:tcW w:w="2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54,529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52,856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Amortization expense was $1.3 million and $1.2 million for the three months ended September 30, 2020 and 2019, respectively, and $3.8 million and $5.4 million for the nine months ended September 30, 2020 and 2019, respectively. Cost of revenue includes amortization expense of $0.7 million and $0.5 million for the three months ended September 30, 2020 and 2019, respectively, and $2.0 million and $1.4 million for the nine months ended September 30, 2020 and 2019, respectively. General and administrative expense includes amortization expense of $0.6 million and $0.7 million for the three months ended September 30, 2020 and 2019, respectively, and $1.8 million and $4.0 million for the nine months ended September 30, 2020 and 2019, respectively.</w:t>
      </w:r>
    </w:p>
    <w:p>
      <w:pPr>
        <w:spacing w:after="0" w:line="75"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$1.5 million for the remaining three months of 2020, $5.0 million in 2021, $4.7 million in 2022, $4.3 million in 2023, $3.4 million in 2024, $2.0 million in 2025 and $3.6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r>
      <w:tr>
        <w:trPr>
          <w:trHeight w:val="235"/>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20,776</w:t>
            </w:r>
          </w:p>
        </w:tc>
      </w:tr>
      <w:tr>
        <w:trPr>
          <w:trHeight w:val="224"/>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15,332</w:t>
            </w:r>
          </w:p>
        </w:tc>
      </w:tr>
      <w:tr>
        <w:trPr>
          <w:trHeight w:val="33"/>
        </w:trPr>
        <w:tc>
          <w:tcPr>
            <w:tcW w:w="7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5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8,657</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9,099</w:t>
            </w:r>
          </w:p>
        </w:tc>
      </w:tr>
      <w:tr>
        <w:trPr>
          <w:trHeight w:val="33"/>
        </w:trPr>
        <w:tc>
          <w:tcPr>
            <w:tcW w:w="79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accrued expenses</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61,377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 and Equity-Based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Offering</w:t>
      </w:r>
    </w:p>
    <w:p>
      <w:pPr>
        <w:spacing w:after="0" w:line="6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August 14, 2020, the Company completed an offering (the “Stock Offering”), whereby 2,580,000 shares of its common stock were sold to the public at a price to the public of $48.50 per share. The Company sold 516,000 shares of common stock in the Stock Offering and the Company’s Founder and Executive Chairman of the Board sold 2,064,000 shares of common stock in the Stock Offering. The Company received net proceeds from the shares it sold, after deducting underwriting discounts and commissions and offering expenses payable by the Company, of approximately $23.2 million. The Company did not receive any proceeds from the shares sold by the Company’s Founder and Executive Chairman of the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6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issued 516,000 shares of common stock in connection with the Stock Offering. Additionally, the Company issued approximately 15,000 and 191,000 shares of common stock during the three months ended September 30, 2020 and 2019, respectively, and 206,000 and 389,000 for the nine months ended September 30, 2020 and 2019, respectively, related to the exercise of stock options and the vesting of Restricted Stock Units.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6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repurchase up to an additional $100 million of its outstanding common stock. During the nine months ended September 30, 2020 and 2019, the Company did not repurchase any shares of its common stock under the share repurchase program. As of September 30, 2020, the Company had $100 million of remaining authorization for purchases under the share repurchase program.</w:t>
      </w:r>
    </w:p>
    <w:p>
      <w:pPr>
        <w:spacing w:after="0" w:line="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Company declared and paid cash dividends of $0.17 and $0.51 per share of common stock, or $6.1 million and $18.2 million, during the three and nine months ended September 30, 2020.</w:t>
      </w:r>
    </w:p>
    <w:p>
      <w:pPr>
        <w:spacing w:after="0" w:line="16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On October 19, 2020, the Company’s Board of Directors declared a quarterly cash dividend of $0.17 per share of outstanding common stock payable on December 16, 2020 to stockholders of record at the close of business on December 3, 2020. Future declarations of dividends are subject to the final determination of the Board of Directors, and will depend on, among other things, the Company’s future financial condition, results of operations, capital requirements, capital expenditure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requirements, contractual restrictions, anticipated cash needs, business prospects, provisions of applicable law and other factors the Board of Directors may deem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payment awards, including employee Restricted Stock Units and Performance-based Restricted Stock Units (“PRSUs” and, collectively with Restricted Stock Units, “RSUs”) and stock options granted under the Company’s Amended and Restated 2012 Omnibus Equity Incentive Plan (the “2012 Plan”), based on the fair value of each award on the grant date.</w:t>
      </w:r>
    </w:p>
    <w:p>
      <w:pPr>
        <w:spacing w:after="0" w:line="68"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and nine months ended September 30, 2020 and 2019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30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3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w:t>
            </w: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1,623</w:t>
            </w:r>
          </w:p>
        </w:tc>
      </w:tr>
      <w:tr>
        <w:trPr>
          <w:trHeight w:val="33"/>
        </w:trPr>
        <w:tc>
          <w:tcPr>
            <w:tcW w:w="5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9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3,456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3,822</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12,649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12,194</w:t>
            </w:r>
          </w:p>
        </w:tc>
      </w:tr>
      <w:tr>
        <w:trPr>
          <w:trHeight w:val="33"/>
        </w:trPr>
        <w:tc>
          <w:tcPr>
            <w:tcW w:w="5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17,681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17,884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award type included in the accompanying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and nine months ended September 30, 2020 and 2019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20" w:type="dxa"/>
            <w:vAlign w:val="bottom"/>
          </w:tcPr>
          <w:p>
            <w:pPr>
              <w:spacing w:after="0"/>
              <w:rPr>
                <w:sz w:val="16"/>
                <w:szCs w:val="16"/>
                <w:color w:val="auto"/>
              </w:rPr>
            </w:pPr>
          </w:p>
        </w:tc>
        <w:tc>
          <w:tcPr>
            <w:tcW w:w="30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32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4,394</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15,772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13,490</w:t>
            </w:r>
          </w:p>
        </w:tc>
      </w:tr>
      <w:tr>
        <w:trPr>
          <w:trHeight w:val="33"/>
        </w:trPr>
        <w:tc>
          <w:tcPr>
            <w:tcW w:w="53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5"/>
        </w:trPr>
        <w:tc>
          <w:tcPr>
            <w:tcW w:w="5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17,681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17,884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27"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granted 53,000 options to purchase shares of its common stock with a weighted average exercise price of $42.96. As of September 30, 2020, there were approximately 346,000 options vested and exercisable with a weighted average exercise price of $34.49. As of September 30, 2020, the total unrecognized compensation charge related to non-vested options was approximately $1.8 million, which is expected to be recognized through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65"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had RSU grants, net of forfeitures, of approximately 603,000. As of September 30, 2020, there are approximately 1,425,000 non-vested RSUs outstanding with a weighted average grant-date fair value of $39.61. As of September 30, 2020, the total unrecognized non-cash equity-based compensation charge related to the non-vested RSUs was approximately $35.8 million, which is expected to be recognized through 2023.</w:t>
      </w:r>
    </w:p>
    <w:p>
      <w:pPr>
        <w:spacing w:after="0" w:line="7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shares of common stock with an aggregate value of $3.9 million were withheld upon vesting of RSUs and paid in connection with related remittance of employee withholding taxes to taxing authorities.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distributes its content offerings through two primary channels:</w:t>
      </w:r>
    </w:p>
    <w:p>
      <w:pPr>
        <w:spacing w:after="0" w:line="115" w:lineRule="exact"/>
        <w:rPr>
          <w:sz w:val="20"/>
          <w:szCs w:val="20"/>
          <w:color w:val="auto"/>
        </w:rPr>
      </w:pPr>
    </w:p>
    <w:p>
      <w:pPr>
        <w:ind w:right="1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The majority of the Company’s customers license content directly through the Company’s self-service web properties. E-commerce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have the flexibility to purchase a subscription plan that is paid on a monthly or annual basis or to license content on a transactional basis. These customers generally license content under the Company’s standard 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enhanced licenses, with additional licensing options available to meet customers’ individual needs. E-commerce customers typically pay the full amount of the purchase price in advance or at the time of license, generally with a credit card.</w:t>
      </w:r>
    </w:p>
    <w:p>
      <w:pPr>
        <w:spacing w:after="0" w:line="52" w:lineRule="exact"/>
        <w:rPr>
          <w:sz w:val="20"/>
          <w:szCs w:val="20"/>
          <w:color w:val="auto"/>
        </w:rPr>
      </w:pPr>
    </w:p>
    <w:p>
      <w:pPr>
        <w:ind w:right="7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The Company also has a base of customers with unique content, licensing and workflow needs. These customers benefit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and nine months ended September 30, 2020 and 2019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102,816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96,233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300,716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291,339</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24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62,411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185,026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192,813</w:t>
            </w:r>
          </w:p>
        </w:tc>
      </w:tr>
      <w:tr>
        <w:trPr>
          <w:trHeight w:val="33"/>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2"/>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165,227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159,079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485,742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484,152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September 30, 2020 deferred revenue balance will be earned as content is downloaded or upon the expiration of subscription-based products, and nearly all is expected to be earned within the next twelve months. $114.2 million of total revenue recognized for the nine months ended September 30, 2020 was reflected in deferred revenue as of December 31, 2019.</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(Expense) / Income, net</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other income and expense activity included in the accompanying Consolidated Statements of Operations for the three and nine months ended September 30, 2020 and 2019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31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1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rPr>
              <w:t>(1,356)</w:t>
            </w:r>
          </w:p>
        </w:tc>
      </w:tr>
      <w:tr>
        <w:trPr>
          <w:trHeight w:val="224"/>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01"/>
              <w:spacing w:after="0"/>
              <w:rPr>
                <w:sz w:val="20"/>
                <w:szCs w:val="20"/>
                <w:color w:val="auto"/>
              </w:rPr>
            </w:pPr>
            <w:r>
              <w:rPr>
                <w:rFonts w:ascii="Times New Roman" w:cs="Times New Roman" w:eastAsia="Times New Roman" w:hAnsi="Times New Roman"/>
                <w:sz w:val="16"/>
                <w:szCs w:val="16"/>
                <w:color w:val="auto"/>
                <w:w w:val="99"/>
              </w:rPr>
              <w:t>3,301</w:t>
            </w:r>
          </w:p>
        </w:tc>
      </w:tr>
      <w:tr>
        <w:trPr>
          <w:trHeight w:val="33"/>
        </w:trPr>
        <w:tc>
          <w:tcPr>
            <w:tcW w:w="5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(expense) / income</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center"/>
              <w:ind w:left="501"/>
              <w:spacing w:after="0"/>
              <w:rPr>
                <w:sz w:val="20"/>
                <w:szCs w:val="20"/>
                <w:color w:val="auto"/>
              </w:rPr>
            </w:pPr>
            <w:r>
              <w:rPr>
                <w:rFonts w:ascii="Times New Roman" w:cs="Times New Roman" w:eastAsia="Times New Roman" w:hAnsi="Times New Roman"/>
                <w:sz w:val="16"/>
                <w:szCs w:val="16"/>
                <w:color w:val="auto"/>
                <w:w w:val="99"/>
              </w:rPr>
              <w:t>1,945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yielded a net expense of 19.9% for the three months ended September 30, 2020 and a net benefit of 35.3% for the three months ended September 30, 2019. The Company’s effective tax rates yielded a net expense of 19.7% and 3.3% for the nine months ended September 30, 2020 and 2019, respectively.</w:t>
      </w:r>
    </w:p>
    <w:p>
      <w:pPr>
        <w:spacing w:after="0" w:line="6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2020, the net effect of discrete items increased the effective tax rate by 2.9%. For the nine months ended September 30, 2020, the effective tax rate increased by 0.9% as a result of a loss jurisdiction with no tax benefit. Discrete items further increased the effective tax rate by 1.8%. Excluding the discrete items, our effective tax rate would have been 17.0% for the three and nine months ended September 30, 2020.</w:t>
      </w:r>
    </w:p>
    <w:p>
      <w:pPr>
        <w:spacing w:after="0" w:line="7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the three and nine months ended September 30, 2019, the impact of discrete tax items decreased the effective tax rate by 51.6% and 13.0%, respectively. In the three and nine months ended September 30, 2019, the Company incurred a discrete tax benefit related primarily to the release of reserves for uncertain tax positions due to a lapse in the statute of limitations and the effect of the foreign-derived intangible income deduction claimed on the Company’s 2018 tax return, which was substantially completed in the third quarter of 2019.</w:t>
      </w:r>
    </w:p>
    <w:p>
      <w:pPr>
        <w:spacing w:after="0" w:line="72"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a loss jurisdiction with no tax benefit and the application of discrete items, if any, in the applicable period. The estimated annual effective tax rate differs from the statutory tax rate due primarily to the effect of the foreign-derived intangible income deduction and the U.S. Research and Development tax credit.</w:t>
      </w:r>
    </w:p>
    <w:p>
      <w:pPr>
        <w:spacing w:after="0" w:line="6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2020 and during the three months ended September 30, 2019, uncertain tax positions recorded by the Company were not significant. During the nine months ended September 30,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uncertain tax positions recorded by the Company resulted in an expense of $1.0 million. To the extent the remaining uncertain tax positions are ultimately recognized, the Company’s effective tax rate may be impacted in future periods.</w:t>
      </w:r>
    </w:p>
    <w:p>
      <w:pPr>
        <w:spacing w:after="0" w:line="5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nine months ended September 30, 2020 and 2019.</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nine months ended September 30, 2020 and 2019, the Company paid net cash taxes of $2.8 million and $1.5 million,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Income Per Share</w:t>
      </w:r>
    </w:p>
    <w:p>
      <w:pPr>
        <w:spacing w:after="0" w:line="16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9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and nine months ended September 30, 2020 and 2019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2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77"/>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22,582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45,887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35,962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35,713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35,219</w:t>
            </w:r>
          </w:p>
        </w:tc>
      </w:tr>
      <w:tr>
        <w:trPr>
          <w:trHeight w:val="33"/>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3"/>
        </w:trPr>
        <w:tc>
          <w:tcPr>
            <w:tcW w:w="5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3"/>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5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47"/>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8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36,494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35,541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36,095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35,512</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5"/>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0.44</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8"/>
        </w:trPr>
        <w:tc>
          <w:tcPr>
            <w:tcW w:w="5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22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33"/>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r>
      <w:tr>
        <w:trPr>
          <w:trHeight w:val="33"/>
        </w:trPr>
        <w:tc>
          <w:tcPr>
            <w:tcW w:w="5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Geographic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vMerge w:val="continue"/>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59,252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56,151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172,481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171,322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53,291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51,683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159,294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160,815</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52,684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51,245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153,967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152,015</w:t>
            </w:r>
          </w:p>
        </w:tc>
        <w:tc>
          <w:tcPr>
            <w:tcW w:w="0" w:type="dxa"/>
            <w:vAlign w:val="bottom"/>
          </w:tcPr>
          <w:p>
            <w:pPr>
              <w:spacing w:after="0"/>
              <w:rPr>
                <w:sz w:val="1"/>
                <w:szCs w:val="1"/>
                <w:color w:val="auto"/>
              </w:rPr>
            </w:pPr>
          </w:p>
        </w:tc>
      </w:tr>
      <w:tr>
        <w:trPr>
          <w:trHeight w:val="217"/>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165,227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159,079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485,742</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484,152</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20" w:firstLine="447"/>
        <w:spacing w:after="0" w:line="282"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32% of consolidated revenue for the nine months ended September 30, 2020 and 2019. No other country accounts for more than 10% of the Company’s revenue in any period presented.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6"/>
                <w:szCs w:val="16"/>
                <w:color w:val="auto"/>
              </w:rPr>
            </w:pPr>
          </w:p>
        </w:tc>
        <w:tc>
          <w:tcPr>
            <w:tcW w:w="15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08"/>
        </w:trPr>
        <w:tc>
          <w:tcPr>
            <w:tcW w:w="7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45,435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51,954</w:t>
            </w:r>
          </w:p>
        </w:tc>
      </w:tr>
      <w:tr>
        <w:trPr>
          <w:trHeight w:val="22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6,541</w:t>
            </w:r>
          </w:p>
        </w:tc>
      </w:tr>
      <w:tr>
        <w:trPr>
          <w:trHeight w:val="33"/>
        </w:trPr>
        <w:tc>
          <w:tcPr>
            <w:tcW w:w="7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339</w:t>
            </w:r>
          </w:p>
        </w:tc>
      </w:tr>
      <w:tr>
        <w:trPr>
          <w:trHeight w:val="217"/>
        </w:trPr>
        <w:tc>
          <w:tcPr>
            <w:tcW w:w="7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52,686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58,834</w:t>
            </w:r>
          </w:p>
        </w:tc>
      </w:tr>
      <w:tr>
        <w:trPr>
          <w:trHeight w:val="33"/>
        </w:trPr>
        <w:tc>
          <w:tcPr>
            <w:tcW w:w="7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76% and 79% of total long-lived tangible assets as of September 30,</w:t>
      </w:r>
    </w:p>
    <w:p>
      <w:pPr>
        <w:spacing w:after="0" w:line="27"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2020 and December 31, 2019, respectively. No other country accounts for more than 10% of the Company’s long-lived tangible assets in any period presented.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2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2020, the Company had total non-lease obligations in the amount of approximately $35.5 million, which consisted primarily of minimum royalty guarantees and unconditional purchase obligations related to contracts for infrastructure and other business services. As of September 30, 2020, the Company’s non-lease obligations for the remainder of 2020 and for the years ending December 31, 2021 and 2022 were approximately $12.9 million, $18.2 million and $4.4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2" w:lineRule="exact"/>
        <w:rPr>
          <w:sz w:val="20"/>
          <w:szCs w:val="20"/>
          <w:color w:val="auto"/>
        </w:rPr>
      </w:pPr>
    </w:p>
    <w:p>
      <w:pPr>
        <w:ind w:right="40" w:firstLine="405"/>
        <w:spacing w:after="0" w:line="269" w:lineRule="auto"/>
        <w:rPr>
          <w:sz w:val="20"/>
          <w:szCs w:val="20"/>
          <w:color w:val="auto"/>
        </w:rPr>
      </w:pPr>
      <w:r>
        <w:rPr>
          <w:rFonts w:ascii="Times New Roman" w:cs="Times New Roman" w:eastAsia="Times New Roman" w:hAnsi="Times New Roman"/>
          <w:sz w:val="17"/>
          <w:szCs w:val="17"/>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200" w:lineRule="exact"/>
        <w:rPr>
          <w:sz w:val="20"/>
          <w:szCs w:val="20"/>
          <w:color w:val="auto"/>
        </w:rPr>
      </w:pPr>
    </w:p>
    <w:p>
      <w:pPr>
        <w:spacing w:after="0" w:line="38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Employment Agreements</w:t>
      </w:r>
    </w:p>
    <w:p>
      <w:pPr>
        <w:spacing w:after="0" w:line="12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content is used. The standard maximum aggregate obligation and liability to any one customer for any single claim is generally limited to ten thousand dollars but can range to $250,000, with certain exceptions for which our indemnification obligation are uncapped. As of September 30, 2020, the Company had recorded no material liabilities related to indemnification obligations for loss contingencies. Additionally, the Company believes that it has the appropriate insurance coverage in place to adequately cover such indemnification obligations, if necessary.</w:t>
      </w:r>
    </w:p>
    <w:p>
      <w:pPr>
        <w:spacing w:after="0" w:line="8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54"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in the event of a change in control or otherwise,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 w:name="page20"/>
    <w:bookmarkEnd w:id="19"/>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interim consolidated unaudited financial statements and related notes contained elsewhere in this Quarterly Report on Form 10-Q and with information contained in our other filings, including the audited consolidated financial statements included in our Annual Report on Form 10-K for the fiscal year ended December 31, 2019 filed with the SEC on February 13, 2020.</w:t>
      </w:r>
    </w:p>
    <w:p>
      <w:pPr>
        <w:spacing w:after="0" w:line="112"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Annual Report on Form 10-K for the fiscal year ended December 31, 2019, which was filed with the SEC on February 13, 2020, and our Quarterly Report on Form 10-Q for the quarter ended March 31, 2020, which was filed with the SEC on April 28, 2020 for additional discussion of the risks and uncertainties that could cause our actual results to differ materially from those expressed or implied in our forward-looking statements.</w:t>
      </w:r>
    </w:p>
    <w:p>
      <w:pPr>
        <w:spacing w:after="0" w:line="1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For a discussion as to how COVID-19 has affected our business, see “COVID-19 Update”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6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Shutterstock is a global technology company offering a creative platform, which provides high-quality content, tools and services to creative professionals. Our platform brings together users and contributors of content by providing readily-searchable content that our customers pay to license and by compensating contributors as their content is licensed.</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content licensed by our customers include:</w:t>
      </w:r>
    </w:p>
    <w:p>
      <w:pPr>
        <w:spacing w:after="0" w:line="158" w:lineRule="exact"/>
        <w:rPr>
          <w:sz w:val="20"/>
          <w:szCs w:val="20"/>
          <w:color w:val="auto"/>
        </w:rPr>
      </w:pPr>
    </w:p>
    <w:p>
      <w:pPr>
        <w:ind w:left="1060" w:right="140" w:hanging="404"/>
        <w:spacing w:after="0" w:line="282" w:lineRule="auto"/>
        <w:tabs>
          <w:tab w:leader="none" w:pos="10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94" w:lineRule="exact"/>
        <w:rPr>
          <w:rFonts w:ascii="Times New Roman" w:cs="Times New Roman" w:eastAsia="Times New Roman" w:hAnsi="Times New Roman"/>
          <w:sz w:val="18"/>
          <w:szCs w:val="18"/>
          <w:color w:val="auto"/>
        </w:rPr>
      </w:pPr>
    </w:p>
    <w:p>
      <w:pPr>
        <w:ind w:left="1060" w:right="300" w:hanging="404"/>
        <w:spacing w:after="0" w:line="282" w:lineRule="auto"/>
        <w:tabs>
          <w:tab w:leader="none" w:pos="10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80"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58"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For customers seeking specialized content that goes beyond our library of stock content, our platform also connects customers with contributors who can produce custom branded content.</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Over 1.9 million active, paying customers contributed to our revenue for the twelve-month period ended September 30, 2020. As of September 30, 2020, more than 1.5 million approved contributors made their images, footage and music tracks available in our collection, which has grown to more than 350 million images and more than 20 million footage clips. This makes our collection of content one of the largest of its kind, and we delivered approximately 134.2 million paid downloads to our customers across all of our brands during the nine months ended September 30, 2020.</w:t>
      </w:r>
    </w:p>
    <w:p>
      <w:pPr>
        <w:spacing w:after="0" w:line="99"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Through our platform, we generate revenue by licensing content to our customers. During the nine months ended September 30, 2020, 62% of our revenue and the majority of our content licenses came from our E-commerce sales channel.</w:t>
      </w:r>
    </w:p>
    <w:p>
      <w:pPr>
        <w:spacing w:after="0" w:line="94"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E-commerce customers have the flexibility of choosing content plans that provide a large volume of content for their creative process. We also offer simple, affordable, smaller plans and other products where customers have an option to pay for individual content licenses at the time of delivery. Customers in our Enterprise sales channel generally have unique content, licensing and workflow needs. Our dedicated Enterprise sales, service, client success and research teams are able to provide a number of enhancements to their creative workflows including non-standard licensing rights, multi-seat access, multi-brand licensing packages and content licensed for use-cases outside of those available for license on our E-commerce platform. Our Enterprise sales channel provided approximately 38% of our revenue during the nine months ended September 30, 2020.</w:t>
      </w:r>
    </w:p>
    <w:p>
      <w:pPr>
        <w:spacing w:after="0" w:line="120"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Each time an image, footage clip or music track is delivered to a customer for use, we record a royalty expense for the amount due to the associated contributor. Depending on the content licensed by our customers, royalties are calculated using either a fixed dollar amount or a fixed percentage of the price per asset downloaded and are typically paid to contributors on a monthly basis, subject to certain payout minimums. Royalties represent the largest component of our operating expenses, are</w:t>
      </w:r>
    </w:p>
    <w:p>
      <w:pPr>
        <w:spacing w:after="0" w:line="200" w:lineRule="exact"/>
        <w:rPr>
          <w:sz w:val="20"/>
          <w:szCs w:val="20"/>
          <w:color w:val="auto"/>
        </w:rPr>
      </w:pPr>
    </w:p>
    <w:p>
      <w:pPr>
        <w:spacing w:after="0" w:line="34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0" w:name="page21"/>
    <w:bookmarkEnd w:id="20"/>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within cost of revenue, tend to fluctuate proportionately with revenue and paid downloads and may be impacted by the mix of products sold.</w:t>
      </w:r>
    </w:p>
    <w:p>
      <w:pPr>
        <w:spacing w:after="0" w:line="14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An important driver of our growth is customer acquisition, which we achieve primarily through online marketing efforts and directly through our sales force. Online marketing includes paid search, organic search, online display advertising, brand marketing, email marketing, affiliate marketing, social media and strategic partnerships. Over the past several years, our investments in marketing have represented a significant percentage of revenue. This spend considers, among other things, the blended average customer lifetime value across our various purchase options so we can manage customer acquisition costs and aim to achieve targeted returns.</w:t>
      </w:r>
    </w:p>
    <w:p>
      <w:pPr>
        <w:spacing w:after="0" w:line="11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believe that another important driver of growth is the quality of the user experience we provide on our websites, especially the efficiency and speed with which our search interfaces and algorithms help customers find and download the content that they need, the degree to which our websites have been localized for our global user base, the degree to which we make use of the large quantity of data we collect about image, footage and music and search patterns, and the security of user information on our platform. To this end, we have invested aggressively in product development and cloud-based hosting infrastructure, and we intend to continue to invest in these areas, to the extent that we can improve the customer experience and increase the efficiency with which we deploy new products and features.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December 2019, a novel coronavirus disease (“COVID-19”) was initially reported and on March 11, 2020, the World Health Organization characterized COVID-19 as a pandemic. Our operations have been impacted by office closures globally and restrictions on employee travel and in-person meetings, however, we have generally been able to deliver our services remotely. The economic uncertainty caused by COVID-19 has had an impact on our customers and their ability to spend marketing budgets on our products, which has resulted in an unfavorable impact, to varying degrees geographically, on our revenue growth and number of paid downloads for the nine months ended September 30, 2020. See Item 1A. Risk Factors in our Quarterly Report on Form 10-Q for the quarter ended March 31, 2020, which was filed with the SEC on April 28, 2020, for further discussion of the possible impact of the COVID-19 pandemic on our business.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2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three and nine months ended September 30, 2020 and 2019:</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318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00" w:type="dxa"/>
            <w:vAlign w:val="bottom"/>
          </w:tcPr>
          <w:p>
            <w:pPr>
              <w:spacing w:after="0"/>
              <w:rPr>
                <w:sz w:val="15"/>
                <w:szCs w:val="15"/>
                <w:color w:val="auto"/>
              </w:rPr>
            </w:pPr>
          </w:p>
        </w:tc>
        <w:tc>
          <w:tcPr>
            <w:tcW w:w="2560" w:type="dxa"/>
            <w:vAlign w:val="bottom"/>
            <w:gridSpan w:val="3"/>
          </w:tcPr>
          <w:p>
            <w:pPr>
              <w:jc w:val="right"/>
              <w:ind w:right="421"/>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83"/>
        </w:trPr>
        <w:tc>
          <w:tcPr>
            <w:tcW w:w="52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6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3"/>
                <w:szCs w:val="13"/>
                <w:b w:val="1"/>
                <w:bCs w:val="1"/>
                <w:color w:val="auto"/>
              </w:rPr>
              <w:t>2020</w:t>
            </w:r>
          </w:p>
        </w:tc>
        <w:tc>
          <w:tcPr>
            <w:tcW w:w="4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75"/>
        </w:trPr>
        <w:tc>
          <w:tcPr>
            <w:tcW w:w="5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Subscribers (end of period)</w:t>
            </w:r>
          </w:p>
        </w:tc>
        <w:tc>
          <w:tcPr>
            <w:tcW w:w="8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255,000</w:t>
            </w: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184,000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255,000</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184,000</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Subscriber revenue (in millions)</w:t>
            </w:r>
          </w:p>
        </w:tc>
        <w:tc>
          <w:tcPr>
            <w:tcW w:w="860" w:type="dxa"/>
            <w:vAlign w:val="bottom"/>
          </w:tcPr>
          <w:p>
            <w:pPr>
              <w:jc w:val="right"/>
              <w:ind w:right="68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67.6</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194.2</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176.0</w:t>
            </w:r>
          </w:p>
        </w:tc>
      </w:tr>
      <w:tr>
        <w:trPr>
          <w:trHeight w:val="33"/>
        </w:trPr>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95"/>
        </w:trPr>
        <w:tc>
          <w:tcPr>
            <w:tcW w:w="5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revenue per customer (trailing twelve months)</w:t>
            </w:r>
          </w:p>
        </w:tc>
        <w:tc>
          <w:tcPr>
            <w:tcW w:w="860" w:type="dxa"/>
            <w:vAlign w:val="bottom"/>
          </w:tcPr>
          <w:p>
            <w:pPr>
              <w:jc w:val="right"/>
              <w:ind w:right="68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328</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327</w:t>
            </w:r>
          </w:p>
        </w:tc>
      </w:tr>
      <w:tr>
        <w:trPr>
          <w:trHeight w:val="33"/>
        </w:trPr>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8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43.4</w:t>
            </w: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134.2</w:t>
            </w: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140.1</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per download</w:t>
            </w:r>
          </w:p>
        </w:tc>
        <w:tc>
          <w:tcPr>
            <w:tcW w:w="860" w:type="dxa"/>
            <w:vAlign w:val="bottom"/>
          </w:tcPr>
          <w:p>
            <w:pPr>
              <w:jc w:val="right"/>
              <w:ind w:right="68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3.60</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3.42</w:t>
            </w:r>
          </w:p>
        </w:tc>
      </w:tr>
      <w:tr>
        <w:trPr>
          <w:trHeight w:val="33"/>
        </w:trPr>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in our collection (end of period, in millions):</w:t>
            </w:r>
          </w:p>
        </w:tc>
        <w:tc>
          <w:tcPr>
            <w:tcW w:w="8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4"/>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Images</w:t>
            </w:r>
          </w:p>
        </w:tc>
        <w:tc>
          <w:tcPr>
            <w:tcW w:w="8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c>
          <w:tcPr>
            <w:tcW w:w="44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350</w:t>
            </w:r>
          </w:p>
        </w:tc>
        <w:tc>
          <w:tcPr>
            <w:tcW w:w="4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297</w:t>
            </w:r>
          </w:p>
        </w:tc>
      </w:tr>
      <w:tr>
        <w:trPr>
          <w:trHeight w:val="33"/>
        </w:trPr>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Footage clips</w:t>
            </w: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20</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5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2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2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and growth driven by our monthly recurring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2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trailing twelve month period by customers. We define customers as total active, paying customers that contributed to total revenue over the trailing twelve month period. Changes in our average revenue per customer will be driven by changes in the mix of our subscription-based products and the pricing in our transactional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21"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custom content and downloads of content that are offered to customers for no charge, including our free image of the week. Measuring the number of paid downloads that our customers make in a given period is important because they are the primary method of delivering licensed content, which drives a significant portion of the Company’s revenue and contributor royalties.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121"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revenue from custom content and revenue that is not derived from or associated with content licenses.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customer utilization of our products.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in our Collection</w:t>
      </w:r>
    </w:p>
    <w:p>
      <w:pPr>
        <w:spacing w:after="0" w:line="121"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define content in our collection as the total number of approved images (photographs, vectors and illustrations) and footage (in number of clips) in our library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for our subscription-based products, equity-based compensation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1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the policies, assumptions and estimates associated with our revenue recognition, allowance for doubtful accounts, equity-based compensation and accounting for income taxes have the greatest potential impact on our financial statements. Therefore, we consider these to be our critical accounting policies and estimates.</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Annual Report on Form 10-K for the fiscal year ended December 31, 2019 that was filed with the SEC on February 13, 2020 (our “2019 Form 10-K”), under “Management’s Discussion and Analysis of Financial Condition and Results of Operations—Critical Accounting Policies and Estimates.”</w:t>
      </w:r>
    </w:p>
    <w:p>
      <w:pPr>
        <w:spacing w:after="0" w:line="6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policies and estimates as compared to our critical accounting policies and estimates included in our 2019 Form 10-K.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distribute our content offerings through two primary channels:</w:t>
      </w:r>
    </w:p>
    <w:p>
      <w:pPr>
        <w:spacing w:after="0" w:line="115"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The majority of our customers license content directly through our self-service web properties. E-commerce customers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flexibility to purchase a 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72"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We also have a base of customers with unique content, licensing and workflow needs. These customers benefit from communication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and nine months ended September 30, 2020 and 2019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220" w:type="dxa"/>
            <w:vAlign w:val="bottom"/>
            <w:gridSpan w:val="4"/>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6"/>
        </w:trPr>
        <w:tc>
          <w:tcPr>
            <w:tcW w:w="58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102,816</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96,233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300,716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291,339</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38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62,411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62,846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185,026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192,813</w:t>
            </w:r>
          </w:p>
        </w:tc>
      </w:tr>
      <w:tr>
        <w:trPr>
          <w:trHeight w:val="33"/>
        </w:trPr>
        <w:tc>
          <w:tcPr>
            <w:tcW w:w="5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2"/>
        </w:trPr>
        <w:tc>
          <w:tcPr>
            <w:tcW w:w="5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165,227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159,079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485,742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484,152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6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infrastructure and hosting costs related to maintaining our creative platform and cloud-based software platform, depreciation and amortization of capitalized internal-use software, content and technology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2" w:lineRule="exact"/>
        <w:rPr>
          <w:sz w:val="20"/>
          <w:szCs w:val="20"/>
          <w:color w:val="auto"/>
        </w:rPr>
      </w:pPr>
    </w:p>
    <w:p>
      <w:pPr>
        <w:ind w:right="2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marketing expenses also include associated employee compensation, including non-cash equity-based compensation, bonuses and benefits, and commissions as well as allocated facility and other supporting overhead costs.</w:t>
      </w:r>
    </w:p>
    <w:p>
      <w:pPr>
        <w:spacing w:after="0" w:line="106" w:lineRule="exact"/>
        <w:rPr>
          <w:sz w:val="20"/>
          <w:szCs w:val="20"/>
          <w:color w:val="auto"/>
        </w:rPr>
      </w:pPr>
    </w:p>
    <w:p>
      <w:pPr>
        <w:ind w:right="28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benefits, and expenses related to vendors engaged in product management, design, development and testing of our websites and products. Product development costs also include allocated facility and other supporting overhead costs.</w:t>
      </w:r>
    </w:p>
    <w:p>
      <w:pPr>
        <w:spacing w:after="0" w:line="10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99" w:lineRule="exact"/>
        <w:rPr>
          <w:sz w:val="20"/>
          <w:szCs w:val="20"/>
          <w:color w:val="auto"/>
        </w:rPr>
      </w:pPr>
    </w:p>
    <w:p>
      <w:pPr>
        <w:jc w:val="both"/>
        <w:ind w:right="10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Other (expense) / income, net consists of non-operating costs such as foreign currency transaction gains and losses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interest income.</w:t>
      </w:r>
    </w:p>
    <w:p>
      <w:pPr>
        <w:spacing w:after="0" w:line="91" w:lineRule="exact"/>
        <w:rPr>
          <w:sz w:val="20"/>
          <w:szCs w:val="20"/>
          <w:color w:val="auto"/>
        </w:rPr>
      </w:pPr>
    </w:p>
    <w:p>
      <w:pPr>
        <w:jc w:val="both"/>
        <w:ind w:right="10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6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1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4"/>
        </w:trPr>
        <w:tc>
          <w:tcPr>
            <w:tcW w:w="5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165,227</w:t>
            </w:r>
          </w:p>
        </w:tc>
        <w:tc>
          <w:tcPr>
            <w:tcW w:w="12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159,079</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485,742</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484,152</w:t>
            </w:r>
          </w:p>
        </w:tc>
      </w:tr>
      <w:tr>
        <w:trPr>
          <w:trHeight w:val="33"/>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206,379</w:t>
            </w:r>
          </w:p>
        </w:tc>
      </w:tr>
      <w:tr>
        <w:trPr>
          <w:trHeight w:val="33"/>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134,548</w:t>
            </w:r>
          </w:p>
        </w:tc>
      </w:tr>
      <w:tr>
        <w:trPr>
          <w:trHeight w:val="224"/>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42,113</w:t>
            </w:r>
          </w:p>
        </w:tc>
      </w:tr>
      <w:tr>
        <w:trPr>
          <w:trHeight w:val="33"/>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83,761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86,760</w:t>
            </w:r>
          </w:p>
        </w:tc>
      </w:tr>
      <w:tr>
        <w:trPr>
          <w:trHeight w:val="217"/>
        </w:trPr>
        <w:tc>
          <w:tcPr>
            <w:tcW w:w="51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135,880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155,896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428,069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469,800</w:t>
            </w:r>
          </w:p>
        </w:tc>
      </w:tr>
      <w:tr>
        <w:trPr>
          <w:trHeight w:val="33"/>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14,352</w:t>
            </w:r>
          </w:p>
        </w:tc>
      </w:tr>
      <w:tr>
        <w:trPr>
          <w:trHeight w:val="223"/>
        </w:trPr>
        <w:tc>
          <w:tcPr>
            <w:tcW w:w="5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r>
      <w:tr>
        <w:trPr>
          <w:trHeight w:val="33"/>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16,297</w:t>
            </w:r>
          </w:p>
        </w:tc>
      </w:tr>
      <w:tr>
        <w:trPr>
          <w:trHeight w:val="223"/>
        </w:trPr>
        <w:tc>
          <w:tcPr>
            <w:tcW w:w="5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33"/>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Borders>
              <w:bottom w:val="single" w:sz="8" w:color="auto"/>
            </w:tcBorders>
          </w:tcPr>
          <w:p>
            <w:pPr>
              <w:spacing w:after="0"/>
              <w:rPr>
                <w:sz w:val="16"/>
                <w:szCs w:val="16"/>
                <w:color w:val="auto"/>
              </w:rPr>
            </w:pPr>
          </w:p>
        </w:tc>
      </w:tr>
      <w:tr>
        <w:trPr>
          <w:trHeight w:val="196"/>
        </w:trPr>
        <w:tc>
          <w:tcPr>
            <w:tcW w:w="5880" w:type="dxa"/>
            <w:vAlign w:val="bottom"/>
            <w:gridSpan w:val="2"/>
          </w:tcPr>
          <w:p>
            <w:pPr>
              <w:ind w:left="55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7"/>
                <w:szCs w:val="17"/>
                <w:color w:val="auto"/>
              </w:rPr>
            </w:pPr>
          </w:p>
        </w:tc>
      </w:tr>
      <w:tr>
        <w:trPr>
          <w:trHeight w:val="222"/>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Revenue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33"/>
        </w:trPr>
        <w:tc>
          <w:tcPr>
            <w:tcW w:w="4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8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8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33"/>
        </w:trPr>
        <w:tc>
          <w:tcPr>
            <w:tcW w:w="4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8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8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33"/>
        </w:trPr>
        <w:tc>
          <w:tcPr>
            <w:tcW w:w="4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58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9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9"/>
                <w:szCs w:val="19"/>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33"/>
        </w:trPr>
        <w:tc>
          <w:tcPr>
            <w:tcW w:w="4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33"/>
        </w:trPr>
        <w:tc>
          <w:tcPr>
            <w:tcW w:w="4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2020 and 2019</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24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24"/>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165,227</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159,079</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68,635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spacing w:after="0"/>
              <w:rPr>
                <w:sz w:val="19"/>
                <w:szCs w:val="19"/>
                <w:color w:val="auto"/>
              </w:rPr>
            </w:pP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45,614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(8,959)</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19"/>
                <w:szCs w:val="19"/>
                <w:color w:val="auto"/>
              </w:rPr>
            </w:pP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28,114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17"/>
        </w:trPr>
        <w:tc>
          <w:tcPr>
            <w:tcW w:w="50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135,880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155,896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(20,016)</w:t>
            </w:r>
          </w:p>
        </w:tc>
        <w:tc>
          <w:tcPr>
            <w:tcW w:w="1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Borders>
              <w:top w:val="single" w:sz="8" w:color="auto"/>
            </w:tcBorders>
          </w:tcPr>
          <w:p>
            <w:pPr>
              <w:spacing w:after="0"/>
              <w:rPr>
                <w:sz w:val="18"/>
                <w:szCs w:val="18"/>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26,164</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24,531</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17,648</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13" w:lineRule="exact"/>
        <w:rPr>
          <w:sz w:val="20"/>
          <w:szCs w:val="20"/>
          <w:color w:val="auto"/>
        </w:rPr>
      </w:pPr>
    </w:p>
    <w:p>
      <w:pPr>
        <w:ind w:left="420"/>
        <w:spacing w:after="0"/>
        <w:tabs>
          <w:tab w:leader="none" w:pos="600" w:val="left"/>
        </w:tabs>
        <w:rPr>
          <w:sz w:val="20"/>
          <w:szCs w:val="20"/>
          <w:color w:val="auto"/>
        </w:rPr>
      </w:pPr>
      <w:r>
        <w:rPr>
          <w:rFonts w:ascii="Times New Roman" w:cs="Times New Roman" w:eastAsia="Times New Roman" w:hAnsi="Times New Roman"/>
          <w:sz w:val="14"/>
          <w:szCs w:val="14"/>
          <w:color w:val="auto"/>
        </w:rPr>
        <w:t>*</w:t>
        <w:tab/>
        <w:t>Percentage change is not meaningful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Revenue increased by $6.1 million, or 4%, to $165.2 million in the three months ended September 30, 2020 compared to the same period in 2019. On a constant currency basis, revenue increased approximately 3%, in the three months ended September 30, 2020, compared to the same period in 2019.</w:t>
      </w:r>
    </w:p>
    <w:p>
      <w:pPr>
        <w:spacing w:after="0" w:line="8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Company’s E-commerce revenues increased by 7%, to $102.8 million in the three months ended September 30, 2020, compared to the same period in 2019. On a constant currency basis, the Company’s E-commerce revenues increased by 6% in the three months ended September 30, 2020, compared to the same period in 2019. During the three months ended September 30, 2020, growth in our E-commerce sales channel was primarily driven by increased subscriber revenue.</w:t>
      </w:r>
    </w:p>
    <w:p>
      <w:pPr>
        <w:spacing w:after="0" w:line="11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Company’s Enterprise revenues decreased by 1%, to $62.4 million in the three months ended September 30, 2020, compared to the same period in 2019. Foreign currency fluctuations did not have a significant impact on Enterprise revenues in the three months ended September 30, 2020, compared to the same period in 2019. We are in the midst of implementing changes to improve performance, including optimizing the sales organization, updating product offerings and making further platform investments, which we believe will improve our Enterprise sales channel operations.</w:t>
      </w:r>
    </w:p>
    <w:p>
      <w:pPr>
        <w:spacing w:after="0" w:line="112"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Revenue growth for the three months ended September 30, 2020 was also unfavorably affected by the global COVID-19 pandemic and its impact on our customers and their ability to spend marketing budgets on our products. We expect COVID-19 to continue to have an unfavorable impact on our 2020 revenues.</w:t>
      </w:r>
    </w:p>
    <w:p>
      <w:pPr>
        <w:spacing w:after="0" w:line="9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2020 and 2019, we delivered 43.4 million and 46.3 million paid downloads, respectively, and our revenue per download was $3.79 and $3.40 for the three months ended September 30, 2020 and 2019, respectively. During the three months ended September 30, 2020, the 6% decrease in the number of paid downloads compared to the same period in 2019, is due to lower customer utilization of our products. We believe that the decline in usage during the quarter is partially attributable to COVID-19.</w:t>
      </w:r>
    </w:p>
    <w:p>
      <w:pPr>
        <w:spacing w:after="0" w:line="112"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$3.1 million, or 6%, to $59.3 million, revenue from Europe increased by $1.6 million, or 3%, to $53.3 million and revenue from outside Europe and North America increased by $1.4 million, or 3%, to $52.7 million, in the three months ended September 30, 2020 compared to the same period in 2019.</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decreased by $8.3 million, or 12% to $60.3 million in the three months ended September 30, 2020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2019, due to lower royalty expense, content procurement costs and depreciation and amortization expense, partially offset by higher costs associated with hardware and software licenses as well as increased credit card fees. The reduction in royalty expenses was driven by the 6% decline in paid downloads as well as a modification in the way we compensate contributors. We expect that our cost of revenue will fluctuate in line with changes in revenue and paid downloads.</w:t>
      </w:r>
    </w:p>
    <w:p>
      <w:pPr>
        <w:spacing w:after="0" w:line="75"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$9.0 million, or 20%, to $36.7 million in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compared to the same period in 2019. As a percent of revenue, sales and marketing expenses decreased to 22% for the three months ended September 30, 2020, from 29% for the same period in 2019. This decrease was primarily driven by a $7.7 million decline in marketing spend as we focused resources on more efficient customer acquisition and improved marketing return on investment. In addition, travel and related expense costs declined by $0.5 million due to travel restrictions resulting from COVID-19. We expect sales and marketing expenses to fluctuate as we optimize our sales channels and invest in new customer acquisition, products and geographies.</w:t>
      </w:r>
    </w:p>
    <w:p>
      <w:pPr>
        <w:spacing w:after="0" w:line="74"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decreased by $2.9 million, or 22%, to $10.6 million in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compared to the same period in 2019. This decrease was driven by (i) a reduction in software and other IT-related costs and (ii) lower employee and third-party contractor related costs, net of capitalized labor, for the three months ended September 30, 2020, as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75" w:lineRule="exact"/>
        <w:rPr>
          <w:sz w:val="20"/>
          <w:szCs w:val="20"/>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$0.2 million, to $28.3 million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compared to the same period in 2019. This increase was primarily driven by higher non-cash compensation expense of $2.6 million, attributable to certain performance-based awards, and an increase in bad debt expense of $0.4 million. These increases were partially offset by: (i) lower professional and consulting fees of $1.0 million, during the three months ended September 30, 2020, compared to the same period in 2019; (ii) a reduction in expense of $0.9 million, associated with the 2019 accrual of long-term incentives, related to our 2017 acquisition of Flashstock Technology, Inc. (“Flashstock”), and (iii) lower depreciation and amortization expense of $0.4 million.</w:t>
      </w:r>
    </w:p>
    <w:p>
      <w:pPr>
        <w:spacing w:after="0" w:line="74"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Other (Expense) / Income, Net</w:t>
      </w:r>
      <w:r>
        <w:rPr>
          <w:rFonts w:ascii="Times New Roman" w:cs="Times New Roman" w:eastAsia="Times New Roman" w:hAnsi="Times New Roman"/>
          <w:sz w:val="18"/>
          <w:szCs w:val="18"/>
          <w:color w:val="auto"/>
        </w:rPr>
        <w:t>. In the three months ended September 30, 2020, other (expense) / income, net substantially consisted of $1.2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unfavorable foreign currency fluctuations.</w:t>
      </w:r>
    </w:p>
    <w:p>
      <w:pPr>
        <w:spacing w:after="0" w:line="5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2019, approximately $1.1 million of other (expense) / income, net consisted of interest income which was partially offset by $0.6 million of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increased by $6.9 million for the three months ended September 30, 2020 as compared to the same period in 2019.</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rates yielded a net expense of 19.9% and a net benefit of 35.3% for the three months ended September 30, 2020 and 2019, respectively.</w:t>
      </w:r>
    </w:p>
    <w:p>
      <w:pPr>
        <w:spacing w:after="0" w:line="9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2020, the net effect of discrete items increased the effective tax rate by 2.9%. Excluding these items, our effective tax rate would have been 17.0% for the three months ended September 30, 2020.</w:t>
      </w:r>
    </w:p>
    <w:p>
      <w:pPr>
        <w:spacing w:after="0" w:line="54"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7"/>
          <w:szCs w:val="17"/>
          <w:color w:val="auto"/>
        </w:rPr>
        <w:t>For the three months ended September 30, 2019, the net effect of discrete items decreased the effective tax rate by 51.6%. For the three months ended September 30, 2019, we incurred a discrete tax benefit related primarily to the release of reserves for uncertain tax positions due to a lapse in the statute of limitations and the effect of the foreign-derived intangible income deduction claimed on the Company’s 2018 tax return, which was substantially completed in the third quarter of 2019. Excluding the discrete items, our effective tax rate would have been 16.3% for the three months ended September 30, 2019.</w:t>
      </w:r>
    </w:p>
    <w:p>
      <w:pPr>
        <w:spacing w:after="0" w:line="97"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2020 and 2019</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r>
      <w:tr>
        <w:trPr>
          <w:trHeight w:val="24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2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485,742</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484,152</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4"/>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206,379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(13,114)</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37"/>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134,548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24"/>
        </w:trPr>
        <w:tc>
          <w:tcPr>
            <w:tcW w:w="5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86,760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7"/>
        </w:trPr>
        <w:tc>
          <w:tcPr>
            <w:tcW w:w="50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428,069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469,800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(41,731)</w:t>
            </w:r>
          </w:p>
        </w:tc>
        <w:tc>
          <w:tcPr>
            <w:tcW w:w="100" w:type="dxa"/>
            <w:vAlign w:val="bottom"/>
          </w:tcPr>
          <w:p>
            <w:pPr>
              <w:spacing w:after="0"/>
              <w:rPr>
                <w:sz w:val="18"/>
                <w:szCs w:val="18"/>
                <w:color w:val="auto"/>
              </w:rPr>
            </w:pP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13" w:lineRule="exact"/>
        <w:rPr>
          <w:sz w:val="20"/>
          <w:szCs w:val="20"/>
          <w:color w:val="auto"/>
        </w:rPr>
      </w:pPr>
    </w:p>
    <w:p>
      <w:pPr>
        <w:ind w:left="420"/>
        <w:spacing w:after="0"/>
        <w:tabs>
          <w:tab w:leader="none" w:pos="600" w:val="left"/>
        </w:tabs>
        <w:rPr>
          <w:sz w:val="20"/>
          <w:szCs w:val="20"/>
          <w:color w:val="auto"/>
        </w:rPr>
      </w:pPr>
      <w:r>
        <w:rPr>
          <w:rFonts w:ascii="Times New Roman" w:cs="Times New Roman" w:eastAsia="Times New Roman" w:hAnsi="Times New Roman"/>
          <w:sz w:val="14"/>
          <w:szCs w:val="14"/>
          <w:color w:val="auto"/>
        </w:rPr>
        <w:t>*</w:t>
        <w:tab/>
        <w:t>Not meaningful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increased by $1.6 million, or 0.3%, to $485.7 million in the nine months ended September 30, 2020 compared to the same period in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constant currency basis, revenue increased approximately 1% in the nine months ended September 30, 2020, compared to the same period in 2019.</w:t>
      </w:r>
    </w:p>
    <w:p>
      <w:pPr>
        <w:spacing w:after="0" w:line="13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Company’s E-commerce revenues increased by 3%, to $300.7 million in the nine months ended September 30, 2020, compared to the same period in 2019. Foreign currency fluctuations did not have a significant impact on E-commerce revenues in the nine months ended September 30, 2020, compared to the same period in 2019. During the nine months ended September 30, 2020, growth in our E-commerce sales channel was primarily driven by increased subscriber revenue.</w:t>
      </w:r>
    </w:p>
    <w:p>
      <w:pPr>
        <w:spacing w:after="0" w:line="9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Company’s Enterprise revenues decreased by 4%, to $185.0 million in the nine months ended September 30, 2020, compared to the same period in 2019. Foreign currency fluctuations did not have a significant impact on Enterprise revenues in the nine months ended September 30, 2020, compared to the same period in 2019. We are in the midst of implementing changes to improve performance, including optimizing the sales organization, updating product offerings and making further platform investments, which we believe will improve our Enterprise sales channel operations.</w:t>
      </w:r>
    </w:p>
    <w:p>
      <w:pPr>
        <w:spacing w:after="0" w:line="112"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Revenue growth for the nine months ended September 30, 2020 was also unfavorably affected by the global COVID-19 pandemic and its impact on our customers and their ability to spend marketing budgets on our products. We expect COVID-19 to continue to have an unfavorable impact on our 2020 revenues.</w:t>
      </w:r>
    </w:p>
    <w:p>
      <w:pPr>
        <w:spacing w:after="0" w:line="6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2020 and 2019, we delivered 134.2 million and 140.1 million paid downloads, respectively, and our revenue per download increased to $3.60 for the nine months ended September 30, 2020, from $3.42 for the nine months ended September 30, 2019. During the nine months ended September 30, 2020, the 4% decrease in the number of paid downloads compared to the same period in 2019, is due to lower customer utilization of our products. We believe that the decline in usage during the nine months ended September 30, 2020, compared to the same period in 2019, is partially attributable to COVID-19.</w:t>
      </w:r>
    </w:p>
    <w:p>
      <w:pPr>
        <w:spacing w:after="0" w:line="7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$1.2 million, or 1%, to $172.5 million, revenue from Europe decreased by $1.5 million, or 1%, to $159.3 million and revenue from outside Europe and North America increased by $2.0 million, or 1%, to $154.0 million, in the nine months ended September 30, 2020 compared to the same period in 2019.</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ind w:right="20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decreased by $13.1 million, or 6%, to $193.3 million in the nine months ended September 30, 2020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2019, due to lower royalty expense, content procurement costs and depreciation and amortization expense, partially offset by higher costs associated with website hosting, hardware and software licenses as well as increased credit card fees. In addition, severance charges of $1.2 million were recorded during the nine months ended September 30, 2020. The reduction in royalty expenses was driven by the 4% decline in paid downloads as well as a modification in the way we compensate contributors. We expect that our cost of revenue will fluctuate in line with changes in revenue and paid downloads.</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$19.7 million, or 15%, to $114.9 million in the nine months ended September 30,</w:t>
      </w:r>
    </w:p>
    <w:p>
      <w:pPr>
        <w:spacing w:after="0" w:line="29"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8"/>
          <w:szCs w:val="18"/>
          <w:color w:val="auto"/>
        </w:rPr>
        <w:t>2020 compared to the same period in 2019. As a percent of revenue, sales and marketing expenses decreased to 24% for the nine months ended September 30, 2020, from 28% for the same period in 2019. This decrease was primarily driven by a $18.9 million decline in marketing spend as we focused resources on more efficient customer acquisition and improved marketing return on investment. In addition, travel and related expense costs declined by $1.6 million due to travel restrictions resulting from COVID-19. These declines were partially offset by $1.8 million in higher employee-related costs, substantially consisting of severance charges. We expect sales and marketing expenses to fluctuate as we optimize our sales channels and invest in new customer acquisition, products and geographies.</w:t>
      </w:r>
    </w:p>
    <w:p>
      <w:pPr>
        <w:spacing w:after="0" w:line="8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decreased by $5.9 million, or 14%, to $36.2 million in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as compared to $42.1 million for the same period in 2019. This decrease was primarily driven by a $4.7 million reduction in software and other IT-related costs for the nine months ended September 30, 2020, as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by $3.0 million, or 3%, to $83.8 million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compared to the same period in 2019. This decrease was primarily driven by: (i) lower depreciation and amortization expense of $2.9 million, driven by recognition of $1.5 million of accelerated amortization expense in the second quarter of 2019 in conjunction with the Company’s re-branding of its Editorial product; (ii) lower professional and consulting fees of $2.8 million for the nine months ended September 30, 2020, compared to the same period in 2019; and (iii) a reduction in expense of $2.7 million, associated with the 2019 accrual of long-term incentives, related to our 2017 acquisition of Flashstock. These declines were partially offset by (i) higher employee-related costs of $4.4 million for the nine months ended September 30, 2020 as compared to the same period in 2019; and (ii) a year over year increase of $2.1 million in bad debt expense, driven by $1.6 million of bad debt expense recorded for the nine months ended September 30, 2020 and a benefit of $0.5 million recorded in the same period in 2019.</w:t>
      </w:r>
    </w:p>
    <w:p>
      <w:pPr>
        <w:spacing w:after="0" w:line="77" w:lineRule="exact"/>
        <w:rPr>
          <w:sz w:val="20"/>
          <w:szCs w:val="20"/>
          <w:color w:val="auto"/>
        </w:rPr>
      </w:pPr>
    </w:p>
    <w:p>
      <w:pPr>
        <w:ind w:right="4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During the nine months ended September 30, 2020, approximately $1.1 million of other (expense) / income,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interest income and $1.6 million of unfavorable foreign currency fluctuations.</w:t>
      </w:r>
    </w:p>
    <w:p>
      <w:pPr>
        <w:spacing w:after="0" w:line="52"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approximately $3.3 million of other (expense) / income, net consisted of interest income which was partially offset by $1.4 million of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66" w:lineRule="exact"/>
        <w:rPr>
          <w:sz w:val="20"/>
          <w:szCs w:val="20"/>
          <w:color w:val="auto"/>
        </w:rPr>
      </w:pPr>
    </w:p>
    <w:p>
      <w:pPr>
        <w:ind w:right="3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increased by $10.7 million for the nine months ended September 30, 2020 as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Our effective tax rates for the nine months ended September 30, 2020 and 2019 were 19.7% and 3.3%, respectively.</w:t>
      </w:r>
    </w:p>
    <w:p>
      <w:pPr>
        <w:spacing w:after="0" w:line="5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the effective tax rate increased by 0.9% as a result of a loss jurisdiction with no tax benefit. Discrete items further increased the effective tax rate by 1.8%. Excluding the discrete items, our effective tax rate would have been 17.0% for the nine months ended September 30, 2020.</w:t>
      </w:r>
    </w:p>
    <w:p>
      <w:pPr>
        <w:spacing w:after="0" w:line="68"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7"/>
          <w:szCs w:val="17"/>
          <w:color w:val="auto"/>
        </w:rPr>
        <w:t>For the nine months ended September 30, 2019, the impact of discrete tax items decreased the effective tax rate by 13.0%. For the nine months ended September 30, 2019, we incurred a discrete tax benefit related primarily to the release of reserves for uncertain tax positions due to a lapse in the statute of limitations and the effect of the foreign-derived intangible income deduction claimed on the Company’s 2018 tax return, which was substantially completed in the third quarter of 2019. Excluding the discrete items, our effective tax rate would have been 16.3% for the nine months ended September 30, 2019.</w:t>
      </w:r>
    </w:p>
    <w:p>
      <w:pPr>
        <w:spacing w:after="0" w:line="56"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9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operating results may fluctuate from quarter to quarter as a result of a variety of factors, including the effects of some seasonal trends in customer behavior. For example, we expect certain customers’ usage may decrease during the third quarter of each calendar year and may increase in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w:t>
      </w:r>
    </w:p>
    <w:p>
      <w:pPr>
        <w:spacing w:after="0" w:line="7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addition, customers’ expenditure on content tends to be discretionary in nature and has been impacted by COVID-19. We cannot estimate when a recovery will occur and therefore, the results of any prior quarterly or annual period should not be relied upon as indicators of our future operating performance.</w:t>
      </w:r>
    </w:p>
    <w:p>
      <w:pPr>
        <w:spacing w:after="0" w:line="68"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See Part II, Item 1A Risk Factors in our Quarterly Report on Form 10-Q for the quarter ended March 31, 2020, which was filed with the SEC on April 28, 2020, for further discussion of the possible impact of the COVID-19 pandemic on our business.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2020, we had cash and cash equivalents totaling $383.1 million which primarily consisted of bank balances and money market funds. Since inception, we have financed our operations primarily through cash flows generated from operations.</w:t>
      </w:r>
    </w:p>
    <w:p>
      <w:pPr>
        <w:spacing w:after="0" w:line="54"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content acquisitions, business combinations that enhance our strategic position, cash dividend payments and share purchases under our share repurchase program. We plan to finance our operations and capital expenses largely through cash generated by our operations. Since our results of operations are sensitive to the level of competition we face, increased competition could adversely affect our 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Offering</w:t>
      </w:r>
    </w:p>
    <w:p>
      <w:pPr>
        <w:spacing w:after="0" w:line="6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August 14, 2020, we completed the Stock Offering, whereby 2,580,000 shares of our common stock were sold to the public at a price to the public of $48.50 per share. We sold 516,000 shares of common stock in the Stock Offering and our Founder and Executive Chairman of the Board sold 2,064,000 shares of common stock in the Stock Offering. We received net proceeds from the shares sold, of approximately $23.2 million, after deducting underwriting discounts and commissions and offering expenses payable. We did not receive any proceeds from the shares sold by the Company’s Founder and Executive Chairman of the Board.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declared and paid cash dividends of $0.51 per share of common stock, or $18.2 million during the nine months ended September 30, 2020.</w:t>
      </w:r>
    </w:p>
    <w:p>
      <w:pPr>
        <w:spacing w:after="0" w:line="11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October 19, 2020, our Board of Directors declared a quarterly cash dividend of $0.17 per share of outstanding common stock payable on December 16, 2020 to stockholders of record at the close of business on December 3, 2020.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6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81" w:lineRule="exact"/>
        <w:rPr>
          <w:sz w:val="20"/>
          <w:szCs w:val="20"/>
          <w:color w:val="auto"/>
        </w:rPr>
      </w:pPr>
    </w:p>
    <w:p>
      <w:pPr>
        <w:jc w:val="both"/>
        <w:ind w:right="320"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2020, we have repurchased approximately 2,558,000 shares of our common stock under the share repurchase program at an average per-share cost of $39.09. During the nine months ended September 30, 2020, we did not repurchase any shares of our common stock under the share repurchase program. As of September 30, 2020, we had $100 million of remaining authorization for share repurchases under the share repurchase program.</w:t>
      </w:r>
    </w:p>
    <w:p>
      <w:pPr>
        <w:spacing w:after="0" w:line="200" w:lineRule="exact"/>
        <w:rPr>
          <w:sz w:val="20"/>
          <w:szCs w:val="20"/>
          <w:color w:val="auto"/>
        </w:rPr>
      </w:pPr>
    </w:p>
    <w:p>
      <w:pPr>
        <w:spacing w:after="0" w:line="3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6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Upon the vesting of restricted stock units (“RSUs”), the Company has a practice of net share settlement, to cover any required withholding taxes by retaining the number of shares with a value equal to the amount of the tax and remitting an equal amount of cash to the appropriate taxing authorities, rather than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equity-based compensation programs on stockholders.</w:t>
      </w:r>
    </w:p>
    <w:p>
      <w:pPr>
        <w:spacing w:after="0" w:line="7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shares with an aggregate value of $3.9 million were withheld upon vesting of RSUs and paid in connection with related remittance to taxing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21"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12 months. Future capital expenditures could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 See Note 12 to our Unaudited Consolidated Financial Statements included in Part I, Item 1 of this Quarterly Report on Form 10-Q for information regarding our existing capital commitments as of September 30, 2020.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nine months ended September 30, 2020 and 2019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8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100,225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77,020</w:t>
            </w:r>
          </w:p>
        </w:tc>
      </w:tr>
      <w:tr>
        <w:trPr>
          <w:trHeight w:val="224"/>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(22,088)</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(18,943)</w:t>
            </w:r>
          </w:p>
        </w:tc>
      </w:tr>
      <w:tr>
        <w:trPr>
          <w:trHeight w:val="33"/>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 (used in) financing activities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w:t>
            </w:r>
          </w:p>
        </w:tc>
      </w:tr>
      <w:tr>
        <w:trPr>
          <w:trHeight w:val="33"/>
        </w:trPr>
        <w:tc>
          <w:tcPr>
            <w:tcW w:w="8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6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$100.2 million for the nine months ended September 30, 2020, compared to $77.0 million for the nine months ended September 30, 2019. In the nine months ended September 30, 2020, operating cash flows were favorably impacted from our increased operating income, partially offset by $7.8 million in one-time payments associated with long-term incentives related to our 2017 acquisition of Flashstock, and changes in the timing of payments pertaining to operating expenses, which can cause operating cash flow to fluctuate from period to period.</w:t>
      </w:r>
    </w:p>
    <w:p>
      <w:pPr>
        <w:spacing w:after="0" w:line="99" w:lineRule="exact"/>
        <w:rPr>
          <w:sz w:val="20"/>
          <w:szCs w:val="20"/>
          <w:color w:val="auto"/>
        </w:rPr>
      </w:pPr>
    </w:p>
    <w:p>
      <w:pPr>
        <w:ind w:right="80" w:firstLine="405"/>
        <w:spacing w:after="0" w:line="375" w:lineRule="auto"/>
        <w:rPr>
          <w:sz w:val="20"/>
          <w:szCs w:val="20"/>
          <w:color w:val="auto"/>
        </w:rPr>
      </w:pPr>
      <w:r>
        <w:rPr>
          <w:rFonts w:ascii="Times New Roman" w:cs="Times New Roman" w:eastAsia="Times New Roman" w:hAnsi="Times New Roman"/>
          <w:sz w:val="18"/>
          <w:szCs w:val="18"/>
          <w:color w:val="auto"/>
        </w:rPr>
        <w:t xml:space="preserve">In addition, the Company paid net cash taxes of $2.8 million and $1.5 million, for the nine months ended September 30, 2020 and 2019, respectively. </w:t>
      </w:r>
      <w:r>
        <w:rPr>
          <w:rFonts w:ascii="Times New Roman" w:cs="Times New Roman" w:eastAsia="Times New Roman" w:hAnsi="Times New Roman"/>
          <w:sz w:val="18"/>
          <w:szCs w:val="18"/>
          <w:i w:val="1"/>
          <w:iCs w:val="1"/>
          <w:color w:val="auto"/>
        </w:rPr>
        <w:t>Investing Activities</w:t>
      </w:r>
    </w:p>
    <w:p>
      <w:pPr>
        <w:spacing w:after="0" w:line="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2020 was $22.1 million, consisting primarily of capital expenditures of $20.3 million for internal-use software and website development costs and purchases of software and equipment and $2.1 million paid to acquire the rights to distribute certain digital content in perpetuity.</w:t>
      </w:r>
    </w:p>
    <w:p>
      <w:pPr>
        <w:spacing w:after="0" w:line="6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 the nine months ended September 30, 2019 was $18.9 million, consisting primarily of capital expenditures of $19.5 million for internal-use software and website development costs and purchases of software and equipment, and $1.9 million paid to acquire the rights to distribute certain digital content into perpetuity, partially offset by $2.5 million of cash received during the nine months ended September 30, 2019 from escrowed funds related to the sale of Webdam, our former digital asset management business, which was sold in February 2018.</w:t>
      </w:r>
    </w:p>
    <w:p>
      <w:pPr>
        <w:spacing w:after="0" w:line="200" w:lineRule="exact"/>
        <w:rPr>
          <w:sz w:val="20"/>
          <w:szCs w:val="20"/>
          <w:color w:val="auto"/>
        </w:rPr>
      </w:pPr>
    </w:p>
    <w:p>
      <w:pPr>
        <w:spacing w:after="0" w:line="3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6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in the nine months ended September 30, 2020 was $1.7 million, consisting primarily of $23.2 million of proceeds from our Stock Offering, after deducting underwriting discounts, commissions and offering expenses paid and approximately $0.6 million received from the issuance of common stock in connection with the exercise of stock options. These amounts were partially offset by $18.2 million, related to the payment of the quarterly cash dividend, and $3.9 million, paid in settlement of tax withholding obligations related to employee stock-based compensation awards.</w:t>
      </w:r>
    </w:p>
    <w:p>
      <w:pPr>
        <w:spacing w:after="0" w:line="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September 30, 2019 was $1.8 million, consisting primarily of $6.4 million, which was paid in settlement of tax withholding obligations related to employee stock-based compensation awards. These amounts were partially offset by proceeds of approximately $4.6 million from the issuance of common stock in connection with the exercise of stock options.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lease real estate under operating lease agreements that expire on various dates during the period from 2020 through 2029. We do not have any material finance lease obligations and our property, equipment and software have been purchased primarily with cash. We do not anticipate any difficulties in renewing those leases and co-location agreements that expire within the next several years and that we currently plan to renew, or in leasing other space or hosting facilities, if required.</w:t>
      </w:r>
    </w:p>
    <w:p>
      <w:pPr>
        <w:spacing w:after="0" w:line="72" w:lineRule="exact"/>
        <w:rPr>
          <w:sz w:val="20"/>
          <w:szCs w:val="20"/>
          <w:color w:val="auto"/>
        </w:rPr>
      </w:pPr>
    </w:p>
    <w:p>
      <w:pPr>
        <w:ind w:right="420" w:firstLine="405"/>
        <w:spacing w:after="0" w:line="261" w:lineRule="auto"/>
        <w:rPr>
          <w:sz w:val="20"/>
          <w:szCs w:val="20"/>
          <w:color w:val="auto"/>
        </w:rPr>
      </w:pPr>
      <w:r>
        <w:rPr>
          <w:rFonts w:ascii="Times New Roman" w:cs="Times New Roman" w:eastAsia="Times New Roman" w:hAnsi="Times New Roman"/>
          <w:sz w:val="18"/>
          <w:szCs w:val="18"/>
          <w:color w:val="auto"/>
        </w:rPr>
        <w:t>On March 21, 2013, we entered into an operating lease agreement to lease our headquarters in New York City, which was amended in 2016. The aggregate undiscounted future minimum lease payments under the lease, as amended, are approximately $57.8 million. We are also party to a letter of credit as a security deposit for this leased facility, which was reduced from $2.6 million to $1.7 million in February 2020. As of March 31, 2020, the Company is no longer required to provide cash collateral for its letter of credit, and, accordingly, these funds are no longer restricted.</w:t>
      </w:r>
    </w:p>
    <w:p>
      <w:pPr>
        <w:spacing w:after="0" w:line="72"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Additionally, as of September 30, 2020, aggregate undiscounted future minimum lease payments under other operating leases are approximately $8.6 million.</w:t>
      </w:r>
    </w:p>
    <w:p>
      <w:pPr>
        <w:spacing w:after="0" w:line="54" w:lineRule="exact"/>
        <w:rPr>
          <w:sz w:val="20"/>
          <w:szCs w:val="20"/>
          <w:color w:val="auto"/>
        </w:rPr>
      </w:pPr>
    </w:p>
    <w:p>
      <w:pPr>
        <w:jc w:val="both"/>
        <w:ind w:right="280" w:firstLine="405"/>
        <w:spacing w:after="0" w:line="261" w:lineRule="auto"/>
        <w:rPr>
          <w:sz w:val="20"/>
          <w:szCs w:val="20"/>
          <w:color w:val="auto"/>
        </w:rPr>
      </w:pPr>
      <w:r>
        <w:rPr>
          <w:rFonts w:ascii="Times New Roman" w:cs="Times New Roman" w:eastAsia="Times New Roman" w:hAnsi="Times New Roman"/>
          <w:sz w:val="18"/>
          <w:szCs w:val="18"/>
          <w:color w:val="auto"/>
        </w:rPr>
        <w:t>We enter into unconditional purchase obligations related to contracts for cloud-based services, infrastructure and other business services as well as minimum royalty guarantees in connection with certain content licenses. As of September 30, 2020, our guaranteed royalty payments and unconditional purchase obligations for the remainder of 2020 and for the fiscal years ending December 31, 2021 and 2022 were approximately $12.9 million, $18.2 million and $4.4 million,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680" w:type="dxa"/>
            <w:vAlign w:val="bottom"/>
            <w:tcBorders>
              <w:bottom w:val="single" w:sz="8" w:color="auto"/>
            </w:tcBorders>
            <w:gridSpan w:val="3"/>
            <w:shd w:val="clear" w:color="auto" w:fill="CCEEFF"/>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2520" w:type="dxa"/>
            <w:vAlign w:val="bottom"/>
            <w:tcBorders>
              <w:bottom w:val="single" w:sz="8" w:color="auto"/>
            </w:tcBorders>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Borders>
              <w:bottom w:val="single" w:sz="8" w:color="auto"/>
            </w:tcBorders>
            <w:shd w:val="clear" w:color="auto" w:fill="CCEEFF"/>
          </w:tcPr>
          <w:p>
            <w:pPr>
              <w:spacing w:after="0"/>
              <w:rPr>
                <w:sz w:val="17"/>
                <w:szCs w:val="17"/>
                <w:color w:val="auto"/>
              </w:rPr>
            </w:pPr>
          </w:p>
        </w:tc>
      </w:tr>
      <w:tr>
        <w:trPr>
          <w:trHeight w:val="191"/>
        </w:trPr>
        <w:tc>
          <w:tcPr>
            <w:tcW w:w="4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r>
      <w:tr>
        <w:trPr>
          <w:trHeight w:val="24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47,382</w:t>
            </w: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21,566</w:t>
            </w: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106,474</w:t>
            </w: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72,214</w:t>
            </w:r>
          </w:p>
        </w:tc>
        <w:tc>
          <w:tcPr>
            <w:tcW w:w="180" w:type="dxa"/>
            <w:vAlign w:val="bottom"/>
          </w:tcPr>
          <w:p>
            <w:pPr>
              <w:spacing w:after="0"/>
              <w:rPr>
                <w:sz w:val="19"/>
                <w:szCs w:val="19"/>
                <w:color w:val="auto"/>
              </w:rPr>
            </w:pPr>
          </w:p>
        </w:tc>
      </w:tr>
      <w:tr>
        <w:trPr>
          <w:trHeight w:val="33"/>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29,326</w:t>
            </w:r>
          </w:p>
        </w:tc>
        <w:tc>
          <w:tcPr>
            <w:tcW w:w="6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10,324</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60,647</w:t>
            </w:r>
          </w:p>
        </w:tc>
        <w:tc>
          <w:tcPr>
            <w:tcW w:w="6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34,513</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57,041</w:t>
            </w: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23,837</w:t>
            </w: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85,600</w:t>
            </w: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55,577</w:t>
            </w:r>
          </w:p>
        </w:tc>
        <w:tc>
          <w:tcPr>
            <w:tcW w:w="180" w:type="dxa"/>
            <w:vAlign w:val="bottom"/>
          </w:tcPr>
          <w:p>
            <w:pPr>
              <w:spacing w:after="0"/>
              <w:rPr>
                <w:sz w:val="19"/>
                <w:szCs w:val="19"/>
                <w:color w:val="auto"/>
              </w:rPr>
            </w:pPr>
          </w:p>
        </w:tc>
      </w:tr>
      <w:tr>
        <w:trPr>
          <w:trHeight w:val="33"/>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and free cash flow should not be construed as indicators of our operating performance, liquidity or cash flows generated by operating, investing and financing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6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81"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Management believes that adjusted EBITDA, adjusted EBITDA margin, adjusted net income, adjusted net income per diluted common share and revenue growth (including by distribution channel) on a constant currency basis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our underlying operating performance; and that revenue growth (including by distribution channel) on a constant currency basis, provides useful information to investors by eliminating the effect of foreign currency fluctuations that are not directly attributable to our business.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after excluding the impact of nonrecurring payments associated with long-term incentives related to our 2017 acquisition of Flashstock, and provides them with the same measures that management uses as the basis for making resource allocation decisions.</w:t>
      </w:r>
    </w:p>
    <w:p>
      <w:pPr>
        <w:spacing w:after="0" w:line="82"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When evaluating our performance, these non-GAAP financial measures should be considered in addition to other financial performance measures, including various cash flow metrics, net income and our other GAAP results.</w:t>
      </w:r>
    </w:p>
    <w:p>
      <w:pPr>
        <w:spacing w:after="0" w:line="7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are presented below.</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6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 xml:space="preserve">We define adjusted EBITDA as net income adjusted for depreciation and amortization, non-cash equity-based compensation, foreign currency transaction gains and losses, expenses related to long-term incentives and contingent consideration related to acquisitions, interest income and expense and income taxes. We define adjusted EBITDA margin as </w:t>
      </w:r>
      <w:r>
        <w:rPr>
          <w:rFonts w:ascii="Times New Roman" w:cs="Times New Roman" w:eastAsia="Times New Roman" w:hAnsi="Times New Roman"/>
          <w:sz w:val="17"/>
          <w:szCs w:val="17"/>
          <w:color w:val="auto"/>
        </w:rPr>
        <w:t>the ratio of adjusted EBITDA to revenue.</w:t>
      </w:r>
    </w:p>
    <w:p>
      <w:pPr>
        <w:spacing w:after="0" w:line="200" w:lineRule="exact"/>
        <w:rPr>
          <w:sz w:val="20"/>
          <w:szCs w:val="20"/>
          <w:color w:val="auto"/>
        </w:rPr>
      </w:pPr>
    </w:p>
    <w:p>
      <w:pPr>
        <w:spacing w:after="0" w:line="31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Borders>
              <w:bottom w:val="single" w:sz="8" w:color="auto"/>
            </w:tcBorders>
          </w:tcPr>
          <w:p>
            <w:pPr>
              <w:spacing w:after="0"/>
              <w:rPr>
                <w:sz w:val="16"/>
                <w:szCs w:val="16"/>
                <w:color w:val="auto"/>
              </w:rPr>
            </w:pPr>
          </w:p>
        </w:tc>
      </w:tr>
      <w:tr>
        <w:trPr>
          <w:trHeight w:val="196"/>
        </w:trPr>
        <w:tc>
          <w:tcPr>
            <w:tcW w:w="4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r>
      <w:tr>
        <w:trPr>
          <w:trHeight w:val="191"/>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64"/>
        </w:trPr>
        <w:tc>
          <w:tcPr>
            <w:tcW w:w="4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237"/>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22,582</w:t>
            </w:r>
          </w:p>
        </w:tc>
        <w:tc>
          <w:tcPr>
            <w:tcW w:w="6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w:t>
            </w:r>
          </w:p>
        </w:tc>
        <w:tc>
          <w:tcPr>
            <w:tcW w:w="7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45,887</w:t>
            </w:r>
          </w:p>
        </w:tc>
        <w:tc>
          <w:tcPr>
            <w:tcW w:w="6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4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37,311</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4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17,884</w:t>
            </w:r>
          </w:p>
        </w:tc>
        <w:tc>
          <w:tcPr>
            <w:tcW w:w="180" w:type="dxa"/>
            <w:vAlign w:val="bottom"/>
          </w:tcPr>
          <w:p>
            <w:pPr>
              <w:spacing w:after="0"/>
              <w:rPr>
                <w:sz w:val="19"/>
                <w:szCs w:val="19"/>
                <w:color w:val="auto"/>
              </w:rPr>
            </w:pPr>
          </w:p>
        </w:tc>
      </w:tr>
      <w:tr>
        <w:trPr>
          <w:trHeight w:val="33"/>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adjustments, net</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80" w:type="dxa"/>
            <w:vAlign w:val="bottom"/>
            <w:shd w:val="clear" w:color="auto" w:fill="CCEEFF"/>
          </w:tcPr>
          <w:p>
            <w:pPr>
              <w:spacing w:after="0"/>
              <w:rPr>
                <w:sz w:val="22"/>
                <w:szCs w:val="22"/>
                <w:color w:val="auto"/>
              </w:rPr>
            </w:pPr>
          </w:p>
        </w:tc>
      </w:tr>
      <w:tr>
        <w:trPr>
          <w:trHeight w:val="224"/>
        </w:trPr>
        <w:tc>
          <w:tcPr>
            <w:tcW w:w="4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 / (Benefit) for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80" w:type="dxa"/>
            <w:vAlign w:val="bottom"/>
          </w:tcPr>
          <w:p>
            <w:pPr>
              <w:spacing w:after="0"/>
              <w:rPr>
                <w:sz w:val="19"/>
                <w:szCs w:val="19"/>
                <w:color w:val="auto"/>
              </w:rPr>
            </w:pPr>
          </w:p>
        </w:tc>
      </w:tr>
      <w:tr>
        <w:trPr>
          <w:trHeight w:val="33"/>
        </w:trPr>
        <w:tc>
          <w:tcPr>
            <w:tcW w:w="4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47,382</w:t>
            </w:r>
          </w:p>
        </w:tc>
        <w:tc>
          <w:tcPr>
            <w:tcW w:w="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21,566</w:t>
            </w:r>
          </w:p>
        </w:tc>
        <w:tc>
          <w:tcPr>
            <w:tcW w:w="7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106,474</w:t>
            </w:r>
          </w:p>
        </w:tc>
        <w:tc>
          <w:tcPr>
            <w:tcW w:w="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72,214</w:t>
            </w:r>
          </w:p>
        </w:tc>
        <w:tc>
          <w:tcPr>
            <w:tcW w:w="180" w:type="dxa"/>
            <w:vAlign w:val="bottom"/>
            <w:shd w:val="clear" w:color="auto" w:fill="CCEEFF"/>
          </w:tcPr>
          <w:p>
            <w:pPr>
              <w:spacing w:after="0"/>
              <w:rPr>
                <w:sz w:val="23"/>
                <w:szCs w:val="23"/>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13" w:lineRule="exact"/>
        <w:rPr>
          <w:sz w:val="20"/>
          <w:szCs w:val="20"/>
          <w:color w:val="auto"/>
        </w:rPr>
      </w:pPr>
    </w:p>
    <w:p>
      <w:pPr>
        <w:ind w:left="340" w:right="80" w:hanging="332"/>
        <w:spacing w:after="0" w:line="28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adjustments, net is foreign currency transaction gains and losses, expenses related to long-term incentives and contingent consideration related to acquisitions, and interest income and expense.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w:t>
      </w:r>
    </w:p>
    <w:p>
      <w:pPr>
        <w:spacing w:after="0" w:line="65"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We define adjusted net income as net income adjusted for the impact of non-cash equity-based compensation, the amortization of acquisition-related intangible assets, expenses related to long-term incentives and contingent consideration related to acquisitions and the estimated tax impact of such adjustments. We define adjusted net income per diluted common share as </w:t>
      </w:r>
      <w:r>
        <w:rPr>
          <w:rFonts w:ascii="Times New Roman" w:cs="Times New Roman" w:eastAsia="Times New Roman" w:hAnsi="Times New Roman"/>
          <w:sz w:val="17"/>
          <w:szCs w:val="17"/>
          <w:color w:val="auto"/>
        </w:rPr>
        <w:t>adjusted net income divided by weighted average diluted shares.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31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6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22,582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45,887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15,755</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17,681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17,884</w:t>
            </w:r>
          </w:p>
        </w:tc>
        <w:tc>
          <w:tcPr>
            <w:tcW w:w="0" w:type="dxa"/>
            <w:vAlign w:val="bottom"/>
          </w:tcPr>
          <w:p>
            <w:pPr>
              <w:spacing w:after="0"/>
              <w:rPr>
                <w:sz w:val="1"/>
                <w:szCs w:val="1"/>
                <w:color w:val="auto"/>
              </w:rPr>
            </w:pPr>
          </w:p>
        </w:tc>
      </w:tr>
      <w:tr>
        <w:trPr>
          <w:trHeight w:val="256"/>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1"/>
                <w:szCs w:val="21"/>
                <w:color w:val="auto"/>
                <w:vertAlign w:val="superscript"/>
              </w:rPr>
              <w:t>(2)</w:t>
            </w:r>
          </w:p>
        </w:tc>
        <w:tc>
          <w:tcPr>
            <w:tcW w:w="9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Acquisition-related amortization expense</w:t>
            </w: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0" w:type="dxa"/>
            <w:vAlign w:val="bottom"/>
          </w:tcPr>
          <w:p>
            <w:pPr>
              <w:spacing w:after="0"/>
              <w:rPr>
                <w:sz w:val="1"/>
                <w:szCs w:val="1"/>
                <w:color w:val="auto"/>
              </w:rPr>
            </w:pPr>
          </w:p>
        </w:tc>
      </w:tr>
      <w:tr>
        <w:trPr>
          <w:trHeight w:val="256"/>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1"/>
                <w:szCs w:val="21"/>
                <w:color w:val="auto"/>
                <w:vertAlign w:val="superscript"/>
              </w:rPr>
              <w:t>(2)</w:t>
            </w:r>
          </w:p>
        </w:tc>
        <w:tc>
          <w:tcPr>
            <w:tcW w:w="9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 long-term incentives and contingent consideration</w:t>
            </w:r>
            <w:r>
              <w:rPr>
                <w:rFonts w:ascii="Times New Roman" w:cs="Times New Roman" w:eastAsia="Times New Roman" w:hAnsi="Times New Roman"/>
                <w:sz w:val="21"/>
                <w:szCs w:val="21"/>
                <w:color w:val="auto"/>
                <w:vertAlign w:val="superscript"/>
              </w:rPr>
              <w:t>(1)</w:t>
            </w:r>
          </w:p>
        </w:tc>
        <w:tc>
          <w:tcPr>
            <w:tcW w:w="9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0" w:type="dxa"/>
            <w:vAlign w:val="bottom"/>
          </w:tcPr>
          <w:p>
            <w:pPr>
              <w:spacing w:after="0"/>
              <w:rPr>
                <w:sz w:val="1"/>
                <w:szCs w:val="1"/>
                <w:color w:val="auto"/>
              </w:rPr>
            </w:pPr>
          </w:p>
        </w:tc>
      </w:tr>
      <w:tr>
        <w:trPr>
          <w:trHeight w:val="162"/>
        </w:trPr>
        <w:tc>
          <w:tcPr>
            <w:tcW w:w="51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Tax effect of acquisition-related long-term incentives and contingent</w:t>
            </w:r>
          </w:p>
        </w:tc>
        <w:tc>
          <w:tcPr>
            <w:tcW w:w="900" w:type="dxa"/>
            <w:vAlign w:val="bottom"/>
          </w:tcPr>
          <w:p>
            <w:pPr>
              <w:spacing w:after="0"/>
              <w:rPr>
                <w:sz w:val="14"/>
                <w:szCs w:val="14"/>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0" w:type="dxa"/>
            <w:vAlign w:val="bottom"/>
          </w:tcPr>
          <w:p>
            <w:pPr>
              <w:spacing w:after="0"/>
              <w:rPr>
                <w:sz w:val="1"/>
                <w:szCs w:val="1"/>
                <w:color w:val="auto"/>
              </w:rPr>
            </w:pPr>
          </w:p>
        </w:tc>
      </w:tr>
      <w:tr>
        <w:trPr>
          <w:trHeight w:val="216"/>
        </w:trPr>
        <w:tc>
          <w:tcPr>
            <w:tcW w:w="51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consideration</w:t>
            </w:r>
            <w:r>
              <w:rPr>
                <w:rFonts w:ascii="Times New Roman" w:cs="Times New Roman" w:eastAsia="Times New Roman" w:hAnsi="Times New Roman"/>
                <w:sz w:val="21"/>
                <w:szCs w:val="21"/>
                <w:color w:val="auto"/>
                <w:vertAlign w:val="superscript"/>
              </w:rPr>
              <w:t>(2)</w:t>
            </w:r>
          </w:p>
        </w:tc>
        <w:tc>
          <w:tcPr>
            <w:tcW w:w="9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900" w:type="dxa"/>
            <w:vAlign w:val="bottom"/>
            <w:tcBorders>
              <w:top w:val="single" w:sz="8" w:color="auto"/>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29,326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60,647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34,513</w:t>
            </w:r>
          </w:p>
        </w:tc>
        <w:tc>
          <w:tcPr>
            <w:tcW w:w="0" w:type="dxa"/>
            <w:vAlign w:val="bottom"/>
          </w:tcPr>
          <w:p>
            <w:pPr>
              <w:spacing w:after="0"/>
              <w:rPr>
                <w:sz w:val="1"/>
                <w:szCs w:val="1"/>
                <w:color w:val="auto"/>
              </w:rPr>
            </w:pPr>
          </w:p>
        </w:tc>
      </w:tr>
      <w:tr>
        <w:trPr>
          <w:trHeight w:val="22"/>
        </w:trPr>
        <w:tc>
          <w:tcPr>
            <w:tcW w:w="5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r>
        <w:trPr>
          <w:trHeight w:val="33"/>
        </w:trPr>
        <w:tc>
          <w:tcPr>
            <w:tcW w:w="5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related to long-term incentives and contingent consideration related to our 2017 acquisition of Flashstock.</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effect reflects the estimated impact of the adjustment on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distribution channel) on a Constant Currency Basis</w:t>
      </w:r>
    </w:p>
    <w:p>
      <w:pPr>
        <w:spacing w:after="0" w:line="65" w:lineRule="exact"/>
        <w:rPr>
          <w:sz w:val="20"/>
          <w:szCs w:val="20"/>
          <w:color w:val="auto"/>
        </w:rPr>
      </w:pPr>
    </w:p>
    <w:p>
      <w:pPr>
        <w:jc w:val="both"/>
        <w:ind w:right="460" w:firstLine="405"/>
        <w:spacing w:after="0" w:line="312" w:lineRule="auto"/>
        <w:rPr>
          <w:sz w:val="20"/>
          <w:szCs w:val="20"/>
          <w:color w:val="auto"/>
        </w:rPr>
      </w:pPr>
      <w:r>
        <w:rPr>
          <w:rFonts w:ascii="Times New Roman" w:cs="Times New Roman" w:eastAsia="Times New Roman" w:hAnsi="Times New Roman"/>
          <w:sz w:val="17"/>
          <w:szCs w:val="17"/>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Borders>
              <w:bottom w:val="single" w:sz="8" w:color="auto"/>
            </w:tcBorders>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r>
      <w:tr>
        <w:trPr>
          <w:trHeight w:val="191"/>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64"/>
        </w:trPr>
        <w:tc>
          <w:tcPr>
            <w:tcW w:w="4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165,227</w:t>
            </w:r>
          </w:p>
        </w:tc>
        <w:tc>
          <w:tcPr>
            <w:tcW w:w="6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159,079</w:t>
            </w:r>
          </w:p>
        </w:tc>
        <w:tc>
          <w:tcPr>
            <w:tcW w:w="7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485,742</w:t>
            </w: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484,152</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280" w:type="dxa"/>
            <w:vAlign w:val="bottom"/>
          </w:tcPr>
          <w:p>
            <w:pPr>
              <w:spacing w:after="0"/>
              <w:rPr>
                <w:sz w:val="19"/>
                <w:szCs w:val="19"/>
                <w:color w:val="auto"/>
              </w:rPr>
            </w:pPr>
          </w:p>
        </w:tc>
        <w:tc>
          <w:tcPr>
            <w:tcW w:w="170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i w:val="1"/>
                <w:iCs w:val="1"/>
                <w:color w:val="auto"/>
              </w:rPr>
              <w:t>4 %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i w:val="1"/>
                <w:iCs w:val="1"/>
                <w:color w:val="auto"/>
              </w:rPr>
              <w:t>—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r>
      <w:tr>
        <w:trPr>
          <w:trHeight w:val="33"/>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w:t>
            </w:r>
          </w:p>
        </w:tc>
        <w:tc>
          <w:tcPr>
            <w:tcW w:w="64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i w:val="1"/>
                <w:i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w:t>
            </w:r>
          </w:p>
        </w:tc>
        <w:tc>
          <w:tcPr>
            <w:tcW w:w="66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i w:val="1"/>
                <w:i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54"/>
        </w:trPr>
        <w:tc>
          <w:tcPr>
            <w:tcW w:w="4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 reported revenue (in thousands)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102,816</w:t>
            </w:r>
          </w:p>
        </w:tc>
        <w:tc>
          <w:tcPr>
            <w:tcW w:w="6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96,233</w:t>
            </w:r>
          </w:p>
        </w:tc>
        <w:tc>
          <w:tcPr>
            <w:tcW w:w="7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300,716</w:t>
            </w: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291,339</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E-commerce revenue growth</w:t>
            </w:r>
          </w:p>
        </w:tc>
        <w:tc>
          <w:tcPr>
            <w:tcW w:w="280" w:type="dxa"/>
            <w:vAlign w:val="bottom"/>
          </w:tcPr>
          <w:p>
            <w:pPr>
              <w:spacing w:after="0"/>
              <w:rPr>
                <w:sz w:val="19"/>
                <w:szCs w:val="19"/>
                <w:color w:val="auto"/>
              </w:rPr>
            </w:pPr>
          </w:p>
        </w:tc>
        <w:tc>
          <w:tcPr>
            <w:tcW w:w="170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i w:val="1"/>
                <w:iCs w:val="1"/>
                <w:color w:val="auto"/>
              </w:rPr>
              <w:t>7 %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8 %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i w:val="1"/>
                <w:iCs w:val="1"/>
                <w:color w:val="auto"/>
              </w:rPr>
              <w:t>3 %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8 %</w:t>
            </w:r>
          </w:p>
        </w:tc>
      </w:tr>
      <w:tr>
        <w:trPr>
          <w:trHeight w:val="33"/>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E-commerce revenue growth on a constant currency basis</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w:t>
            </w:r>
          </w:p>
        </w:tc>
        <w:tc>
          <w:tcPr>
            <w:tcW w:w="64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i w:val="1"/>
                <w:i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w:t>
            </w:r>
          </w:p>
        </w:tc>
        <w:tc>
          <w:tcPr>
            <w:tcW w:w="66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i w:val="1"/>
                <w:i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94"/>
        </w:trPr>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Enterprise reported revenue (in thousands)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62,411</w:t>
            </w:r>
          </w:p>
        </w:tc>
        <w:tc>
          <w:tcPr>
            <w:tcW w:w="6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62,846</w:t>
            </w:r>
          </w:p>
        </w:tc>
        <w:tc>
          <w:tcPr>
            <w:tcW w:w="7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185,026</w:t>
            </w:r>
          </w:p>
        </w:tc>
        <w:tc>
          <w:tcPr>
            <w:tcW w:w="6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192,813</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Enterprise revenue growth</w:t>
            </w:r>
          </w:p>
        </w:tc>
        <w:tc>
          <w:tcPr>
            <w:tcW w:w="280" w:type="dxa"/>
            <w:vAlign w:val="bottom"/>
          </w:tcPr>
          <w:p>
            <w:pPr>
              <w:spacing w:after="0"/>
              <w:rPr>
                <w:sz w:val="19"/>
                <w:szCs w:val="19"/>
                <w:color w:val="auto"/>
              </w:rPr>
            </w:pPr>
          </w:p>
        </w:tc>
        <w:tc>
          <w:tcPr>
            <w:tcW w:w="170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i w:val="1"/>
                <w:iCs w:val="1"/>
                <w:color w:val="auto"/>
              </w:rPr>
              <w:t>(1) %</w:t>
            </w:r>
          </w:p>
        </w:tc>
        <w:tc>
          <w:tcPr>
            <w:tcW w:w="172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i w:val="1"/>
                <w:iCs w:val="1"/>
                <w:color w:val="auto"/>
              </w:rPr>
              <w:t>— %</w:t>
            </w:r>
          </w:p>
        </w:tc>
        <w:tc>
          <w:tcPr>
            <w:tcW w:w="15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i w:val="1"/>
                <w:iCs w:val="1"/>
                <w:color w:val="auto"/>
              </w:rPr>
              <w:t>(4)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33"/>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i w:val="1"/>
                <w:iCs w:val="1"/>
                <w:color w:val="auto"/>
              </w:rPr>
              <w:t>Enterprise revenue growth on a constant currency basis</w:t>
            </w:r>
          </w:p>
        </w:tc>
        <w:tc>
          <w:tcPr>
            <w:tcW w:w="2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i w:val="1"/>
                <w:iCs w:val="1"/>
                <w:color w:val="auto"/>
              </w:rPr>
              <w:t>(1)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i w:val="1"/>
                <w:iCs w:val="1"/>
                <w:color w:val="auto"/>
              </w:rPr>
              <w:t>(4)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33"/>
        </w:trPr>
        <w:tc>
          <w:tcPr>
            <w:tcW w:w="4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60"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We define free cash flow as our cash provided by operating activities, adjusted for capital expenditures and content acquisition, and, with respect to the nine months ended September 30, 2020, a payment associated with long-term incentives related to our 2017 acquisition of Flashstock.</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each of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31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600" w:type="dxa"/>
            <w:vAlign w:val="bottom"/>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51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1"/>
        </w:trPr>
        <w:tc>
          <w:tcPr>
            <w:tcW w:w="5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4"/>
        </w:trPr>
        <w:tc>
          <w:tcPr>
            <w:tcW w:w="5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36"/>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63,882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30,277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100,225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77,020</w:t>
            </w:r>
          </w:p>
        </w:tc>
      </w:tr>
      <w:tr>
        <w:trPr>
          <w:trHeight w:val="223"/>
        </w:trPr>
        <w:tc>
          <w:tcPr>
            <w:tcW w:w="5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(19,547)</w:t>
            </w:r>
          </w:p>
        </w:tc>
      </w:tr>
      <w:tr>
        <w:trPr>
          <w:trHeight w:val="33"/>
        </w:trPr>
        <w:tc>
          <w:tcPr>
            <w:tcW w:w="5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5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r>
      <w:tr>
        <w:trPr>
          <w:trHeight w:val="254"/>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related to long-term incentives related to acquisitions</w:t>
            </w:r>
          </w:p>
        </w:tc>
        <w:tc>
          <w:tcPr>
            <w:tcW w:w="9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7,759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75"/>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90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57,041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23,837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85,600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55,577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303(a)(4)(ii) of Regulation S-K,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35% for the nine months ended September 30, 2020 and 2019.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nine months ended September 30, 2020,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8"/>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c>
          <w:tcPr>
            <w:tcW w:w="820" w:type="dxa"/>
            <w:vAlign w:val="bottom"/>
            <w:tcBorders>
              <w:bottom w:val="single" w:sz="8" w:color="auto"/>
            </w:tcBorders>
          </w:tcPr>
          <w:p>
            <w:pPr>
              <w:spacing w:after="0"/>
              <w:rPr>
                <w:sz w:val="15"/>
                <w:szCs w:val="15"/>
                <w:color w:val="auto"/>
              </w:rPr>
            </w:pPr>
          </w:p>
        </w:tc>
      </w:tr>
      <w:tr>
        <w:trPr>
          <w:trHeight w:val="183"/>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820" w:type="dxa"/>
            <w:vAlign w:val="bottom"/>
            <w:tcBorders>
              <w:bottom w:val="single" w:sz="8" w:color="auto"/>
            </w:tcBorders>
          </w:tcPr>
          <w:p>
            <w:pPr>
              <w:spacing w:after="0"/>
              <w:rPr>
                <w:sz w:val="15"/>
                <w:szCs w:val="15"/>
                <w:color w:val="auto"/>
              </w:rPr>
            </w:pPr>
          </w:p>
        </w:tc>
      </w:tr>
      <w:tr>
        <w:trPr>
          <w:trHeight w:val="142"/>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Originating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Originating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Originating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3"/>
                <w:szCs w:val="13"/>
                <w:b w:val="1"/>
                <w:bCs w:val="1"/>
                <w:color w:val="auto"/>
                <w:w w:val="98"/>
              </w:rPr>
              <w:t>Originating</w:t>
            </w:r>
          </w:p>
        </w:tc>
      </w:tr>
      <w:tr>
        <w:trPr>
          <w:trHeight w:val="176"/>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U.S. Dollars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Currency</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U.S. Dollars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3"/>
              </w:rPr>
              <w:t>Currency</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U.S. Dollars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Currency</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U.S. Dollars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Currency</w:t>
            </w:r>
          </w:p>
        </w:tc>
      </w:tr>
      <w:tr>
        <w:trPr>
          <w:trHeight w:val="224"/>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32,949</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28,940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31,716</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28,190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99,397</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60,095</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98,251</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86,328</w:t>
            </w:r>
          </w:p>
        </w:tc>
      </w:tr>
      <w:tr>
        <w:trPr>
          <w:trHeight w:val="3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w:t>
            </w:r>
          </w:p>
        </w:tc>
        <w:tc>
          <w:tcPr>
            <w:tcW w:w="3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9,743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11,933</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9,549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18,509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27,996</w:t>
            </w:r>
          </w:p>
        </w:tc>
      </w:tr>
      <w:tr>
        <w:trPr>
          <w:trHeight w:val="257"/>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35,770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35,133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r>
      <w:tr>
        <w:trPr>
          <w:trHeight w:val="230"/>
        </w:trPr>
        <w:tc>
          <w:tcPr>
            <w:tcW w:w="3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foreign currency</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171,083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169,349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54"/>
        </w:trPr>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107,272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103,810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314,659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314,803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7"/>
        </w:trPr>
        <w:tc>
          <w:tcPr>
            <w:tcW w:w="3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165,227</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159,079</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485,742</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484,152</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
        </w:trPr>
        <w:tc>
          <w:tcPr>
            <w:tcW w:w="3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bl>
    <w:p>
      <w:pPr>
        <w:spacing w:after="0" w:line="16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have any long-term borrowings as of September 30,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8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2020, our Chief Executive Officer and Chief Financial Officer concluded that, as of such date, our disclosure controls and procedures were effective at the reasonable assurance level.</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7" w:name="page38"/>
    <w:bookmarkEnd w:id="37"/>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PART II.</w:t>
        <w:tab/>
        <w:t>OTHER INFORMATION</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2019 Form 10-K, and Part II, “Item 1. Risk Factors” in our first quarter 2020 Form 10-Q, which could materially affect our business, financial condition or future results. During the three months ended September 30, 2020, there were no material changes to these risk factors as described in our 2019 Form 10-K and first quarter 2020 Form 10-Q.</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0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p>
      <w:pPr>
        <w:sectPr>
          <w:pgSz w:w="11900" w:h="16838" w:orient="portrait"/>
          <w:cols w:equalWidth="0" w:num="1">
            <w:col w:w="10760"/>
          </w:cols>
          <w:pgMar w:left="340" w:top="121" w:right="799" w:bottom="1440" w:gutter="0" w:footer="0" w:header="0"/>
        </w:sectPr>
      </w:pP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101.INS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Exhibit Description</w:t>
      </w:r>
    </w:p>
    <w:p>
      <w:pPr>
        <w:spacing w:after="0" w:line="39" w:lineRule="exact"/>
        <w:rPr>
          <w:sz w:val="20"/>
          <w:szCs w:val="20"/>
          <w:color w:val="auto"/>
        </w:rPr>
      </w:pPr>
    </w:p>
    <w:p>
      <w:pPr>
        <w:spacing w:after="0" w:line="245" w:lineRule="auto"/>
        <w:rPr>
          <w:rFonts w:ascii="Times New Roman" w:cs="Times New Roman" w:eastAsia="Times New Roman" w:hAnsi="Times New Roman"/>
          <w:sz w:val="16"/>
          <w:szCs w:val="16"/>
          <w:u w:val="single" w:color="auto"/>
          <w:color w:val="0000FF"/>
        </w:rPr>
      </w:pPr>
      <w:hyperlink w:anchor="page41">
        <w:r>
          <w:rPr>
            <w:rFonts w:ascii="Times New Roman" w:cs="Times New Roman" w:eastAsia="Times New Roman" w:hAnsi="Times New Roman"/>
            <w:sz w:val="16"/>
            <w:szCs w:val="16"/>
            <w:u w:val="single" w:color="auto"/>
            <w:color w:val="0000FF"/>
          </w:rPr>
          <w:t>Certification of Chief Executive Officer pursuant to Exchange Act Rules 13a-14(a) and 15d-14(a), as adopted pursuant to Section 302 of the Sarbanes-</w:t>
        </w:r>
      </w:hyperlink>
      <w:hyperlink w:anchor="page41">
        <w:r>
          <w:rPr>
            <w:rFonts w:ascii="Times New Roman" w:cs="Times New Roman" w:eastAsia="Times New Roman" w:hAnsi="Times New Roman"/>
            <w:sz w:val="16"/>
            <w:szCs w:val="16"/>
            <w:u w:val="single" w:color="auto"/>
            <w:color w:val="0000FF"/>
          </w:rPr>
          <w:t>Oxley Act of 2002</w:t>
        </w:r>
      </w:hyperlink>
    </w:p>
    <w:p>
      <w:pPr>
        <w:spacing w:after="0" w:line="2" w:lineRule="exact"/>
        <w:rPr>
          <w:sz w:val="20"/>
          <w:szCs w:val="20"/>
          <w:color w:val="auto"/>
        </w:rPr>
      </w:pPr>
    </w:p>
    <w:p>
      <w:pPr>
        <w:ind w:right="40"/>
        <w:spacing w:after="0" w:line="245" w:lineRule="auto"/>
        <w:rPr>
          <w:rFonts w:ascii="Times New Roman" w:cs="Times New Roman" w:eastAsia="Times New Roman" w:hAnsi="Times New Roman"/>
          <w:sz w:val="16"/>
          <w:szCs w:val="16"/>
          <w:u w:val="single" w:color="auto"/>
          <w:color w:val="0000FF"/>
        </w:rPr>
      </w:pPr>
      <w:hyperlink w:anchor="page42">
        <w:r>
          <w:rPr>
            <w:rFonts w:ascii="Times New Roman" w:cs="Times New Roman" w:eastAsia="Times New Roman" w:hAnsi="Times New Roman"/>
            <w:sz w:val="16"/>
            <w:szCs w:val="16"/>
            <w:u w:val="single" w:color="auto"/>
            <w:color w:val="0000FF"/>
          </w:rPr>
          <w:t>Certification of Chief Financial Officer pursuant to Exchange Act Rules 13a-14(a) and 15d-14(a), as adopted pursuant to Section 302 of the Sarbanes-</w:t>
        </w:r>
      </w:hyperlink>
      <w:hyperlink w:anchor="page42">
        <w:r>
          <w:rPr>
            <w:rFonts w:ascii="Times New Roman" w:cs="Times New Roman" w:eastAsia="Times New Roman" w:hAnsi="Times New Roman"/>
            <w:sz w:val="16"/>
            <w:szCs w:val="16"/>
            <w:u w:val="single" w:color="auto"/>
            <w:color w:val="0000FF"/>
          </w:rPr>
          <w:t>Oxley Act of 2002</w:t>
        </w:r>
      </w:hyperlink>
    </w:p>
    <w:p>
      <w:pPr>
        <w:spacing w:after="0" w:line="2" w:lineRule="exact"/>
        <w:rPr>
          <w:sz w:val="20"/>
          <w:szCs w:val="20"/>
          <w:color w:val="auto"/>
        </w:rPr>
      </w:pPr>
    </w:p>
    <w:p>
      <w:pPr>
        <w:ind w:right="280"/>
        <w:spacing w:after="0" w:line="245" w:lineRule="auto"/>
        <w:rPr>
          <w:rFonts w:ascii="Times New Roman" w:cs="Times New Roman" w:eastAsia="Times New Roman" w:hAnsi="Times New Roman"/>
          <w:sz w:val="16"/>
          <w:szCs w:val="16"/>
          <w:u w:val="single" w:color="auto"/>
          <w:color w:val="0000FF"/>
        </w:rPr>
      </w:pPr>
      <w:hyperlink w:anchor="page43">
        <w:r>
          <w:rPr>
            <w:rFonts w:ascii="Times New Roman" w:cs="Times New Roman" w:eastAsia="Times New Roman" w:hAnsi="Times New Roman"/>
            <w:sz w:val="16"/>
            <w:szCs w:val="16"/>
            <w:u w:val="single" w:color="auto"/>
            <w:color w:val="0000FF"/>
          </w:rPr>
          <w:t>Certification of Chief Executive Officer and Chief Financial Officer pursuant to 18 U.S.C. Section 1350, as adopted pursuant to Section 906 of the</w:t>
        </w:r>
      </w:hyperlink>
      <w:r>
        <w:rPr>
          <w:rFonts w:ascii="Times New Roman" w:cs="Times New Roman" w:eastAsia="Times New Roman" w:hAnsi="Times New Roman"/>
          <w:sz w:val="16"/>
          <w:szCs w:val="16"/>
          <w:u w:val="single" w:color="auto"/>
          <w:color w:val="0000FF"/>
        </w:rPr>
        <w:t xml:space="preserve"> </w:t>
      </w:r>
      <w:hyperlink w:anchor="page43">
        <w:r>
          <w:rPr>
            <w:rFonts w:ascii="Times New Roman" w:cs="Times New Roman" w:eastAsia="Times New Roman" w:hAnsi="Times New Roman"/>
            <w:sz w:val="16"/>
            <w:szCs w:val="16"/>
            <w:u w:val="single" w:color="auto"/>
            <w:color w:val="0000FF"/>
          </w:rPr>
          <w:t>Sarbanes-Oxley Act of 2002</w:t>
        </w:r>
      </w:hyperlink>
    </w:p>
    <w:p>
      <w:pPr>
        <w:spacing w:after="0" w:line="16"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 XBRL document.</w:t>
      </w:r>
    </w:p>
    <w:p>
      <w:pPr>
        <w:spacing w:after="0" w:line="2" w:lineRule="exact"/>
        <w:rPr>
          <w:sz w:val="20"/>
          <w:szCs w:val="20"/>
          <w:color w:val="auto"/>
        </w:rPr>
      </w:pPr>
    </w:p>
    <w:p>
      <w:pPr>
        <w:sectPr>
          <w:pgSz w:w="11900" w:h="16838" w:orient="portrait"/>
          <w:cols w:equalWidth="0" w:num="2">
            <w:col w:w="680" w:space="300"/>
            <w:col w:w="9780"/>
          </w:cols>
          <w:pgMar w:left="340" w:top="121" w:right="79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56"/>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57"/>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13" w:lineRule="exact"/>
        <w:rPr>
          <w:sz w:val="20"/>
          <w:szCs w:val="20"/>
          <w:color w:val="auto"/>
        </w:rPr>
      </w:pPr>
    </w:p>
    <w:p>
      <w:pPr>
        <w:ind w:left="400"/>
        <w:spacing w:after="0"/>
        <w:tabs>
          <w:tab w:leader="none" w:pos="58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40" w:top="121" w:right="799" w:bottom="1440" w:gutter="0" w:footer="0" w:header="0"/>
          <w:type w:val="continuous"/>
        </w:sectPr>
      </w:pPr>
    </w:p>
    <w:bookmarkStart w:id="39" w:name="page40"/>
    <w:bookmarkEnd w:id="39"/>
    <w:p>
      <w:pPr>
        <w:ind w:left="4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64"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7680" w:type="dxa"/>
            <w:vAlign w:val="bottom"/>
            <w:gridSpan w:val="2"/>
          </w:tcPr>
          <w:p>
            <w:pPr>
              <w:ind w:left="190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5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Dated: October 27, 2020</w:t>
            </w:r>
          </w:p>
        </w:tc>
        <w:tc>
          <w:tcPr>
            <w:tcW w:w="2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By:</w:t>
            </w:r>
          </w:p>
        </w:tc>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Jarrod Yahes</w:t>
            </w:r>
          </w:p>
        </w:tc>
      </w:tr>
      <w:tr>
        <w:trPr>
          <w:trHeight w:val="33"/>
        </w:trPr>
        <w:tc>
          <w:tcPr>
            <w:tcW w:w="3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7"/>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Jarrod Yahes</w:t>
            </w:r>
          </w:p>
        </w:tc>
      </w:tr>
      <w:tr>
        <w:trPr>
          <w:trHeight w:val="257"/>
        </w:trPr>
        <w:tc>
          <w:tcPr>
            <w:tcW w:w="35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57"/>
        </w:trPr>
        <w:tc>
          <w:tcPr>
            <w:tcW w:w="35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51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Dated: October 27, 2020</w:t>
            </w:r>
          </w:p>
        </w:tc>
        <w:tc>
          <w:tcPr>
            <w:tcW w:w="2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By:</w:t>
            </w:r>
          </w:p>
        </w:tc>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33"/>
        </w:trPr>
        <w:tc>
          <w:tcPr>
            <w:tcW w:w="3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7"/>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r>
        <w:trPr>
          <w:trHeight w:val="257"/>
        </w:trPr>
        <w:tc>
          <w:tcPr>
            <w:tcW w:w="35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r>
      <w:tr>
        <w:trPr>
          <w:trHeight w:val="257"/>
        </w:trPr>
        <w:tc>
          <w:tcPr>
            <w:tcW w:w="35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21"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6"/>
          <w:szCs w:val="16"/>
          <w:b w:val="1"/>
          <w:bCs w:val="1"/>
          <w:color w:val="auto"/>
        </w:rPr>
        <w:t>CERTIFICATION PURSUANT TO RULE 13a-14(a) OR 15d-14(a) OF THE SECURITIES EXCHANGE ACT OF 1934, 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Stan Pavlovsky, certify that:</w:t>
      </w:r>
    </w:p>
    <w:p>
      <w:pPr>
        <w:spacing w:after="0" w:line="194" w:lineRule="exact"/>
        <w:rPr>
          <w:sz w:val="20"/>
          <w:szCs w:val="20"/>
          <w:color w:val="auto"/>
        </w:rPr>
      </w:pPr>
    </w:p>
    <w:p>
      <w:pPr>
        <w:ind w:left="860" w:hanging="528"/>
        <w:spacing w:after="0"/>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4" w:lineRule="exact"/>
        <w:rPr>
          <w:rFonts w:ascii="Times New Roman" w:cs="Times New Roman" w:eastAsia="Times New Roman" w:hAnsi="Times New Roman"/>
          <w:sz w:val="16"/>
          <w:szCs w:val="16"/>
          <w:color w:val="auto"/>
        </w:rPr>
      </w:pPr>
    </w:p>
    <w:p>
      <w:pPr>
        <w:ind w:left="340" w:right="240" w:hanging="8"/>
        <w:spacing w:after="0" w:line="280" w:lineRule="auto"/>
        <w:tabs>
          <w:tab w:leader="none" w:pos="8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left="340" w:right="320" w:hanging="8"/>
        <w:spacing w:after="0" w:line="280" w:lineRule="auto"/>
        <w:tabs>
          <w:tab w:leader="none" w:pos="8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340" w:right="180" w:hanging="8"/>
        <w:spacing w:after="0" w:line="280" w:lineRule="auto"/>
        <w:tabs>
          <w:tab w:leader="none" w:pos="86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Times New Roman" w:cs="Times New Roman" w:eastAsia="Times New Roman" w:hAnsi="Times New Roman"/>
          <w:sz w:val="16"/>
          <w:szCs w:val="16"/>
          <w:color w:val="auto"/>
        </w:rPr>
      </w:pPr>
    </w:p>
    <w:p>
      <w:pPr>
        <w:jc w:val="both"/>
        <w:ind w:left="660" w:right="120" w:hanging="4"/>
        <w:spacing w:after="0" w:line="263" w:lineRule="auto"/>
        <w:tabs>
          <w:tab w:leader="none" w:pos="1177"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Times New Roman" w:cs="Times New Roman" w:eastAsia="Times New Roman" w:hAnsi="Times New Roman"/>
          <w:sz w:val="16"/>
          <w:szCs w:val="16"/>
          <w:color w:val="auto"/>
        </w:rPr>
      </w:pPr>
    </w:p>
    <w:p>
      <w:pPr>
        <w:jc w:val="both"/>
        <w:ind w:left="660" w:right="220" w:hanging="4"/>
        <w:spacing w:after="0" w:line="263" w:lineRule="auto"/>
        <w:tabs>
          <w:tab w:leader="none" w:pos="1186"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left="660" w:right="40" w:hanging="4"/>
        <w:spacing w:after="0" w:line="280" w:lineRule="auto"/>
        <w:tabs>
          <w:tab w:leader="none" w:pos="1177"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660" w:right="80" w:hanging="4"/>
        <w:spacing w:after="0" w:line="263" w:lineRule="auto"/>
        <w:tabs>
          <w:tab w:leader="none" w:pos="1186"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Times New Roman" w:cs="Times New Roman" w:eastAsia="Times New Roman" w:hAnsi="Times New Roman"/>
          <w:sz w:val="16"/>
          <w:szCs w:val="16"/>
          <w:color w:val="auto"/>
        </w:rPr>
      </w:pPr>
    </w:p>
    <w:p>
      <w:pPr>
        <w:ind w:left="340" w:right="100" w:hanging="8"/>
        <w:spacing w:after="0" w:line="280" w:lineRule="auto"/>
        <w:tabs>
          <w:tab w:leader="none" w:pos="86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660" w:right="220" w:hanging="4"/>
        <w:spacing w:after="0" w:line="280" w:lineRule="auto"/>
        <w:tabs>
          <w:tab w:leader="none" w:pos="1168"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660" w:right="420" w:hanging="4"/>
        <w:spacing w:after="0" w:line="280" w:lineRule="auto"/>
        <w:tabs>
          <w:tab w:leader="none" w:pos="1178"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40"/>
        <w:spacing w:after="0"/>
        <w:tabs>
          <w:tab w:leader="none" w:pos="5640" w:val="left"/>
          <w:tab w:leader="none" w:pos="6100" w:val="left"/>
        </w:tabs>
        <w:rPr>
          <w:sz w:val="20"/>
          <w:szCs w:val="20"/>
          <w:color w:val="auto"/>
        </w:rPr>
      </w:pPr>
      <w:r>
        <w:rPr>
          <w:rFonts w:ascii="Times New Roman" w:cs="Times New Roman" w:eastAsia="Times New Roman" w:hAnsi="Times New Roman"/>
          <w:sz w:val="16"/>
          <w:szCs w:val="16"/>
          <w:color w:val="auto"/>
        </w:rPr>
        <w:t>Date: October 27, 2020</w:t>
      </w:r>
      <w:r>
        <w:rPr>
          <w:sz w:val="20"/>
          <w:szCs w:val="20"/>
          <w:color w:val="auto"/>
        </w:rPr>
        <w:tab/>
      </w:r>
      <w:r>
        <w:rPr>
          <w:rFonts w:ascii="Times New Roman" w:cs="Times New Roman" w:eastAsia="Times New Roman" w:hAnsi="Times New Roman"/>
          <w:sz w:val="16"/>
          <w:szCs w:val="16"/>
          <w:color w:val="auto"/>
        </w:rPr>
        <w:t>By:</w:t>
        <w:tab/>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37465</wp:posOffset>
            </wp:positionV>
            <wp:extent cx="32575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6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Stan Pavlovsky</w:t>
      </w:r>
    </w:p>
    <w:p>
      <w:pPr>
        <w:spacing w:after="0" w:line="7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9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6"/>
          <w:szCs w:val="16"/>
          <w:b w:val="1"/>
          <w:bCs w:val="1"/>
          <w:color w:val="auto"/>
        </w:rPr>
        <w:t>CERTIFICATION PURSUANT TO RULE 13a-14(a) OR 15d-14(a) OF THE SECURITIES EXCHANGE ACT OF 1934, 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Jarrod Yahes, certify that:</w:t>
      </w:r>
    </w:p>
    <w:p>
      <w:pPr>
        <w:spacing w:after="0" w:line="194" w:lineRule="exact"/>
        <w:rPr>
          <w:sz w:val="20"/>
          <w:szCs w:val="20"/>
          <w:color w:val="auto"/>
        </w:rPr>
      </w:pPr>
    </w:p>
    <w:p>
      <w:pPr>
        <w:ind w:left="860" w:hanging="528"/>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4" w:lineRule="exact"/>
        <w:rPr>
          <w:rFonts w:ascii="Times New Roman" w:cs="Times New Roman" w:eastAsia="Times New Roman" w:hAnsi="Times New Roman"/>
          <w:sz w:val="16"/>
          <w:szCs w:val="16"/>
          <w:color w:val="auto"/>
        </w:rPr>
      </w:pPr>
    </w:p>
    <w:p>
      <w:pPr>
        <w:ind w:left="340" w:right="240" w:hanging="8"/>
        <w:spacing w:after="0" w:line="280" w:lineRule="auto"/>
        <w:tabs>
          <w:tab w:leader="none" w:pos="86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left="340" w:right="320" w:hanging="8"/>
        <w:spacing w:after="0" w:line="280" w:lineRule="auto"/>
        <w:tabs>
          <w:tab w:leader="none" w:pos="86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340" w:right="180" w:hanging="8"/>
        <w:spacing w:after="0" w:line="280" w:lineRule="auto"/>
        <w:tabs>
          <w:tab w:leader="none" w:pos="8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Times New Roman" w:cs="Times New Roman" w:eastAsia="Times New Roman" w:hAnsi="Times New Roman"/>
          <w:sz w:val="16"/>
          <w:szCs w:val="16"/>
          <w:color w:val="auto"/>
        </w:rPr>
      </w:pPr>
    </w:p>
    <w:p>
      <w:pPr>
        <w:jc w:val="both"/>
        <w:ind w:left="660" w:right="120" w:hanging="4"/>
        <w:spacing w:after="0" w:line="263" w:lineRule="auto"/>
        <w:tabs>
          <w:tab w:leader="none" w:pos="1177"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Times New Roman" w:cs="Times New Roman" w:eastAsia="Times New Roman" w:hAnsi="Times New Roman"/>
          <w:sz w:val="16"/>
          <w:szCs w:val="16"/>
          <w:color w:val="auto"/>
        </w:rPr>
      </w:pPr>
    </w:p>
    <w:p>
      <w:pPr>
        <w:jc w:val="both"/>
        <w:ind w:left="660" w:right="220" w:hanging="4"/>
        <w:spacing w:after="0" w:line="263" w:lineRule="auto"/>
        <w:tabs>
          <w:tab w:leader="none" w:pos="1186"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left="660" w:right="40" w:hanging="4"/>
        <w:spacing w:after="0" w:line="280" w:lineRule="auto"/>
        <w:tabs>
          <w:tab w:leader="none" w:pos="1177"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660" w:right="80" w:hanging="4"/>
        <w:spacing w:after="0" w:line="263" w:lineRule="auto"/>
        <w:tabs>
          <w:tab w:leader="none" w:pos="1186"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Times New Roman" w:cs="Times New Roman" w:eastAsia="Times New Roman" w:hAnsi="Times New Roman"/>
          <w:sz w:val="16"/>
          <w:szCs w:val="16"/>
          <w:color w:val="auto"/>
        </w:rPr>
      </w:pPr>
    </w:p>
    <w:p>
      <w:pPr>
        <w:ind w:left="340" w:right="100" w:hanging="8"/>
        <w:spacing w:after="0" w:line="280" w:lineRule="auto"/>
        <w:tabs>
          <w:tab w:leader="none" w:pos="86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660" w:right="220" w:hanging="4"/>
        <w:spacing w:after="0" w:line="280" w:lineRule="auto"/>
        <w:tabs>
          <w:tab w:leader="none" w:pos="1168"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660" w:right="420" w:hanging="4"/>
        <w:spacing w:after="0" w:line="280" w:lineRule="auto"/>
        <w:tabs>
          <w:tab w:leader="none" w:pos="1178"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p>
      <w:pPr>
        <w:ind w:left="40"/>
        <w:spacing w:after="0"/>
        <w:tabs>
          <w:tab w:leader="none" w:pos="5780" w:val="left"/>
          <w:tab w:leader="none" w:pos="6220" w:val="left"/>
        </w:tabs>
        <w:rPr>
          <w:sz w:val="20"/>
          <w:szCs w:val="20"/>
          <w:color w:val="auto"/>
        </w:rPr>
      </w:pPr>
      <w:r>
        <w:rPr>
          <w:rFonts w:ascii="Times New Roman" w:cs="Times New Roman" w:eastAsia="Times New Roman" w:hAnsi="Times New Roman"/>
          <w:sz w:val="16"/>
          <w:szCs w:val="16"/>
          <w:color w:val="auto"/>
        </w:rPr>
        <w:t>Date: October 27, 2020</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37465</wp:posOffset>
            </wp:positionV>
            <wp:extent cx="3180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6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Jarrod Yahes</w:t>
      </w:r>
    </w:p>
    <w:p>
      <w:pPr>
        <w:spacing w:after="0" w:line="7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9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In connection with the Quarterly Report on Form 10-Q of Shutterstock, Inc., for the quarterly period ended September 30, 2020 as filed with the Securities and Exchange Commission on the date hereof (the “Report”), I, Stan Pavlovsky,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11" w:lineRule="exact"/>
        <w:rPr>
          <w:sz w:val="20"/>
          <w:szCs w:val="20"/>
          <w:color w:val="auto"/>
        </w:rPr>
      </w:pPr>
    </w:p>
    <w:p>
      <w:pPr>
        <w:ind w:left="40"/>
        <w:spacing w:after="0"/>
        <w:tabs>
          <w:tab w:leader="none" w:pos="5640" w:val="left"/>
          <w:tab w:leader="none" w:pos="6100" w:val="left"/>
        </w:tabs>
        <w:rPr>
          <w:sz w:val="20"/>
          <w:szCs w:val="20"/>
          <w:color w:val="auto"/>
        </w:rPr>
      </w:pPr>
      <w:r>
        <w:rPr>
          <w:rFonts w:ascii="Times New Roman" w:cs="Times New Roman" w:eastAsia="Times New Roman" w:hAnsi="Times New Roman"/>
          <w:sz w:val="16"/>
          <w:szCs w:val="16"/>
          <w:color w:val="auto"/>
        </w:rPr>
        <w:t>Date: October 27, 2020</w:t>
      </w:r>
      <w:r>
        <w:rPr>
          <w:sz w:val="20"/>
          <w:szCs w:val="20"/>
          <w:color w:val="auto"/>
        </w:rPr>
        <w:tab/>
      </w:r>
      <w:r>
        <w:rPr>
          <w:rFonts w:ascii="Times New Roman" w:cs="Times New Roman" w:eastAsia="Times New Roman" w:hAnsi="Times New Roman"/>
          <w:sz w:val="16"/>
          <w:szCs w:val="16"/>
          <w:color w:val="auto"/>
        </w:rPr>
        <w:t>By:</w:t>
        <w:tab/>
        <w:t>/s/ Stan Pavlovsky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37465</wp:posOffset>
            </wp:positionV>
            <wp:extent cx="32575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6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Stan Pavlovsky</w:t>
      </w:r>
    </w:p>
    <w:p>
      <w:pPr>
        <w:spacing w:after="0" w:line="7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34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In connection with the Quarterly Report on Form 10-Q of Shutterstock, Inc., for the quarterly period ended September 30, 2020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11" w:lineRule="exact"/>
        <w:rPr>
          <w:sz w:val="20"/>
          <w:szCs w:val="20"/>
          <w:color w:val="auto"/>
        </w:rPr>
      </w:pPr>
    </w:p>
    <w:p>
      <w:pPr>
        <w:ind w:left="40"/>
        <w:spacing w:after="0"/>
        <w:tabs>
          <w:tab w:leader="none" w:pos="5640" w:val="left"/>
          <w:tab w:leader="none" w:pos="6100" w:val="left"/>
        </w:tabs>
        <w:rPr>
          <w:sz w:val="20"/>
          <w:szCs w:val="20"/>
          <w:color w:val="auto"/>
        </w:rPr>
      </w:pPr>
      <w:r>
        <w:rPr>
          <w:rFonts w:ascii="Times New Roman" w:cs="Times New Roman" w:eastAsia="Times New Roman" w:hAnsi="Times New Roman"/>
          <w:sz w:val="16"/>
          <w:szCs w:val="16"/>
          <w:color w:val="auto"/>
        </w:rPr>
        <w:t>Date: October 27, 2020</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37465</wp:posOffset>
            </wp:positionV>
            <wp:extent cx="32575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6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Jarrod Yahes</w:t>
      </w:r>
    </w:p>
    <w:p>
      <w:pPr>
        <w:spacing w:after="0" w:line="7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2020-10-27T06:10:35Z</dcterms:created>
  <dcterms:modified xsi:type="dcterms:W3CDTF">2020-10-27T06:10:35Z</dcterms:modified>
</cp:coreProperties>
</file>