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254635</wp:posOffset>
            </wp:positionH>
            <wp:positionV relativeFrom="paragraph">
              <wp:posOffset>374650</wp:posOffset>
            </wp:positionV>
            <wp:extent cx="694626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26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2"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left="38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w:t>
      </w:r>
    </w:p>
    <w:p>
      <w:pPr>
        <w:spacing w:after="0" w:line="10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13"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21" w:lineRule="exact"/>
        <w:rPr>
          <w:sz w:val="24"/>
          <w:szCs w:val="24"/>
          <w:color w:val="auto"/>
        </w:rPr>
      </w:pPr>
    </w:p>
    <w:p>
      <w:pPr>
        <w:ind w:left="2520" w:hanging="260"/>
        <w:spacing w:after="0"/>
        <w:tabs>
          <w:tab w:leader="none" w:pos="2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68"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2022</w:t>
      </w:r>
    </w:p>
    <w:p>
      <w:pPr>
        <w:spacing w:after="0" w:line="2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or</w:t>
      </w:r>
    </w:p>
    <w:p>
      <w:pPr>
        <w:spacing w:after="0" w:line="6" w:lineRule="exact"/>
        <w:rPr>
          <w:sz w:val="24"/>
          <w:szCs w:val="24"/>
          <w:color w:val="auto"/>
        </w:rPr>
      </w:pPr>
    </w:p>
    <w:p>
      <w:pPr>
        <w:ind w:left="2360" w:hanging="230"/>
        <w:spacing w:after="0"/>
        <w:tabs>
          <w:tab w:leader="none" w:pos="23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For the transition period from ___ to ___</w:t>
      </w:r>
    </w:p>
    <w:p>
      <w:pPr>
        <w:spacing w:after="0" w:line="6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2"/>
          <w:szCs w:val="12"/>
          <w:b w:val="1"/>
          <w:bCs w:val="1"/>
          <w:color w:val="auto"/>
        </w:rPr>
        <w:t>Commission File Number: 001-35669</w:t>
      </w:r>
    </w:p>
    <w:p>
      <w:pPr>
        <w:spacing w:after="0" w:line="24"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w:t>
      </w:r>
    </w:p>
    <w:p>
      <w:pPr>
        <w:spacing w:after="0" w:line="8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5"/>
          <w:szCs w:val="25"/>
          <w:b w:val="1"/>
          <w:bCs w:val="1"/>
          <w:color w:val="auto"/>
        </w:rPr>
        <w:t>Shutterstock, Inc.</w:t>
      </w:r>
    </w:p>
    <w:p>
      <w:pPr>
        <w:spacing w:after="0" w:line="11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1" w:lineRule="exact"/>
        <w:rPr>
          <w:sz w:val="24"/>
          <w:szCs w:val="24"/>
          <w:color w:val="auto"/>
        </w:rPr>
      </w:pPr>
    </w:p>
    <w:tbl>
      <w:tblPr>
        <w:tblLayout w:type="fixed"/>
        <w:tblInd w:w="3800" w:type="dxa"/>
        <w:tblCellMar>
          <w:top w:w="0" w:type="dxa"/>
          <w:left w:w="0" w:type="dxa"/>
          <w:bottom w:w="0" w:type="dxa"/>
          <w:right w:w="0" w:type="dxa"/>
        </w:tblCellMar>
      </w:tblPr>
      <w:tr>
        <w:trPr>
          <w:trHeight w:val="162"/>
        </w:trPr>
        <w:tc>
          <w:tcPr>
            <w:tcW w:w="2360" w:type="dxa"/>
            <w:vAlign w:val="bottom"/>
          </w:tcPr>
          <w:p>
            <w:pPr>
              <w:jc w:val="center"/>
              <w:ind w:right="838"/>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1780" w:type="dxa"/>
            <w:vAlign w:val="bottom"/>
          </w:tcPr>
          <w:p>
            <w:pPr>
              <w:jc w:val="center"/>
              <w:ind w:left="818"/>
              <w:spacing w:after="0"/>
              <w:rPr>
                <w:sz w:val="20"/>
                <w:szCs w:val="20"/>
                <w:color w:val="auto"/>
              </w:rPr>
            </w:pPr>
            <w:r>
              <w:rPr>
                <w:rFonts w:ascii="Times New Roman" w:cs="Times New Roman" w:eastAsia="Times New Roman" w:hAnsi="Times New Roman"/>
                <w:sz w:val="12"/>
                <w:szCs w:val="12"/>
                <w:b w:val="1"/>
                <w:bCs w:val="1"/>
                <w:color w:val="auto"/>
                <w:w w:val="99"/>
              </w:rPr>
              <w:t>80-0812659</w:t>
            </w:r>
          </w:p>
        </w:tc>
      </w:tr>
      <w:tr>
        <w:trPr>
          <w:trHeight w:val="183"/>
        </w:trPr>
        <w:tc>
          <w:tcPr>
            <w:tcW w:w="2360" w:type="dxa"/>
            <w:vAlign w:val="bottom"/>
          </w:tcPr>
          <w:p>
            <w:pPr>
              <w:jc w:val="center"/>
              <w:ind w:right="818"/>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1780" w:type="dxa"/>
            <w:vAlign w:val="bottom"/>
          </w:tcPr>
          <w:p>
            <w:pPr>
              <w:jc w:val="center"/>
              <w:ind w:left="818"/>
              <w:spacing w:after="0"/>
              <w:rPr>
                <w:sz w:val="20"/>
                <w:szCs w:val="20"/>
                <w:color w:val="auto"/>
              </w:rPr>
            </w:pPr>
            <w:r>
              <w:rPr>
                <w:rFonts w:ascii="Times New Roman" w:cs="Times New Roman" w:eastAsia="Times New Roman" w:hAnsi="Times New Roman"/>
                <w:sz w:val="12"/>
                <w:szCs w:val="12"/>
                <w:color w:val="auto"/>
              </w:rPr>
              <w:t>(I.R.S. Employer</w:t>
            </w:r>
          </w:p>
        </w:tc>
      </w:tr>
      <w:tr>
        <w:trPr>
          <w:trHeight w:val="160"/>
        </w:trPr>
        <w:tc>
          <w:tcPr>
            <w:tcW w:w="2360" w:type="dxa"/>
            <w:vAlign w:val="bottom"/>
          </w:tcPr>
          <w:p>
            <w:pPr>
              <w:jc w:val="center"/>
              <w:ind w:right="818"/>
              <w:spacing w:after="0"/>
              <w:rPr>
                <w:sz w:val="20"/>
                <w:szCs w:val="20"/>
                <w:color w:val="auto"/>
              </w:rPr>
            </w:pPr>
            <w:r>
              <w:rPr>
                <w:rFonts w:ascii="Times New Roman" w:cs="Times New Roman" w:eastAsia="Times New Roman" w:hAnsi="Times New Roman"/>
                <w:sz w:val="12"/>
                <w:szCs w:val="12"/>
                <w:color w:val="auto"/>
              </w:rPr>
              <w:t>incorporation or organization)</w:t>
            </w:r>
          </w:p>
        </w:tc>
        <w:tc>
          <w:tcPr>
            <w:tcW w:w="1780" w:type="dxa"/>
            <w:vAlign w:val="bottom"/>
          </w:tcPr>
          <w:p>
            <w:pPr>
              <w:jc w:val="center"/>
              <w:ind w:left="818"/>
              <w:spacing w:after="0"/>
              <w:rPr>
                <w:sz w:val="20"/>
                <w:szCs w:val="20"/>
                <w:color w:val="auto"/>
              </w:rPr>
            </w:pPr>
            <w:r>
              <w:rPr>
                <w:rFonts w:ascii="Times New Roman" w:cs="Times New Roman" w:eastAsia="Times New Roman" w:hAnsi="Times New Roman"/>
                <w:sz w:val="12"/>
                <w:szCs w:val="12"/>
                <w:color w:val="auto"/>
              </w:rPr>
              <w:t>Identification No.)</w:t>
            </w:r>
          </w:p>
        </w:tc>
      </w:tr>
    </w:tbl>
    <w:p>
      <w:pPr>
        <w:spacing w:after="0" w:line="20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350 Fifth Avenue, 20th Floor</w:t>
      </w:r>
    </w:p>
    <w:p>
      <w:pPr>
        <w:spacing w:after="0" w:line="15"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New York, NY 10118</w:t>
      </w:r>
    </w:p>
    <w:p>
      <w:pPr>
        <w:spacing w:after="0" w:line="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1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646 710-3417</w:t>
      </w:r>
    </w:p>
    <w:p>
      <w:pPr>
        <w:spacing w:after="0" w:line="1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3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2" w:lineRule="exact"/>
        <w:rPr>
          <w:sz w:val="24"/>
          <w:szCs w:val="24"/>
          <w:color w:val="auto"/>
        </w:rPr>
      </w:pPr>
    </w:p>
    <w:tbl>
      <w:tblPr>
        <w:tblLayout w:type="fixed"/>
        <w:tblInd w:w="1180" w:type="dxa"/>
        <w:tblCellMar>
          <w:top w:w="0" w:type="dxa"/>
          <w:left w:w="0" w:type="dxa"/>
          <w:bottom w:w="0" w:type="dxa"/>
          <w:right w:w="0" w:type="dxa"/>
        </w:tblCellMar>
      </w:tblPr>
      <w:tr>
        <w:trPr>
          <w:trHeight w:val="162"/>
        </w:trPr>
        <w:tc>
          <w:tcPr>
            <w:tcW w:w="3560" w:type="dxa"/>
            <w:vAlign w:val="bottom"/>
          </w:tcPr>
          <w:p>
            <w:pPr>
              <w:jc w:val="center"/>
              <w:ind w:left="258"/>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100" w:type="dxa"/>
            <w:vAlign w:val="bottom"/>
          </w:tcPr>
          <w:p>
            <w:pPr>
              <w:jc w:val="center"/>
              <w:ind w:left="18"/>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3240" w:type="dxa"/>
            <w:vAlign w:val="bottom"/>
          </w:tcPr>
          <w:p>
            <w:pPr>
              <w:jc w:val="center"/>
              <w:ind w:left="58"/>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30"/>
        </w:trPr>
        <w:tc>
          <w:tcPr>
            <w:tcW w:w="35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161"/>
        </w:trPr>
        <w:tc>
          <w:tcPr>
            <w:tcW w:w="3560" w:type="dxa"/>
            <w:vAlign w:val="bottom"/>
          </w:tcPr>
          <w:p>
            <w:pPr>
              <w:jc w:val="center"/>
              <w:ind w:left="258"/>
              <w:spacing w:after="0"/>
              <w:rPr>
                <w:sz w:val="20"/>
                <w:szCs w:val="20"/>
                <w:color w:val="auto"/>
              </w:rPr>
            </w:pPr>
            <w:r>
              <w:rPr>
                <w:rFonts w:ascii="Times New Roman" w:cs="Times New Roman" w:eastAsia="Times New Roman" w:hAnsi="Times New Roman"/>
                <w:sz w:val="12"/>
                <w:szCs w:val="12"/>
                <w:color w:val="auto"/>
              </w:rPr>
              <w:t>Common Stock, $0.01 par value per share</w:t>
            </w:r>
          </w:p>
        </w:tc>
        <w:tc>
          <w:tcPr>
            <w:tcW w:w="2100" w:type="dxa"/>
            <w:vAlign w:val="bottom"/>
          </w:tcPr>
          <w:p>
            <w:pPr>
              <w:jc w:val="center"/>
              <w:ind w:left="18"/>
              <w:spacing w:after="0"/>
              <w:rPr>
                <w:sz w:val="20"/>
                <w:szCs w:val="20"/>
                <w:color w:val="auto"/>
              </w:rPr>
            </w:pPr>
            <w:r>
              <w:rPr>
                <w:rFonts w:ascii="Times New Roman" w:cs="Times New Roman" w:eastAsia="Times New Roman" w:hAnsi="Times New Roman"/>
                <w:sz w:val="12"/>
                <w:szCs w:val="12"/>
                <w:color w:val="auto"/>
              </w:rPr>
              <w:t>SSTK</w:t>
            </w:r>
          </w:p>
        </w:tc>
        <w:tc>
          <w:tcPr>
            <w:tcW w:w="324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New York Stock Exchange</w:t>
            </w:r>
          </w:p>
        </w:tc>
      </w:tr>
    </w:tbl>
    <w:p>
      <w:pPr>
        <w:spacing w:after="0" w:line="203"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2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ind w:left="400" w:right="4200"/>
        <w:spacing w:after="0" w:line="18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5" w:lineRule="exact"/>
        <w:rPr>
          <w:sz w:val="24"/>
          <w:szCs w:val="24"/>
          <w:color w:val="auto"/>
        </w:rPr>
      </w:pPr>
    </w:p>
    <w:p>
      <w:pPr>
        <w:ind w:right="20" w:firstLine="396"/>
        <w:spacing w:after="0" w:line="16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4" w:lineRule="exact"/>
        <w:rPr>
          <w:sz w:val="24"/>
          <w:szCs w:val="24"/>
          <w:color w:val="auto"/>
        </w:rPr>
      </w:pPr>
    </w:p>
    <w:p>
      <w:pPr>
        <w:ind w:right="220" w:firstLine="396"/>
        <w:spacing w:after="0" w:line="16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8" w:lineRule="exact"/>
        <w:rPr>
          <w:sz w:val="24"/>
          <w:szCs w:val="24"/>
          <w:color w:val="auto"/>
        </w:rPr>
      </w:pPr>
    </w:p>
    <w:p>
      <w:pPr>
        <w:ind w:left="2540" w:hanging="2142"/>
        <w:spacing w:after="0" w:line="28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580" w:type="dxa"/>
        <w:tblCellMar>
          <w:top w:w="0" w:type="dxa"/>
          <w:left w:w="0" w:type="dxa"/>
          <w:bottom w:w="0" w:type="dxa"/>
          <w:right w:w="0" w:type="dxa"/>
        </w:tblCellMar>
      </w:tblPr>
      <w:tr>
        <w:trPr>
          <w:trHeight w:val="247"/>
        </w:trPr>
        <w:tc>
          <w:tcPr>
            <w:tcW w:w="1800" w:type="dxa"/>
            <w:vAlign w:val="bottom"/>
          </w:tcPr>
          <w:p>
            <w:pPr>
              <w:jc w:val="center"/>
              <w:ind w:right="209"/>
              <w:spacing w:after="0"/>
              <w:rPr>
                <w:sz w:val="20"/>
                <w:szCs w:val="20"/>
                <w:color w:val="auto"/>
              </w:rPr>
            </w:pPr>
            <w:r>
              <w:rPr>
                <w:rFonts w:ascii="Times New Roman" w:cs="Times New Roman" w:eastAsia="Times New Roman" w:hAnsi="Times New Roman"/>
                <w:sz w:val="21"/>
                <w:szCs w:val="21"/>
                <w:color w:val="auto"/>
              </w:rPr>
              <w:t>Large accelerated</w:t>
            </w:r>
          </w:p>
        </w:tc>
        <w:tc>
          <w:tcPr>
            <w:tcW w:w="2560" w:type="dxa"/>
            <w:vAlign w:val="bottom"/>
          </w:tcPr>
          <w:p>
            <w:pPr>
              <w:ind w:left="320"/>
              <w:spacing w:after="0" w:line="121" w:lineRule="exact"/>
              <w:rPr>
                <w:sz w:val="20"/>
                <w:szCs w:val="20"/>
                <w:color w:val="auto"/>
              </w:rPr>
            </w:pPr>
            <w:r>
              <w:rPr>
                <w:rFonts w:ascii="MS PGothic" w:cs="MS PGothic" w:eastAsia="MS PGothic" w:hAnsi="MS PGothic"/>
                <w:sz w:val="12"/>
                <w:szCs w:val="12"/>
                <w:color w:val="auto"/>
              </w:rPr>
              <w:t>☒</w:t>
            </w:r>
          </w:p>
        </w:tc>
        <w:tc>
          <w:tcPr>
            <w:tcW w:w="3840" w:type="dxa"/>
            <w:vAlign w:val="bottom"/>
          </w:tcPr>
          <w:p>
            <w:pPr>
              <w:spacing w:after="0"/>
              <w:rPr>
                <w:sz w:val="21"/>
                <w:szCs w:val="21"/>
                <w:color w:val="auto"/>
              </w:rPr>
            </w:pPr>
          </w:p>
        </w:tc>
        <w:tc>
          <w:tcPr>
            <w:tcW w:w="460" w:type="dxa"/>
            <w:vAlign w:val="bottom"/>
          </w:tcPr>
          <w:p>
            <w:pPr>
              <w:ind w:left="3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76"/>
        </w:trPr>
        <w:tc>
          <w:tcPr>
            <w:tcW w:w="1800" w:type="dxa"/>
            <w:vAlign w:val="bottom"/>
          </w:tcPr>
          <w:p>
            <w:pPr>
              <w:ind w:left="380"/>
              <w:spacing w:after="0"/>
              <w:rPr>
                <w:sz w:val="20"/>
                <w:szCs w:val="20"/>
                <w:color w:val="auto"/>
              </w:rPr>
            </w:pPr>
            <w:r>
              <w:rPr>
                <w:rFonts w:ascii="Times New Roman" w:cs="Times New Roman" w:eastAsia="Times New Roman" w:hAnsi="Times New Roman"/>
                <w:sz w:val="21"/>
                <w:szCs w:val="21"/>
                <w:color w:val="auto"/>
              </w:rPr>
              <w:t>filer</w:t>
            </w:r>
          </w:p>
        </w:tc>
        <w:tc>
          <w:tcPr>
            <w:tcW w:w="2560" w:type="dxa"/>
            <w:vAlign w:val="bottom"/>
          </w:tcPr>
          <w:p>
            <w:pPr>
              <w:spacing w:after="0"/>
              <w:rPr>
                <w:sz w:val="24"/>
                <w:szCs w:val="24"/>
                <w:color w:val="auto"/>
              </w:rPr>
            </w:pPr>
          </w:p>
        </w:tc>
        <w:tc>
          <w:tcPr>
            <w:tcW w:w="3840" w:type="dxa"/>
            <w:vAlign w:val="bottom"/>
          </w:tcPr>
          <w:p>
            <w:pPr>
              <w:jc w:val="center"/>
              <w:ind w:left="1718"/>
              <w:spacing w:after="0"/>
              <w:rPr>
                <w:sz w:val="20"/>
                <w:szCs w:val="20"/>
                <w:color w:val="auto"/>
              </w:rPr>
            </w:pPr>
            <w:r>
              <w:rPr>
                <w:rFonts w:ascii="Times New Roman" w:cs="Times New Roman" w:eastAsia="Times New Roman" w:hAnsi="Times New Roman"/>
                <w:sz w:val="12"/>
                <w:szCs w:val="12"/>
                <w:color w:val="auto"/>
              </w:rPr>
              <w:t>Accelerated filer</w:t>
            </w:r>
          </w:p>
        </w:tc>
        <w:tc>
          <w:tcPr>
            <w:tcW w:w="460" w:type="dxa"/>
            <w:vAlign w:val="bottom"/>
          </w:tcPr>
          <w:p>
            <w:pPr>
              <w:spacing w:after="0"/>
              <w:rPr>
                <w:sz w:val="24"/>
                <w:szCs w:val="24"/>
                <w:color w:val="auto"/>
              </w:rPr>
            </w:pPr>
          </w:p>
        </w:tc>
      </w:tr>
      <w:tr>
        <w:trPr>
          <w:trHeight w:val="197"/>
        </w:trPr>
        <w:tc>
          <w:tcPr>
            <w:tcW w:w="1800" w:type="dxa"/>
            <w:vAlign w:val="bottom"/>
          </w:tcPr>
          <w:p>
            <w:pPr>
              <w:jc w:val="center"/>
              <w:ind w:right="229"/>
              <w:spacing w:after="0"/>
              <w:rPr>
                <w:sz w:val="20"/>
                <w:szCs w:val="20"/>
                <w:color w:val="auto"/>
              </w:rPr>
            </w:pPr>
            <w:r>
              <w:rPr>
                <w:rFonts w:ascii="Times New Roman" w:cs="Times New Roman" w:eastAsia="Times New Roman" w:hAnsi="Times New Roman"/>
                <w:sz w:val="12"/>
                <w:szCs w:val="12"/>
                <w:color w:val="auto"/>
              </w:rPr>
              <w:t>Non-accelerated filer</w:t>
            </w:r>
          </w:p>
        </w:tc>
        <w:tc>
          <w:tcPr>
            <w:tcW w:w="2560" w:type="dxa"/>
            <w:vAlign w:val="bottom"/>
          </w:tcPr>
          <w:p>
            <w:pPr>
              <w:ind w:left="320"/>
              <w:spacing w:after="0" w:line="121" w:lineRule="exact"/>
              <w:rPr>
                <w:sz w:val="20"/>
                <w:szCs w:val="20"/>
                <w:color w:val="auto"/>
              </w:rPr>
            </w:pPr>
            <w:r>
              <w:rPr>
                <w:rFonts w:ascii="MS PGothic" w:cs="MS PGothic" w:eastAsia="MS PGothic" w:hAnsi="MS PGothic"/>
                <w:sz w:val="12"/>
                <w:szCs w:val="12"/>
                <w:color w:val="auto"/>
              </w:rPr>
              <w:t>☐</w:t>
            </w:r>
          </w:p>
        </w:tc>
        <w:tc>
          <w:tcPr>
            <w:tcW w:w="3840" w:type="dxa"/>
            <w:vAlign w:val="bottom"/>
          </w:tcPr>
          <w:p>
            <w:pPr>
              <w:jc w:val="center"/>
              <w:ind w:left="1718"/>
              <w:spacing w:after="0"/>
              <w:rPr>
                <w:sz w:val="20"/>
                <w:szCs w:val="20"/>
                <w:color w:val="auto"/>
              </w:rPr>
            </w:pPr>
            <w:r>
              <w:rPr>
                <w:rFonts w:ascii="Times New Roman" w:cs="Times New Roman" w:eastAsia="Times New Roman" w:hAnsi="Times New Roman"/>
                <w:sz w:val="12"/>
                <w:szCs w:val="12"/>
                <w:color w:val="auto"/>
              </w:rPr>
              <w:t>Smaller reporting company</w:t>
            </w:r>
          </w:p>
        </w:tc>
        <w:tc>
          <w:tcPr>
            <w:tcW w:w="460" w:type="dxa"/>
            <w:vAlign w:val="bottom"/>
          </w:tcPr>
          <w:p>
            <w:pPr>
              <w:ind w:left="3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8"/>
        </w:trPr>
        <w:tc>
          <w:tcPr>
            <w:tcW w:w="1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840" w:type="dxa"/>
            <w:vAlign w:val="bottom"/>
          </w:tcPr>
          <w:p>
            <w:pPr>
              <w:jc w:val="center"/>
              <w:ind w:left="1718"/>
              <w:spacing w:after="0"/>
              <w:rPr>
                <w:sz w:val="20"/>
                <w:szCs w:val="20"/>
                <w:color w:val="auto"/>
              </w:rPr>
            </w:pPr>
            <w:r>
              <w:rPr>
                <w:rFonts w:ascii="Times New Roman" w:cs="Times New Roman" w:eastAsia="Times New Roman" w:hAnsi="Times New Roman"/>
                <w:sz w:val="12"/>
                <w:szCs w:val="12"/>
                <w:color w:val="auto"/>
              </w:rPr>
              <w:t>Emerging growth company</w:t>
            </w:r>
          </w:p>
        </w:tc>
        <w:tc>
          <w:tcPr>
            <w:tcW w:w="460" w:type="dxa"/>
            <w:vAlign w:val="bottom"/>
          </w:tcPr>
          <w:p>
            <w:pPr>
              <w:ind w:left="34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143" w:lineRule="exact"/>
        <w:rPr>
          <w:sz w:val="24"/>
          <w:szCs w:val="24"/>
          <w:color w:val="auto"/>
        </w:rPr>
      </w:pPr>
    </w:p>
    <w:p>
      <w:pPr>
        <w:ind w:right="180" w:firstLine="396"/>
        <w:spacing w:after="0" w:line="160"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4" w:lineRule="exact"/>
        <w:rPr>
          <w:sz w:val="24"/>
          <w:szCs w:val="24"/>
          <w:color w:val="auto"/>
        </w:rPr>
      </w:pPr>
    </w:p>
    <w:p>
      <w:pPr>
        <w:ind w:right="80" w:firstLine="396"/>
        <w:spacing w:after="0" w:line="17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1" w:lineRule="exact"/>
        <w:rPr>
          <w:sz w:val="24"/>
          <w:szCs w:val="24"/>
          <w:color w:val="auto"/>
        </w:rPr>
      </w:pPr>
    </w:p>
    <w:p>
      <w:pPr>
        <w:ind w:left="400"/>
        <w:spacing w:after="0" w:line="138" w:lineRule="exact"/>
        <w:tabs>
          <w:tab w:leader="none" w:pos="5920" w:val="left"/>
        </w:tabs>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92" w:lineRule="exact"/>
        <w:rPr>
          <w:sz w:val="24"/>
          <w:szCs w:val="24"/>
          <w:color w:val="auto"/>
        </w:rPr>
      </w:pPr>
    </w:p>
    <w:p>
      <w:pPr>
        <w:ind w:right="760" w:firstLine="396"/>
        <w:spacing w:after="0" w:line="289" w:lineRule="auto"/>
        <w:rPr>
          <w:sz w:val="20"/>
          <w:szCs w:val="20"/>
          <w:color w:val="auto"/>
        </w:rPr>
      </w:pPr>
      <w:r>
        <w:rPr>
          <w:rFonts w:ascii="Times New Roman" w:cs="Times New Roman" w:eastAsia="Times New Roman" w:hAnsi="Times New Roman"/>
          <w:sz w:val="12"/>
          <w:szCs w:val="12"/>
          <w:color w:val="auto"/>
        </w:rPr>
        <w:t>As of June 30, 2022, the last business day of the registrant’s most recently completed second fiscal quarter, the aggregate market value of its voting and non-voting common stock held by non-affiliates was $1,384,477,672, based on the last reported sale price of the registrant’s common stock on that date.</w:t>
      </w:r>
    </w:p>
    <w:p>
      <w:pPr>
        <w:spacing w:after="0" w:line="1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2"/>
          <w:szCs w:val="12"/>
          <w:color w:val="auto"/>
        </w:rPr>
        <w:t>On February 10, 2023, 35,841,933 shares of the registrant’s common stock were outstanding.</w:t>
      </w:r>
    </w:p>
    <w:p>
      <w:pPr>
        <w:spacing w:after="0" w:line="60"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____________________________________________________________________________</w:t>
      </w:r>
    </w:p>
    <w:p>
      <w:pPr>
        <w:spacing w:after="0" w:line="58"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62" w:lineRule="exact"/>
        <w:rPr>
          <w:sz w:val="24"/>
          <w:szCs w:val="24"/>
          <w:color w:val="auto"/>
        </w:rPr>
      </w:pPr>
    </w:p>
    <w:p>
      <w:pPr>
        <w:ind w:right="40" w:firstLine="396"/>
        <w:spacing w:after="0" w:line="282" w:lineRule="auto"/>
        <w:rPr>
          <w:sz w:val="20"/>
          <w:szCs w:val="20"/>
          <w:color w:val="auto"/>
        </w:rPr>
      </w:pPr>
      <w:r>
        <w:rPr>
          <w:rFonts w:ascii="Times New Roman" w:cs="Times New Roman" w:eastAsia="Times New Roman" w:hAnsi="Times New Roman"/>
          <w:sz w:val="12"/>
          <w:szCs w:val="12"/>
          <w:color w:val="auto"/>
        </w:rPr>
        <w:t>The information required by Part III of this Annual Report on Form 10-K, to the extent not set forth herein, is incorporated herein by reference from the registrant’s definitive proxy statement relating to the Annual Meeting of Stockholders to be held in 2023, which definitive proxy statement shall be filed with the Securities and Exchange Commission within 120 days after the end of the fiscal year to which this Annual Report on Form 10-K relates.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854075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4445</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ind w:left="3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40" w:type="dxa"/>
            <w:vAlign w:val="bottom"/>
            <w:gridSpan w:val="15"/>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1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6"/>
              </w:rPr>
              <w:t>For the Fiscal Year Ended December 31, 2022</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20" w:type="dxa"/>
            <w:vAlign w:val="bottom"/>
            <w:gridSpan w:val="16"/>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6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00FF"/>
                <w:w w:val="98"/>
              </w:rPr>
              <w:t>Part I</w:t>
            </w:r>
          </w:p>
        </w:tc>
        <w:tc>
          <w:tcPr>
            <w:tcW w:w="4620" w:type="dxa"/>
            <w:vAlign w:val="bottom"/>
            <w:gridSpan w:val="9"/>
            <w:vMerge w:val="restart"/>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400" w:type="dxa"/>
            <w:vAlign w:val="bottom"/>
            <w:tcBorders>
              <w:bottom w:val="single" w:sz="8" w:color="0000FF"/>
            </w:tcBorders>
            <w:vMerge w:val="continue"/>
          </w:tcPr>
          <w:p>
            <w:pPr>
              <w:spacing w:after="0"/>
              <w:rPr>
                <w:sz w:val="13"/>
                <w:szCs w:val="13"/>
                <w:color w:val="auto"/>
              </w:rPr>
            </w:pPr>
          </w:p>
        </w:tc>
        <w:tc>
          <w:tcPr>
            <w:tcW w:w="4620" w:type="dxa"/>
            <w:vAlign w:val="bottom"/>
            <w:gridSpan w:val="9"/>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60" w:type="dxa"/>
            <w:vAlign w:val="bottom"/>
          </w:tcPr>
          <w:p>
            <w:pPr>
              <w:spacing w:after="0"/>
              <w:rPr>
                <w:sz w:val="16"/>
                <w:szCs w:val="16"/>
                <w:color w:val="auto"/>
              </w:rPr>
            </w:pP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Business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4"/>
              </w:rPr>
              <w:t>Item 1A.</w:t>
            </w: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Risk Factors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14</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5"/>
              </w:rPr>
              <w:t>Item 1B.</w:t>
            </w: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38</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2.</w:t>
            </w:r>
          </w:p>
        </w:tc>
        <w:tc>
          <w:tcPr>
            <w:tcW w:w="60" w:type="dxa"/>
            <w:vAlign w:val="bottom"/>
          </w:tcPr>
          <w:p>
            <w:pPr>
              <w:spacing w:after="0"/>
              <w:rPr>
                <w:sz w:val="16"/>
                <w:szCs w:val="16"/>
                <w:color w:val="auto"/>
              </w:rPr>
            </w:pP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Properties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38</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3.</w:t>
            </w:r>
          </w:p>
        </w:tc>
        <w:tc>
          <w:tcPr>
            <w:tcW w:w="60" w:type="dxa"/>
            <w:vAlign w:val="bottom"/>
          </w:tcPr>
          <w:p>
            <w:pPr>
              <w:spacing w:after="0"/>
              <w:rPr>
                <w:sz w:val="16"/>
                <w:szCs w:val="16"/>
                <w:color w:val="auto"/>
              </w:rPr>
            </w:pP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Legal Proceedings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38</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60" w:type="dxa"/>
            <w:vAlign w:val="bottom"/>
          </w:tcPr>
          <w:p>
            <w:pPr>
              <w:spacing w:after="0"/>
              <w:rPr>
                <w:sz w:val="16"/>
                <w:szCs w:val="16"/>
                <w:color w:val="auto"/>
              </w:rPr>
            </w:pP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39</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60" w:type="dxa"/>
            <w:vAlign w:val="bottom"/>
            <w:gridSpan w:val="11"/>
          </w:tcPr>
          <w:p>
            <w:pPr>
              <w:jc w:val="center"/>
              <w:ind w:right="4600"/>
              <w:spacing w:after="0"/>
              <w:rPr>
                <w:sz w:val="20"/>
                <w:szCs w:val="20"/>
                <w:color w:val="auto"/>
              </w:rPr>
            </w:pPr>
            <w:r>
              <w:rPr>
                <w:rFonts w:ascii="Times New Roman" w:cs="Times New Roman" w:eastAsia="Times New Roman" w:hAnsi="Times New Roman"/>
                <w:sz w:val="16"/>
                <w:szCs w:val="16"/>
                <w:b w:val="1"/>
                <w:bCs w:val="1"/>
                <w:color w:val="0000FF"/>
                <w:w w:val="98"/>
              </w:rPr>
              <w:t>Part II</w:t>
            </w:r>
          </w:p>
        </w:tc>
        <w:tc>
          <w:tcPr>
            <w:tcW w:w="6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5.</w:t>
            </w:r>
          </w:p>
        </w:tc>
        <w:tc>
          <w:tcPr>
            <w:tcW w:w="60" w:type="dxa"/>
            <w:vAlign w:val="bottom"/>
          </w:tcPr>
          <w:p>
            <w:pPr>
              <w:spacing w:after="0"/>
              <w:rPr>
                <w:sz w:val="16"/>
                <w:szCs w:val="16"/>
                <w:color w:val="auto"/>
              </w:rPr>
            </w:pP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40</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6.</w:t>
            </w:r>
          </w:p>
        </w:tc>
        <w:tc>
          <w:tcPr>
            <w:tcW w:w="60" w:type="dxa"/>
            <w:vAlign w:val="bottom"/>
          </w:tcPr>
          <w:p>
            <w:pPr>
              <w:spacing w:after="0"/>
              <w:rPr>
                <w:sz w:val="16"/>
                <w:szCs w:val="16"/>
                <w:color w:val="auto"/>
              </w:rPr>
            </w:pP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Reserved</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7.</w:t>
            </w:r>
          </w:p>
        </w:tc>
        <w:tc>
          <w:tcPr>
            <w:tcW w:w="60" w:type="dxa"/>
            <w:vAlign w:val="bottom"/>
          </w:tcPr>
          <w:p>
            <w:pPr>
              <w:spacing w:after="0"/>
              <w:rPr>
                <w:sz w:val="16"/>
                <w:szCs w:val="16"/>
                <w:color w:val="auto"/>
              </w:rPr>
            </w:pP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4"/>
              </w:rPr>
              <w:t>Item 7A.</w:t>
            </w: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59</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8.</w:t>
            </w:r>
          </w:p>
        </w:tc>
        <w:tc>
          <w:tcPr>
            <w:tcW w:w="60" w:type="dxa"/>
            <w:vAlign w:val="bottom"/>
          </w:tcPr>
          <w:p>
            <w:pPr>
              <w:spacing w:after="0"/>
              <w:rPr>
                <w:sz w:val="16"/>
                <w:szCs w:val="16"/>
                <w:color w:val="auto"/>
              </w:rPr>
            </w:pP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60</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9.</w:t>
            </w:r>
          </w:p>
        </w:tc>
        <w:tc>
          <w:tcPr>
            <w:tcW w:w="60" w:type="dxa"/>
            <w:vAlign w:val="bottom"/>
          </w:tcPr>
          <w:p>
            <w:pPr>
              <w:spacing w:after="0"/>
              <w:rPr>
                <w:sz w:val="16"/>
                <w:szCs w:val="16"/>
                <w:color w:val="auto"/>
              </w:rPr>
            </w:pP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4"/>
              </w:rPr>
              <w:t>Item 9A.</w:t>
            </w: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61</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5"/>
              </w:rPr>
              <w:t>Item 9B.</w:t>
            </w: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Other Information</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62</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0000FF"/>
              </w:rPr>
              <w:t>Part III</w:t>
            </w:r>
          </w:p>
        </w:tc>
        <w:tc>
          <w:tcPr>
            <w:tcW w:w="4560" w:type="dxa"/>
            <w:vAlign w:val="bottom"/>
            <w:gridSpan w:val="6"/>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10.</w:t>
            </w: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63</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11.</w:t>
            </w: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Executive Compensation</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63</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12.</w:t>
            </w: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63</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13.</w:t>
            </w: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63</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14.</w:t>
            </w: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Principal Accounting Fees and Services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63</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00" w:type="dxa"/>
            <w:vAlign w:val="bottom"/>
            <w:gridSpan w:val="13"/>
          </w:tcPr>
          <w:p>
            <w:pPr>
              <w:jc w:val="center"/>
              <w:ind w:right="4560"/>
              <w:spacing w:after="0"/>
              <w:rPr>
                <w:sz w:val="20"/>
                <w:szCs w:val="20"/>
                <w:color w:val="auto"/>
              </w:rPr>
            </w:pPr>
            <w:r>
              <w:rPr>
                <w:rFonts w:ascii="Times New Roman" w:cs="Times New Roman" w:eastAsia="Times New Roman" w:hAnsi="Times New Roman"/>
                <w:sz w:val="16"/>
                <w:szCs w:val="16"/>
                <w:b w:val="1"/>
                <w:bCs w:val="1"/>
                <w:color w:val="0000FF"/>
                <w:w w:val="96"/>
              </w:rPr>
              <w:t>Part IV</w:t>
            </w:r>
          </w:p>
        </w:tc>
        <w:tc>
          <w:tcPr>
            <w:tcW w:w="6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15.</w:t>
            </w:r>
          </w:p>
        </w:tc>
        <w:tc>
          <w:tcPr>
            <w:tcW w:w="4820" w:type="dxa"/>
            <w:vAlign w:val="bottom"/>
            <w:gridSpan w:val="15"/>
          </w:tcPr>
          <w:p>
            <w:pPr>
              <w:ind w:left="860"/>
              <w:spacing w:after="0"/>
              <w:rPr>
                <w:sz w:val="20"/>
                <w:szCs w:val="20"/>
                <w:color w:val="auto"/>
              </w:rPr>
            </w:pPr>
            <w:r>
              <w:rPr>
                <w:rFonts w:ascii="Times New Roman" w:cs="Times New Roman" w:eastAsia="Times New Roman" w:hAnsi="Times New Roman"/>
                <w:sz w:val="16"/>
                <w:szCs w:val="16"/>
                <w:color w:val="0000FF"/>
              </w:rPr>
              <w:t>Exhibits, Financial Statement Schedules</w:t>
            </w:r>
          </w:p>
        </w:tc>
        <w:tc>
          <w:tcPr>
            <w:tcW w:w="500" w:type="dxa"/>
            <w:vAlign w:val="bottom"/>
            <w:tcBorders>
              <w:top w:val="single" w:sz="8" w:color="0000FF"/>
            </w:tcBorders>
            <w:gridSpan w:val="5"/>
          </w:tcPr>
          <w:p>
            <w:pPr>
              <w:spacing w:after="0"/>
              <w:rPr>
                <w:sz w:val="16"/>
                <w:szCs w:val="16"/>
                <w:color w:val="auto"/>
              </w:rPr>
            </w:pPr>
          </w:p>
        </w:tc>
        <w:tc>
          <w:tcPr>
            <w:tcW w:w="4580" w:type="dxa"/>
            <w:vAlign w:val="bottom"/>
            <w:gridSpan w:val="7"/>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gridSpan w:val="3"/>
          </w:tcPr>
          <w:p>
            <w:pPr>
              <w:spacing w:after="0"/>
              <w:rPr>
                <w:sz w:val="20"/>
                <w:szCs w:val="20"/>
                <w:color w:val="auto"/>
              </w:rPr>
            </w:pPr>
            <w:r>
              <w:rPr>
                <w:rFonts w:ascii="Times New Roman" w:cs="Times New Roman" w:eastAsia="Times New Roman" w:hAnsi="Times New Roman"/>
                <w:sz w:val="16"/>
                <w:szCs w:val="16"/>
                <w:color w:val="0E32E1"/>
                <w:w w:val="71"/>
              </w:rPr>
              <w:t>F-1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16.</w:t>
            </w:r>
          </w:p>
        </w:tc>
        <w:tc>
          <w:tcPr>
            <w:tcW w:w="9900" w:type="dxa"/>
            <w:vAlign w:val="bottom"/>
            <w:gridSpan w:val="27"/>
          </w:tcPr>
          <w:p>
            <w:pPr>
              <w:ind w:left="860"/>
              <w:spacing w:after="0"/>
              <w:rPr>
                <w:sz w:val="20"/>
                <w:szCs w:val="20"/>
                <w:color w:val="auto"/>
              </w:rPr>
            </w:pPr>
            <w:r>
              <w:rPr>
                <w:rFonts w:ascii="Times New Roman" w:cs="Times New Roman" w:eastAsia="Times New Roman" w:hAnsi="Times New Roman"/>
                <w:sz w:val="16"/>
                <w:szCs w:val="16"/>
                <w:color w:val="0000FF"/>
              </w:rPr>
              <w:t>Form 10-K Summary</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135255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9" w:lineRule="exact"/>
        <w:rPr>
          <w:sz w:val="20"/>
          <w:szCs w:val="20"/>
          <w:color w:val="auto"/>
        </w:rPr>
      </w:pPr>
    </w:p>
    <w:p>
      <w:pPr>
        <w:ind w:right="80" w:firstLine="747"/>
        <w:spacing w:after="0" w:line="279" w:lineRule="auto"/>
        <w:rPr>
          <w:sz w:val="20"/>
          <w:szCs w:val="20"/>
          <w:color w:val="auto"/>
        </w:rPr>
      </w:pPr>
      <w:r>
        <w:rPr>
          <w:rFonts w:ascii="Times New Roman" w:cs="Times New Roman" w:eastAsia="Times New Roman" w:hAnsi="Times New Roman"/>
          <w:sz w:val="16"/>
          <w:szCs w:val="16"/>
          <w:i w:val="1"/>
          <w:iCs w:val="1"/>
          <w:color w:val="auto"/>
        </w:rPr>
        <w:t>This Annual Report on Form 10-K contains forward-looking statements within the meaning of Section 27A of the Securities Act of 1933, as amended, or the Securities Act, and Section 21E of the Securities Exchange Act of 1934, as amended, or the Exchange Act, particularly in the discussions under the captions “Business,” “Risk Factors” and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our competitive position and the COVID-19 pandemic. You can identify many forward-looking statements by words such as “may,” “will,” “would,” “should,” “could,” “expects,” “aim,”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in the forward-looking statements. Such risks and uncertainties include, among others, those discussed under the caption “Risk Factors” of this Annual Report on Form 10-K, as well as in our consolidated financial statements, related notes, and the other information appearing elsewhere in this report and our other filings with the Securities and Exchange Commission, or the SEC. Given these risks and uncertainties, you should not place undue reliance on any forward-looking statements. The forward-looking statements contained in this Annual Report on Form 10-K are made only as of the date hereof, and we do not intend, and, except as required by law, we undertake no obligation, to update any of our forward-looking statements contained herein after the date of this report to reflect actual results or future events or circumstances.</w:t>
      </w:r>
    </w:p>
    <w:p>
      <w:pPr>
        <w:spacing w:after="0" w:line="300" w:lineRule="exact"/>
        <w:rPr>
          <w:sz w:val="20"/>
          <w:szCs w:val="20"/>
          <w:color w:val="auto"/>
        </w:rPr>
      </w:pPr>
    </w:p>
    <w:p>
      <w:pPr>
        <w:ind w:firstLine="747"/>
        <w:spacing w:after="0" w:line="251"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Annual Report on Form 10-K to the terms “Shutterstock,” “the Company,” “we,” “our” and “us” refer to Shutterstock, Inc. and its subsidiaries. “Shutterstock,” “Shutterstock Editorial,” “Asset Assurance,” “Offset,” “Bigstock,” “Rex Features,” “PremiumBeat,” “TurboSquid,” “PicMonkey,” “Pattern89,” “Shotzr,” “Pond5,” “Splash News,” “Shutterstock Studios” and “Shutterstock Editor” and their logos are registered trademarks and are the property of Shutterstock, Inc. or one of our subsidiaries. All other trademarks, service marks and trade names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1" w:lineRule="exact"/>
        <w:rPr>
          <w:sz w:val="20"/>
          <w:szCs w:val="20"/>
          <w:color w:val="auto"/>
        </w:rPr>
      </w:pPr>
    </w:p>
    <w:p>
      <w:pPr>
        <w:ind w:right="360" w:firstLine="396"/>
        <w:spacing w:after="0" w:line="250"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a global creative platform for transformative brands and media companies. The Company’s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key content offerings include:</w:t>
      </w:r>
    </w:p>
    <w:p>
      <w:pPr>
        <w:spacing w:after="0" w:line="149" w:lineRule="exact"/>
        <w:rPr>
          <w:sz w:val="20"/>
          <w:szCs w:val="20"/>
          <w:color w:val="auto"/>
        </w:rPr>
      </w:pPr>
    </w:p>
    <w:p>
      <w:pPr>
        <w:ind w:left="800" w:hanging="320"/>
        <w:spacing w:after="0" w:line="269" w:lineRule="auto"/>
        <w:tabs>
          <w:tab w:leader="none" w:pos="7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63" w:lineRule="exact"/>
        <w:rPr>
          <w:rFonts w:ascii="Times New Roman" w:cs="Times New Roman" w:eastAsia="Times New Roman" w:hAnsi="Times New Roman"/>
          <w:sz w:val="18"/>
          <w:szCs w:val="18"/>
          <w:color w:val="auto"/>
        </w:rPr>
      </w:pPr>
    </w:p>
    <w:p>
      <w:pPr>
        <w:ind w:left="800" w:right="200" w:hanging="320"/>
        <w:spacing w:after="0" w:line="269" w:lineRule="auto"/>
        <w:tabs>
          <w:tab w:leader="none" w:pos="7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63" w:lineRule="exact"/>
        <w:rPr>
          <w:rFonts w:ascii="Times New Roman" w:cs="Times New Roman" w:eastAsia="Times New Roman" w:hAnsi="Times New Roman"/>
          <w:sz w:val="18"/>
          <w:szCs w:val="18"/>
          <w:color w:val="auto"/>
        </w:rPr>
      </w:pPr>
    </w:p>
    <w:p>
      <w:pPr>
        <w:ind w:left="800" w:hanging="320"/>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09" w:lineRule="exact"/>
        <w:rPr>
          <w:rFonts w:ascii="Times New Roman" w:cs="Times New Roman" w:eastAsia="Times New Roman" w:hAnsi="Times New Roman"/>
          <w:sz w:val="18"/>
          <w:szCs w:val="18"/>
          <w:color w:val="auto"/>
        </w:rPr>
      </w:pPr>
    </w:p>
    <w:p>
      <w:pPr>
        <w:ind w:left="800" w:right="180" w:hanging="320"/>
        <w:spacing w:after="0" w:line="269" w:lineRule="auto"/>
        <w:tabs>
          <w:tab w:leader="none" w:pos="7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200" w:lineRule="exact"/>
        <w:rPr>
          <w:sz w:val="20"/>
          <w:szCs w:val="20"/>
          <w:color w:val="auto"/>
        </w:rPr>
      </w:pPr>
    </w:p>
    <w:p>
      <w:pPr>
        <w:spacing w:after="0" w:line="272" w:lineRule="exact"/>
        <w:rPr>
          <w:sz w:val="20"/>
          <w:szCs w:val="20"/>
          <w:color w:val="auto"/>
        </w:rPr>
      </w:pPr>
    </w:p>
    <w:p>
      <w:pPr>
        <w:ind w:right="240" w:firstLine="396"/>
        <w:spacing w:after="0" w:line="269" w:lineRule="auto"/>
        <w:rPr>
          <w:sz w:val="20"/>
          <w:szCs w:val="20"/>
          <w:color w:val="auto"/>
        </w:rPr>
      </w:pPr>
      <w:r>
        <w:rPr>
          <w:rFonts w:ascii="Times New Roman" w:cs="Times New Roman" w:eastAsia="Times New Roman" w:hAnsi="Times New Roman"/>
          <w:sz w:val="18"/>
          <w:szCs w:val="18"/>
          <w:color w:val="auto"/>
        </w:rPr>
        <w:t>Our offerings are distributed to customers under the following brands: Shutterstock; Pond5; TurboSquid; Offset; PremiumBeat; Bigstock; PicMonkey; and Splash News.</w:t>
      </w:r>
    </w:p>
    <w:p>
      <w:pPr>
        <w:spacing w:after="0" w:line="103" w:lineRule="exact"/>
        <w:rPr>
          <w:sz w:val="20"/>
          <w:szCs w:val="20"/>
          <w:color w:val="auto"/>
        </w:rPr>
      </w:pPr>
    </w:p>
    <w:p>
      <w:pPr>
        <w:ind w:right="60" w:firstLine="396"/>
        <w:spacing w:after="0" w:line="253" w:lineRule="auto"/>
        <w:rPr>
          <w:sz w:val="20"/>
          <w:szCs w:val="20"/>
          <w:color w:val="auto"/>
        </w:rPr>
      </w:pPr>
      <w:r>
        <w:rPr>
          <w:rFonts w:ascii="Times New Roman" w:cs="Times New Roman" w:eastAsia="Times New Roman" w:hAnsi="Times New Roman"/>
          <w:sz w:val="18"/>
          <w:szCs w:val="18"/>
          <w:color w:val="auto"/>
        </w:rPr>
        <w:t>Shutterstock, our flagship brand, includes various content types such as image, footage, music and editorial. For customers seeking specialized solutions, Shutterstock Studios extends our offerings by providing custom, high-quality content matched with production tools and services at scale. In addition, our collection of images, footage clips, music tracks and 3D models is also distributed through our Computer Vision offering which is used by large technology companies to train AI models.</w:t>
      </w:r>
    </w:p>
    <w:p>
      <w:pPr>
        <w:spacing w:after="0" w:line="116" w:lineRule="exact"/>
        <w:rPr>
          <w:sz w:val="20"/>
          <w:szCs w:val="20"/>
          <w:color w:val="auto"/>
        </w:rPr>
      </w:pPr>
    </w:p>
    <w:p>
      <w:pPr>
        <w:ind w:firstLine="396"/>
        <w:spacing w:after="0" w:line="249" w:lineRule="auto"/>
        <w:rPr>
          <w:sz w:val="20"/>
          <w:szCs w:val="20"/>
          <w:color w:val="auto"/>
        </w:rPr>
      </w:pPr>
      <w:r>
        <w:rPr>
          <w:rFonts w:ascii="Times New Roman" w:cs="Times New Roman" w:eastAsia="Times New Roman" w:hAnsi="Times New Roman"/>
          <w:sz w:val="18"/>
          <w:szCs w:val="18"/>
          <w:color w:val="auto"/>
        </w:rPr>
        <w:t>Pond5 is a video-first content marketplace which expands the Company’s content offerings across footage, image and music. PicMonkey is a leading online graphic design and image editing platform. TurboSquid operates a marketplace that offers more than one million 3D models and a 2 dimensional (“2D”) marketplace derived from 3D objects. Our Offset brand provides authentic and exceptional content for high-impact use cases that require extraordinary images, featuring work from top assignment photographers and illustrators from around the world. PremiumBeat offers exclusive high-quality music tracks and provides producers, filmmakers and marketers the ability to search handpicked production music from the world’s leading composers. Bigstock maintains a separate content library tailored for creators seeking to incorporate cost-effective imagery into their projects.</w:t>
      </w:r>
    </w:p>
    <w:p>
      <w:pPr>
        <w:spacing w:after="0" w:line="110" w:lineRule="exact"/>
        <w:rPr>
          <w:sz w:val="20"/>
          <w:szCs w:val="20"/>
          <w:color w:val="auto"/>
        </w:rPr>
      </w:pPr>
    </w:p>
    <w:p>
      <w:pPr>
        <w:ind w:right="100" w:firstLine="396"/>
        <w:spacing w:after="0" w:line="248" w:lineRule="auto"/>
        <w:rPr>
          <w:sz w:val="20"/>
          <w:szCs w:val="20"/>
          <w:color w:val="auto"/>
        </w:rPr>
      </w:pPr>
      <w:r>
        <w:rPr>
          <w:rFonts w:ascii="Times New Roman" w:cs="Times New Roman" w:eastAsia="Times New Roman" w:hAnsi="Times New Roman"/>
          <w:sz w:val="18"/>
          <w:szCs w:val="18"/>
          <w:color w:val="auto"/>
        </w:rPr>
        <w:t>The Company also offers its content customers additional services through our Creative Flow Applications Suite (“Creative Flow”) and an Application Programming Interface (“API”) driven infrastructure to further enhance and streamline our customers’ workflow and project management needs. Creative Flow consists of the Company’s suite of workflow applications that connect our content library with a powerful editing and design platform, easy-to-use collaboration tools, and artificial intelligence (“AI”) powered insights so that creatives and marketers can make, share, validate and organize their creative work all in one place. Our API allows businesses to gain access to our content without leaving their platform. Through our API, content can be integrated into the platforms of our Enterprise sales channel customers and can also be distributed to end users through our partnerships with several social media, software and marketing technology platforms.</w:t>
      </w:r>
    </w:p>
    <w:p>
      <w:pPr>
        <w:spacing w:after="0" w:line="125" w:lineRule="exact"/>
        <w:rPr>
          <w:sz w:val="20"/>
          <w:szCs w:val="20"/>
          <w:color w:val="auto"/>
        </w:rPr>
      </w:pPr>
    </w:p>
    <w:p>
      <w:pPr>
        <w:ind w:right="20" w:firstLine="396"/>
        <w:spacing w:after="0" w:line="249" w:lineRule="auto"/>
        <w:rPr>
          <w:sz w:val="20"/>
          <w:szCs w:val="20"/>
          <w:color w:val="auto"/>
        </w:rPr>
      </w:pPr>
      <w:r>
        <w:rPr>
          <w:rFonts w:ascii="Times New Roman" w:cs="Times New Roman" w:eastAsia="Times New Roman" w:hAnsi="Times New Roman"/>
          <w:sz w:val="18"/>
          <w:szCs w:val="18"/>
          <w:color w:val="auto"/>
        </w:rPr>
        <w:t>We believe that we benefit from scale and network effects between customers and contributors. We have managed to build a world class library of images, footage clips, music and 3D models, sourced from our vast network of contributors. Our extensive content library and contributor network enables us to attract a global and diverse customer base representing businesses of all sizes and from all major industries. Our robust content and rich database continue to attract more customers and draw more contributors, which enhances our network effects and global reach. We believe the success of this network effect is facilitated by the trust that users place in Shutterstock to maintain the quality and integrity of our branded marketplace, and our commitment to seamless integration into users’ creative workflows.</w:t>
      </w: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firstLine="396"/>
        <w:spacing w:after="0" w:line="283" w:lineRule="auto"/>
        <w:rPr>
          <w:sz w:val="20"/>
          <w:szCs w:val="20"/>
          <w:color w:val="auto"/>
        </w:rPr>
      </w:pPr>
      <w:r>
        <w:rPr>
          <w:rFonts w:ascii="Times New Roman" w:cs="Times New Roman" w:eastAsia="Times New Roman" w:hAnsi="Times New Roman"/>
          <w:sz w:val="16"/>
          <w:szCs w:val="16"/>
          <w:color w:val="auto"/>
        </w:rPr>
        <w:t>We believe that our licensing model and creative platform drive a high volume of download activity that in turn provides a high volume of search, download and other customer behavioral data that enables us to continuously improve the quality and accuracy of our proprietary search algorithms, including keyword, search localization and similar image identification, and encourages the creation and contribution of new content to meet our customers’ needs. We enable users to search and discover content to meet their unique needs by searching our collection and previewing our content alongside its propensity to perform and global utilization, at no cost prior to licensing. We also leverage, to the greatest extent possible, the global nature of our user interfaces and marketing efforts, including local languages, currencies and payment methods, as well as our effective use of current and emerging technology to attract and retain customers and contributors. We typically offer a royalty-free, non-exclusive license, and the processes we maintain to properly license content and the indemnification protections we provide allow individuals and businesses of all sizes, including media agencies, publishers, production companies and creative service providers, to confidently utilize such content for their unique commercial or editorial needs.</w:t>
      </w:r>
    </w:p>
    <w:p>
      <w:pPr>
        <w:spacing w:after="0" w:line="295" w:lineRule="exact"/>
        <w:rPr>
          <w:sz w:val="20"/>
          <w:szCs w:val="20"/>
          <w:color w:val="auto"/>
        </w:rPr>
      </w:pPr>
    </w:p>
    <w:p>
      <w:pPr>
        <w:ind w:right="380" w:firstLine="396"/>
        <w:spacing w:after="0" w:line="257" w:lineRule="auto"/>
        <w:rPr>
          <w:sz w:val="20"/>
          <w:szCs w:val="20"/>
          <w:color w:val="auto"/>
        </w:rPr>
      </w:pPr>
      <w:r>
        <w:rPr>
          <w:rFonts w:ascii="Times New Roman" w:cs="Times New Roman" w:eastAsia="Times New Roman" w:hAnsi="Times New Roman"/>
          <w:sz w:val="18"/>
          <w:szCs w:val="18"/>
          <w:color w:val="auto"/>
        </w:rPr>
        <w:t>In October 2022, Shutterstock announced our strategic partnership with OpenAI, an AI research and deployment company. In 2023, Shutterstock integrated Dall-E 2, OpenAI’s tool for AI-generated content into the Shutterstock platform to enable our customers to input keywords and generate unique images based on their specific criteria.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 Channels</w:t>
      </w:r>
    </w:p>
    <w:p>
      <w:pPr>
        <w:spacing w:after="0" w:line="112" w:lineRule="exact"/>
        <w:rPr>
          <w:sz w:val="20"/>
          <w:szCs w:val="20"/>
          <w:color w:val="auto"/>
        </w:rPr>
      </w:pPr>
    </w:p>
    <w:p>
      <w:pPr>
        <w:ind w:right="20" w:firstLine="396"/>
        <w:spacing w:after="0" w:line="248" w:lineRule="auto"/>
        <w:rPr>
          <w:sz w:val="20"/>
          <w:szCs w:val="20"/>
          <w:color w:val="auto"/>
        </w:rPr>
      </w:pPr>
      <w:r>
        <w:rPr>
          <w:rFonts w:ascii="Times New Roman" w:cs="Times New Roman" w:eastAsia="Times New Roman" w:hAnsi="Times New Roman"/>
          <w:sz w:val="18"/>
          <w:szCs w:val="18"/>
          <w:color w:val="auto"/>
        </w:rPr>
        <w:t>Our online platform provides a freely searchable collection of content that our users can license, download and incorporate into their work. We encourage all our customers to take advantage of our creative platform’s AI-Powered search capabilities, our credit card-based payment options and the immediate digital delivery of licensed content. We strive to offer simple, transparent purchase options designed to cater to customers’ specific needs. We believe the ability to search for, select, license, download and customize content on our creative flow platform offers our users a streamlined workflow, convenience and speed, and enables us to achieve greater economies of scale. We also have contractual arrangements with third-party resellers and affiliates to license content to customers in markets where we may not have a significant sales and marketing presence. Certain third-party resellers and affiliates sell our products directly to end-users and remit amounts to us based on the type of product sold.</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Customer sales are diversified across the following channels:</w:t>
      </w:r>
    </w:p>
    <w:p>
      <w:pPr>
        <w:spacing w:after="0" w:line="106" w:lineRule="exact"/>
        <w:rPr>
          <w:sz w:val="20"/>
          <w:szCs w:val="20"/>
          <w:color w:val="auto"/>
        </w:rPr>
      </w:pPr>
    </w:p>
    <w:p>
      <w:pPr>
        <w:ind w:left="960" w:hanging="401"/>
        <w:spacing w:after="0" w:line="254"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E-commerce: </w:t>
      </w:r>
      <w:r>
        <w:rPr>
          <w:rFonts w:ascii="Times New Roman" w:cs="Times New Roman" w:eastAsia="Times New Roman" w:hAnsi="Times New Roman"/>
          <w:sz w:val="18"/>
          <w:szCs w:val="18"/>
          <w:color w:val="auto"/>
        </w:rPr>
        <w:t>The majority of our customers license content directly through our self-service web properties. Customers in our e-commerce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channel have the flexibility to purchase a subscription-based plan that is paid on either a monthly or annual basis or to license content on a transactional basis. These customers generally license content under our standard or enhanced licenses, with additional licensing options available to meet customers’ individual needs.</w:t>
      </w:r>
    </w:p>
    <w:p>
      <w:pPr>
        <w:spacing w:after="0" w:line="73" w:lineRule="exact"/>
        <w:rPr>
          <w:rFonts w:ascii="Times New Roman" w:cs="Times New Roman" w:eastAsia="Times New Roman" w:hAnsi="Times New Roman"/>
          <w:sz w:val="18"/>
          <w:szCs w:val="18"/>
          <w:color w:val="auto"/>
        </w:rPr>
      </w:pPr>
    </w:p>
    <w:p>
      <w:pPr>
        <w:ind w:left="960" w:hanging="401"/>
        <w:spacing w:after="0" w:line="248"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Enterprise: </w:t>
      </w:r>
      <w:r>
        <w:rPr>
          <w:rFonts w:ascii="Times New Roman" w:cs="Times New Roman" w:eastAsia="Times New Roman" w:hAnsi="Times New Roman"/>
          <w:sz w:val="18"/>
          <w:szCs w:val="18"/>
          <w:color w:val="auto"/>
        </w:rPr>
        <w:t>We also have a base of customers with unique content, licensing and workflow needs. These customers benefit from communication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dedicated sales,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 Customers in our enterprise sales channel may also benefit from access to (i) Shutterstock Editorial, which includes our library of editorial images and videos, (ii) Shutterstock Studios, our offering which provides custom, high-quality content matched with production tools and services at scale, and (iii) Computer Vision, our offering which provides metadata associated with our content collection, used to train AI models. Our range of solutions, including the depth of our API platform integrations, appeals to a broad and diverse customer base and enables us to adapt and evolve with the needs of our more high touch clients to deliver capabilities that embed deep within their workflows.</w:t>
      </w:r>
    </w:p>
    <w:p>
      <w:pPr>
        <w:spacing w:after="0" w:line="200" w:lineRule="exact"/>
        <w:rPr>
          <w:sz w:val="20"/>
          <w:szCs w:val="20"/>
          <w:color w:val="auto"/>
        </w:rPr>
      </w:pPr>
    </w:p>
    <w:p>
      <w:pPr>
        <w:spacing w:after="0" w:line="3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Revenues generated from each of the sales channels are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6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5"/>
        </w:trPr>
        <w:tc>
          <w:tcPr>
            <w:tcW w:w="6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501,384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490,212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412,521</w:t>
            </w:r>
          </w:p>
        </w:tc>
      </w:tr>
      <w:tr>
        <w:trPr>
          <w:trHeight w:val="20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326,442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283,203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254,165</w:t>
            </w:r>
          </w:p>
        </w:tc>
      </w:tr>
      <w:tr>
        <w:trPr>
          <w:trHeight w:val="231"/>
        </w:trPr>
        <w:tc>
          <w:tcPr>
            <w:tcW w:w="6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827,826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773,415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666,686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An important driver of our growth is customer acquisition, which we achieve primarily through online marketing efforts and directly through our sales force. Online marketing includes paid search, online display advertising, print advertising, trade shows, email marketing, direct mail, affiliate marketing, public relations, social media and partnerships. Over the past several years, our investments in marketing have represented a significant percentage of revenue. This spend considers, among other things, the blended average customer lifetime value across our various purchase options so we can manage customer acquisition costs and aim to achieve targeted returns.</w:t>
      </w:r>
    </w:p>
    <w:p>
      <w:pPr>
        <w:spacing w:after="0" w:line="122" w:lineRule="exact"/>
        <w:rPr>
          <w:sz w:val="20"/>
          <w:szCs w:val="20"/>
          <w:color w:val="auto"/>
        </w:rPr>
      </w:pPr>
    </w:p>
    <w:p>
      <w:pPr>
        <w:ind w:firstLine="396"/>
        <w:spacing w:after="0" w:line="249" w:lineRule="auto"/>
        <w:rPr>
          <w:sz w:val="20"/>
          <w:szCs w:val="20"/>
          <w:color w:val="auto"/>
        </w:rPr>
      </w:pPr>
      <w:r>
        <w:rPr>
          <w:rFonts w:ascii="Times New Roman" w:cs="Times New Roman" w:eastAsia="Times New Roman" w:hAnsi="Times New Roman"/>
          <w:sz w:val="18"/>
          <w:szCs w:val="18"/>
          <w:color w:val="auto"/>
        </w:rPr>
        <w:t>We believe that another important driver of growth is the quality of the user experience we provide on our websites, especially the efficiency and speed with which our search interfaces and algorithms help customers find and download the content that they need, the degree to which our websites have been localized for our global user base, the degree to which we make use of the large quantity of data we collect about image, footage and music and search patterns, and the security of user information on our platform. To this end, we have invested aggressively in product development and cloud-based hosting infrastructure, and we intend to continue to invest in these areas, to the extent that we can improve the customer experience and increase the efficiency with which we deploy new products and features.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12" w:lineRule="exact"/>
        <w:rPr>
          <w:sz w:val="20"/>
          <w:szCs w:val="20"/>
          <w:color w:val="auto"/>
        </w:rPr>
      </w:pPr>
    </w:p>
    <w:p>
      <w:pPr>
        <w:ind w:right="100" w:firstLine="396"/>
        <w:spacing w:after="0" w:line="253" w:lineRule="auto"/>
        <w:rPr>
          <w:sz w:val="20"/>
          <w:szCs w:val="20"/>
          <w:color w:val="auto"/>
        </w:rPr>
      </w:pPr>
      <w:r>
        <w:rPr>
          <w:rFonts w:ascii="Times New Roman" w:cs="Times New Roman" w:eastAsia="Times New Roman" w:hAnsi="Times New Roman"/>
          <w:sz w:val="18"/>
          <w:szCs w:val="18"/>
          <w:color w:val="auto"/>
        </w:rPr>
        <w:t>We serve a diverse array of customers across a variety of industries, organizational sizes and geographies. For the year ended December 31, 2022, over 2.3 million customers in more than 150 countries licensed revenue-generating content, with approximately 43%, 29% and 28% of revenue coming from customers in North America, Europe and the rest of the world, respectively. Our top 25 customers in the aggregate accounted for less than 10% of our revenue in 2022. Our customers are typically classified among three categories, as follows:</w:t>
      </w:r>
    </w:p>
    <w:p>
      <w:pPr>
        <w:spacing w:after="0" w:line="73" w:lineRule="exact"/>
        <w:rPr>
          <w:sz w:val="20"/>
          <w:szCs w:val="20"/>
          <w:color w:val="auto"/>
        </w:rPr>
      </w:pPr>
    </w:p>
    <w:p>
      <w:pPr>
        <w:ind w:left="960" w:right="60" w:hanging="401"/>
        <w:spacing w:after="0" w:line="252"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Corporate Professionals and Organizations. </w:t>
      </w:r>
      <w:r>
        <w:rPr>
          <w:rFonts w:ascii="Times New Roman" w:cs="Times New Roman" w:eastAsia="Times New Roman" w:hAnsi="Times New Roman"/>
          <w:sz w:val="18"/>
          <w:szCs w:val="18"/>
          <w:color w:val="auto"/>
        </w:rPr>
        <w:t>Marketing and communications professionals incorporate licensed content in the work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produce for their organizational or clients’ business communications. Whether providing graphic design, web design, interactive design, advertising, public relations, communications or marketing materials, these professional users and teams support organizations of various sizes including the largest global agencies, large not-for-profit organizations and Fortune 500 companies. These customers may also utilize our content library, through our Computer Vision offering, to train their AI models.</w:t>
      </w:r>
    </w:p>
    <w:p>
      <w:pPr>
        <w:spacing w:after="0" w:line="73" w:lineRule="exact"/>
        <w:rPr>
          <w:rFonts w:ascii="Times New Roman" w:cs="Times New Roman" w:eastAsia="Times New Roman" w:hAnsi="Times New Roman"/>
          <w:sz w:val="18"/>
          <w:szCs w:val="18"/>
          <w:color w:val="auto"/>
        </w:rPr>
      </w:pPr>
    </w:p>
    <w:p>
      <w:pPr>
        <w:jc w:val="both"/>
        <w:ind w:left="960" w:right="200" w:hanging="401"/>
        <w:spacing w:after="0" w:line="259"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Media and Broadcast Companies. </w:t>
      </w:r>
      <w:r>
        <w:rPr>
          <w:rFonts w:ascii="Times New Roman" w:cs="Times New Roman" w:eastAsia="Times New Roman" w:hAnsi="Times New Roman"/>
          <w:sz w:val="18"/>
          <w:szCs w:val="18"/>
          <w:color w:val="auto"/>
        </w:rPr>
        <w:t>Media organizations and professionals incorporate licensed content into their work, which includes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publications, newspapers, books, magazines, television and film, as well as to market their products effectively. Our media and broadcast users range from independent bloggers to multi-national publishing, broadcast and production organizations.</w:t>
      </w:r>
    </w:p>
    <w:p>
      <w:pPr>
        <w:spacing w:after="0" w:line="68" w:lineRule="exact"/>
        <w:rPr>
          <w:rFonts w:ascii="Times New Roman" w:cs="Times New Roman" w:eastAsia="Times New Roman" w:hAnsi="Times New Roman"/>
          <w:sz w:val="18"/>
          <w:szCs w:val="18"/>
          <w:color w:val="auto"/>
        </w:rPr>
      </w:pPr>
    </w:p>
    <w:p>
      <w:pPr>
        <w:ind w:left="960" w:right="20" w:hanging="401"/>
        <w:spacing w:after="0" w:line="254"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Small and Medium-Sized Businesses and Individual Creators. </w:t>
      </w:r>
      <w:r>
        <w:rPr>
          <w:rFonts w:ascii="Times New Roman" w:cs="Times New Roman" w:eastAsia="Times New Roman" w:hAnsi="Times New Roman"/>
          <w:sz w:val="18"/>
          <w:szCs w:val="18"/>
          <w:color w:val="auto"/>
        </w:rPr>
        <w:t>Organizations of all sizes utilize creative content for a wide range of internal-and external-use communications such as websites, print and digital advertisements, merchandise, brochures, employee communications, newsletters, social media, email marketing campaigns and other presentations. These organizations and users vary in size and type of organization and include casual creatives ranging from sole proprietors to social media influencers.</w:t>
      </w:r>
    </w:p>
    <w:p>
      <w:pPr>
        <w:spacing w:after="0" w:line="117" w:lineRule="exact"/>
        <w:rPr>
          <w:sz w:val="20"/>
          <w:szCs w:val="20"/>
          <w:color w:val="auto"/>
        </w:rPr>
      </w:pPr>
    </w:p>
    <w:p>
      <w:pPr>
        <w:ind w:firstLine="396"/>
        <w:spacing w:after="0" w:line="283" w:lineRule="auto"/>
        <w:rPr>
          <w:sz w:val="20"/>
          <w:szCs w:val="20"/>
          <w:color w:val="auto"/>
        </w:rPr>
      </w:pPr>
      <w:r>
        <w:rPr>
          <w:rFonts w:ascii="Times New Roman" w:cs="Times New Roman" w:eastAsia="Times New Roman" w:hAnsi="Times New Roman"/>
          <w:sz w:val="16"/>
          <w:szCs w:val="16"/>
          <w:color w:val="auto"/>
        </w:rPr>
        <w:t>As the use cases for our creative solutions expand, we believe our customers are seeking alternative means to consume our offerings. As a result, we have seen continued demand for our monthly subscription products, including our suite of multi-asset subscriptions, launched in 2021. These multi-asset products are credit-based and enable customers to license images, footage and music in a single subscription. Our monthly subscriptions provide for either a fixed number of content licenses or credits that may be used to download content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firstLine="396"/>
        <w:spacing w:after="0" w:line="269" w:lineRule="auto"/>
        <w:rPr>
          <w:sz w:val="20"/>
          <w:szCs w:val="20"/>
          <w:color w:val="auto"/>
        </w:rPr>
      </w:pPr>
      <w:r>
        <w:rPr>
          <w:rFonts w:ascii="Times New Roman" w:cs="Times New Roman" w:eastAsia="Times New Roman" w:hAnsi="Times New Roman"/>
          <w:sz w:val="18"/>
          <w:szCs w:val="18"/>
          <w:color w:val="auto"/>
        </w:rPr>
        <w:t>Customers that purchase one of our monthly recurring products for a continuous period of at least three months are considered subscribers. Our quarterly number of subscribers and subscriber revenue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68580</wp:posOffset>
            </wp:positionV>
            <wp:extent cx="5024755" cy="209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24755" cy="209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0" w:firstLine="6"/>
        <w:spacing w:after="0" w:line="262" w:lineRule="auto"/>
        <w:tabs>
          <w:tab w:leader="none" w:pos="10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Subscribers and Subscriber Revenue from acquisitions are included in these metrics beginning twelve months after the closing of the respective business combination. Accordingly, the metrics include Subscribers and Subscriber revenue from TurboSquid beginning February 2022 and from PicMonkey beginning September 2022. These metrics exclude the respective counts and revenues from our acquisitions of Pond5 and Splash News.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Contributors and Content Review Process</w:t>
      </w:r>
    </w:p>
    <w:p>
      <w:pPr>
        <w:spacing w:after="0" w:line="151" w:lineRule="exact"/>
        <w:rPr>
          <w:sz w:val="20"/>
          <w:szCs w:val="20"/>
          <w:color w:val="auto"/>
        </w:rPr>
      </w:pPr>
    </w:p>
    <w:p>
      <w:pPr>
        <w:ind w:right="40" w:firstLine="396"/>
        <w:spacing w:after="0" w:line="250" w:lineRule="auto"/>
        <w:rPr>
          <w:sz w:val="20"/>
          <w:szCs w:val="20"/>
          <w:color w:val="auto"/>
        </w:rPr>
      </w:pPr>
      <w:r>
        <w:rPr>
          <w:rFonts w:ascii="Times New Roman" w:cs="Times New Roman" w:eastAsia="Times New Roman" w:hAnsi="Times New Roman"/>
          <w:sz w:val="18"/>
          <w:szCs w:val="18"/>
          <w:color w:val="auto"/>
        </w:rPr>
        <w:t>Our collection of content is provided by a community of contributors from around the world and is vetted through our proprietary technology and by a specialized team of reviewers to ensure that it meets our standards of quality and licensability. Whether photographers, videographers, illustrators, designers or musicians, our community of more than 2.3 million approved contributors as of December 31, 2022 ranges from part-time enthusiasts to full-time professionals. The content contributed by our five highest-earning contributors was together responsible for less than 2% of downloads in 2022, demonstrating the depth and diversity of our contributor population.</w:t>
      </w:r>
    </w:p>
    <w:p>
      <w:pPr>
        <w:spacing w:after="0" w:line="109" w:lineRule="exact"/>
        <w:rPr>
          <w:sz w:val="20"/>
          <w:szCs w:val="20"/>
          <w:color w:val="auto"/>
        </w:rPr>
      </w:pPr>
    </w:p>
    <w:p>
      <w:pPr>
        <w:ind w:firstLine="396"/>
        <w:spacing w:after="0" w:line="253" w:lineRule="auto"/>
        <w:rPr>
          <w:sz w:val="20"/>
          <w:szCs w:val="20"/>
          <w:color w:val="auto"/>
        </w:rPr>
      </w:pPr>
      <w:r>
        <w:rPr>
          <w:rFonts w:ascii="Times New Roman" w:cs="Times New Roman" w:eastAsia="Times New Roman" w:hAnsi="Times New Roman"/>
          <w:sz w:val="18"/>
          <w:szCs w:val="18"/>
          <w:color w:val="auto"/>
        </w:rPr>
        <w:t>The breadth and quality of our content offerings are critical to our success, and we have created an easy-to-use online and mobile account creation process, where we enable contributors to create an account, become verified, submit content, and once approved for submission, upload content onto our platform for licensing. Our contributor website operates in 21 languages and contributors can register and upload content directly through our website or within our mobile application.</w:t>
      </w:r>
    </w:p>
    <w:p>
      <w:pPr>
        <w:spacing w:after="0" w:line="116" w:lineRule="exact"/>
        <w:rPr>
          <w:sz w:val="20"/>
          <w:szCs w:val="20"/>
          <w:color w:val="auto"/>
        </w:rPr>
      </w:pPr>
    </w:p>
    <w:p>
      <w:pPr>
        <w:jc w:val="both"/>
        <w:ind w:right="40" w:firstLine="396"/>
        <w:spacing w:after="0" w:line="257" w:lineRule="auto"/>
        <w:rPr>
          <w:sz w:val="20"/>
          <w:szCs w:val="20"/>
          <w:color w:val="auto"/>
        </w:rPr>
      </w:pPr>
      <w:r>
        <w:rPr>
          <w:rFonts w:ascii="Times New Roman" w:cs="Times New Roman" w:eastAsia="Times New Roman" w:hAnsi="Times New Roman"/>
          <w:sz w:val="18"/>
          <w:szCs w:val="18"/>
          <w:color w:val="auto"/>
        </w:rPr>
        <w:t>We use proprietary AI driven technology along with a trained team of reviewers to complete a comprehensive evaluation of all content submissions. Our content review process is highly efficient, and our content review team generally evaluates and processes images and footage within 72 hours of submission to make them available for license on our sites, while working to continually improve our process to reduce review time.</w:t>
      </w:r>
    </w:p>
    <w:p>
      <w:pPr>
        <w:spacing w:after="0" w:line="113" w:lineRule="exact"/>
        <w:rPr>
          <w:sz w:val="20"/>
          <w:szCs w:val="20"/>
          <w:color w:val="auto"/>
        </w:rPr>
      </w:pPr>
    </w:p>
    <w:p>
      <w:pPr>
        <w:ind w:right="120" w:firstLine="396"/>
        <w:spacing w:after="0" w:line="248" w:lineRule="auto"/>
        <w:rPr>
          <w:sz w:val="20"/>
          <w:szCs w:val="20"/>
          <w:color w:val="auto"/>
        </w:rPr>
      </w:pPr>
      <w:r>
        <w:rPr>
          <w:rFonts w:ascii="Times New Roman" w:cs="Times New Roman" w:eastAsia="Times New Roman" w:hAnsi="Times New Roman"/>
          <w:sz w:val="18"/>
          <w:szCs w:val="18"/>
          <w:color w:val="auto"/>
        </w:rPr>
        <w:t>Contributors are required to add a descriptive title and up to 50 keywords to each image and footage submission. We guide our contributors to provide terms that not only describe literally the objects in the image or clip, but also what is conveyed conceptually and thematically. We provide technical keywording assistance to contributors through our suggested keyword tools, which include a tool that leverages our proprietary AI driven technology to automatically suggest keywords based on visually similar images. We have compiled a vast amount of data relating to the content in our collection, including keywords and aggregated customer behavioral data, which combined with our proprietary AI driven and artificial intelligence technology, drives discovery of content through our search algorithms and search engine optimization (SEO), therefore empowering customers to discover the content best suited for their needs.</w:t>
      </w:r>
    </w:p>
    <w:p>
      <w:pPr>
        <w:spacing w:after="0" w:line="112" w:lineRule="exact"/>
        <w:rPr>
          <w:sz w:val="20"/>
          <w:szCs w:val="20"/>
          <w:color w:val="auto"/>
        </w:rPr>
      </w:pPr>
    </w:p>
    <w:p>
      <w:pPr>
        <w:ind w:right="340" w:firstLine="396"/>
        <w:spacing w:after="0" w:line="250" w:lineRule="auto"/>
        <w:rPr>
          <w:sz w:val="20"/>
          <w:szCs w:val="20"/>
          <w:color w:val="auto"/>
        </w:rPr>
      </w:pPr>
      <w:r>
        <w:rPr>
          <w:rFonts w:ascii="Times New Roman" w:cs="Times New Roman" w:eastAsia="Times New Roman" w:hAnsi="Times New Roman"/>
          <w:sz w:val="18"/>
          <w:szCs w:val="18"/>
          <w:color w:val="auto"/>
        </w:rPr>
        <w:t>We evaluate submissions based on certain technical and legal criteria to ensure we maintain the quality and integrity of our content marketplace, including whether applicable releases have been obtained, whether third-party intellectual property is excluded, and seeking to minimize other technical concerns such as excess noise or focus issues. Contributors are notified within the contributor portal when a content submission is not approved during the review process. This notification includes an explanation of why the image was not selected for publication. We believe that this feedback is valuable to contributors and enhances the quality of future content submissions as well as our customers’ experience.</w:t>
      </w:r>
    </w:p>
    <w:p>
      <w:pPr>
        <w:spacing w:after="0" w:line="122" w:lineRule="exact"/>
        <w:rPr>
          <w:sz w:val="20"/>
          <w:szCs w:val="20"/>
          <w:color w:val="auto"/>
        </w:rPr>
      </w:pPr>
    </w:p>
    <w:p>
      <w:pPr>
        <w:ind w:right="420" w:firstLine="396"/>
        <w:spacing w:after="0" w:line="269" w:lineRule="auto"/>
        <w:rPr>
          <w:sz w:val="20"/>
          <w:szCs w:val="20"/>
          <w:color w:val="auto"/>
        </w:rPr>
      </w:pPr>
      <w:r>
        <w:rPr>
          <w:rFonts w:ascii="Times New Roman" w:cs="Times New Roman" w:eastAsia="Times New Roman" w:hAnsi="Times New Roman"/>
          <w:sz w:val="18"/>
          <w:szCs w:val="18"/>
          <w:color w:val="auto"/>
        </w:rPr>
        <w:t>Content accepted into our collection is added to our web properties where it is available for search, selection, license and download. Contributors of content typically earn a royalty each time their work is licensed. Contributors earn royalties based on</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400"/>
        <w:spacing w:after="0" w:line="257" w:lineRule="auto"/>
        <w:rPr>
          <w:sz w:val="20"/>
          <w:szCs w:val="20"/>
          <w:color w:val="auto"/>
        </w:rPr>
      </w:pPr>
      <w:r>
        <w:rPr>
          <w:rFonts w:ascii="Times New Roman" w:cs="Times New Roman" w:eastAsia="Times New Roman" w:hAnsi="Times New Roman"/>
          <w:sz w:val="18"/>
          <w:szCs w:val="18"/>
          <w:color w:val="auto"/>
        </w:rPr>
        <w:t>a tiered earnings rate schedule that is tied to annual licensing volume. The earnings tier of the contributor at the time of licensing, as well as the purchase option under which the content was licensed, are used to calculate the royalty earnings for each licensing event. Contributors may choose to remove their content from our collection, subject to the terms of service that govern our contributor relationships.</w:t>
      </w:r>
    </w:p>
    <w:p>
      <w:pPr>
        <w:spacing w:after="0" w:line="100" w:lineRule="exact"/>
        <w:rPr>
          <w:sz w:val="20"/>
          <w:szCs w:val="20"/>
          <w:color w:val="auto"/>
        </w:rPr>
      </w:pPr>
    </w:p>
    <w:p>
      <w:pPr>
        <w:ind w:right="120" w:firstLine="396"/>
        <w:spacing w:after="0" w:line="333" w:lineRule="auto"/>
        <w:rPr>
          <w:sz w:val="20"/>
          <w:szCs w:val="20"/>
          <w:color w:val="auto"/>
        </w:rPr>
      </w:pPr>
      <w:r>
        <w:rPr>
          <w:rFonts w:ascii="Times New Roman" w:cs="Times New Roman" w:eastAsia="Times New Roman" w:hAnsi="Times New Roman"/>
          <w:sz w:val="16"/>
          <w:szCs w:val="16"/>
          <w:color w:val="auto"/>
        </w:rPr>
        <w:t>We provide valuable tools and insights to our contributors. Our contributors can monitor download activity by content type and geography. We also provide insights into trends we see with seasonal and current customer search behaviors to help our contributors plan future content submissions accordingly.</w:t>
      </w:r>
    </w:p>
    <w:p>
      <w:pPr>
        <w:spacing w:after="0" w:line="57" w:lineRule="exact"/>
        <w:rPr>
          <w:sz w:val="20"/>
          <w:szCs w:val="20"/>
          <w:color w:val="auto"/>
        </w:rPr>
      </w:pPr>
    </w:p>
    <w:p>
      <w:pPr>
        <w:ind w:right="20" w:firstLine="396"/>
        <w:spacing w:after="0" w:line="249" w:lineRule="auto"/>
        <w:rPr>
          <w:sz w:val="20"/>
          <w:szCs w:val="20"/>
          <w:color w:val="auto"/>
        </w:rPr>
      </w:pPr>
      <w:r>
        <w:rPr>
          <w:rFonts w:ascii="Times New Roman" w:cs="Times New Roman" w:eastAsia="Times New Roman" w:hAnsi="Times New Roman"/>
          <w:sz w:val="18"/>
          <w:szCs w:val="18"/>
          <w:color w:val="auto"/>
        </w:rPr>
        <w:t>In addition to content sourced through direct submission to our e-commerce platform, we also obtain all types of content through exclusive distribution agreements with strategic partners or through the direct acquisition of content, content libraries or archives. In certain cases, we enter into arrangements with contributors or strategic partners whereby we guarantee a minimum royalty, in exchange for exclusive rights to distribute content when we believe such exclusivity provides us with a distinct competitive advantage. We also license content from our wholly-owned library. We continuously enhance our collection through the direct acquisition of content and by entering into other strategic agreements and partnerships and we continue to seek opportunities for direct acquisition and strategic partnerships to enhance our collection and provide customers with relevant and high-quality content.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Infrastructure</w:t>
      </w:r>
    </w:p>
    <w:p>
      <w:pPr>
        <w:spacing w:after="0" w:line="138"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Our technology is critical to our business and we have developed proprietary technology to power our products and services. We believe that delivering intuitive, fast and effective user experiences, supported by scalable technology platforms, is critical to our success. We employ technology to support both our public-facing web properties and our back-office systems. In developing, improving and enhancing these sites and systems, we focus our internal development efforts on creating and enhancing specialized proprietary software that is unique to our business and we leverage commercially available and open source technologies for our more generalized needs.</w:t>
      </w:r>
    </w:p>
    <w:p>
      <w:pPr>
        <w:spacing w:after="0" w:line="122" w:lineRule="exact"/>
        <w:rPr>
          <w:sz w:val="20"/>
          <w:szCs w:val="20"/>
          <w:color w:val="auto"/>
        </w:rPr>
      </w:pPr>
    </w:p>
    <w:p>
      <w:pPr>
        <w:ind w:right="40" w:firstLine="396"/>
        <w:spacing w:after="0" w:line="253" w:lineRule="auto"/>
        <w:rPr>
          <w:sz w:val="20"/>
          <w:szCs w:val="20"/>
          <w:color w:val="auto"/>
        </w:rPr>
      </w:pPr>
      <w:r>
        <w:rPr>
          <w:rFonts w:ascii="Times New Roman" w:cs="Times New Roman" w:eastAsia="Times New Roman" w:hAnsi="Times New Roman"/>
          <w:sz w:val="18"/>
          <w:szCs w:val="18"/>
          <w:color w:val="auto"/>
        </w:rPr>
        <w:t>Our customer-facing software enables users to search the millions of images, vectors, illustrations, footage, music tracks and 3D models available in our collection or request custom branded content and then select, organize, pay for, license and download the content that suits their individual needs. Our search platform evolves automatically based on our own 1st party behavioral data, with each search and download that a user performs on our platform providing our search engine with additional information to improve search results in subsequent queries.</w:t>
      </w:r>
    </w:p>
    <w:p>
      <w:pPr>
        <w:spacing w:after="0" w:line="116" w:lineRule="exact"/>
        <w:rPr>
          <w:sz w:val="20"/>
          <w:szCs w:val="20"/>
          <w:color w:val="auto"/>
        </w:rPr>
      </w:pPr>
    </w:p>
    <w:p>
      <w:pPr>
        <w:ind w:right="60" w:firstLine="396"/>
        <w:spacing w:after="0" w:line="250" w:lineRule="auto"/>
        <w:rPr>
          <w:sz w:val="20"/>
          <w:szCs w:val="20"/>
          <w:color w:val="auto"/>
        </w:rPr>
      </w:pPr>
      <w:r>
        <w:rPr>
          <w:rFonts w:ascii="Times New Roman" w:cs="Times New Roman" w:eastAsia="Times New Roman" w:hAnsi="Times New Roman"/>
          <w:sz w:val="18"/>
          <w:szCs w:val="18"/>
          <w:color w:val="auto"/>
        </w:rPr>
        <w:t>We consider the data that we have collected and the search technology that it powers to be an important proprietary asset and competitive advantage that allows us to provide exceptional service to our customers and enable our business. We continuously invest in the localization of our creative platform across many countries and regions, allowing customers to search and make purchases in a variety of languages and currencies. We also maintain an API driven infrastructure, enabling integration of our content platform with various other software tools and services, which enables businesses, and their customers, to gain access to our content without leaving their platform.</w:t>
      </w:r>
    </w:p>
    <w:p>
      <w:pPr>
        <w:spacing w:after="0" w:line="109"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We also develop and continuously invest in contributor-facing web properties, which operate in 21 languages and enable individuals and creative professionals to become contributors, upload and tag content, receive feedback on their submissions from our review team, see reports on earnings and payouts, and participate in online discussion forums with other contributors, among other activities. We have also developed proprietary tools to enable our contributors to improve their success on our web properties, including our keyword trends tool that allows contributors to see what terms customers are searching for and how those search terms are trending over time, which, in turn, allows contributors to anticipate demand and generate content that customers may want to license. Our contributor-facing web properties are powered by proprietary technology which supports a content review system that allows our review team to efficiently and effectively review content submissions. Our combination of proprietary technology and large-scale datasets allows us to deliver value to our users and enhances their experience on our platform, which drives growth on our marketplace.</w:t>
      </w:r>
    </w:p>
    <w:p>
      <w:pPr>
        <w:spacing w:after="0" w:line="122" w:lineRule="exact"/>
        <w:rPr>
          <w:sz w:val="20"/>
          <w:szCs w:val="20"/>
          <w:color w:val="auto"/>
        </w:rPr>
      </w:pPr>
    </w:p>
    <w:p>
      <w:pPr>
        <w:ind w:right="200" w:firstLine="396"/>
        <w:spacing w:after="0" w:line="253" w:lineRule="auto"/>
        <w:rPr>
          <w:sz w:val="20"/>
          <w:szCs w:val="20"/>
          <w:color w:val="auto"/>
        </w:rPr>
      </w:pPr>
      <w:r>
        <w:rPr>
          <w:rFonts w:ascii="Times New Roman" w:cs="Times New Roman" w:eastAsia="Times New Roman" w:hAnsi="Times New Roman"/>
          <w:sz w:val="18"/>
          <w:szCs w:val="18"/>
          <w:color w:val="auto"/>
        </w:rPr>
        <w:t>We use a combination of internally-developed software and third-party applications that enable customer and contributor support, intellectual property rights and license tracking, centralized invoicing and sales order processing, customer database management, language translation and global contributor payouts, in addition to supporting the compliance, finance and accounting functions. We continually improve upon these internal tools to enable business growth and drive efficiency.</w:t>
      </w:r>
    </w:p>
    <w:p>
      <w:pPr>
        <w:spacing w:after="0" w:line="116"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Our systems infrastructure is hosted primarily by third-party cloud hosting providers that we believe offer scalable, reliable and secure global infrastructure. We also continue to invest in our infrastructure to improve the resiliency of our sites and systems. By using cloud services providers, we believe we are able to dedicate an increasing proportion of our technology resources to scaling our business, better serving our rapidly growing collection of content and meeting global customer demand. We believe continued use of third-party cloud hosting, along with improvements to our platform, allow us to further diversify</w:t>
      </w: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18"/>
          <w:szCs w:val="18"/>
          <w:color w:val="auto"/>
        </w:rPr>
        <w:t>our product offerings, reach new customers and contributors around the world and enable our developers to rapidly deploy new products, features and functionality.</w:t>
      </w:r>
    </w:p>
    <w:p>
      <w:pPr>
        <w:spacing w:after="0" w:line="90"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We have expanded our use of content delivery network solutions to help enable our customers around the world to have sustained and reliable high-speed access to our platform. As we continue to grow our business, our technological needs continue to expand and therefore, we plan to continually invest in our technology to enhance existing products and services and develop new products and services. We view our investments in technology as integral to our long-term success and we intend to continue to investigate, develop and make capital investments in technology and operational systems that support our current business and new areas of potential business expansion.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12"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color w:val="auto"/>
        </w:rPr>
        <w:t>An important driver of our growth is customer acquisition, which we achieve primarily through online and offline marketing efforts and directly through our sales force. Online marketing includes paid search, online display advertising, print advertising, trade shows, email marketing, direct mail, affiliate marketing, public relations, social media and partnerships. Over the past several years, our investments in marketing have represented a significant percentage of revenue. This spend considers, among other things, the blended average customer lifetime value across our various purchase options so we can manage customer acquisition costs and aim to achieve targeted returns.</w:t>
      </w:r>
    </w:p>
    <w:p>
      <w:pPr>
        <w:spacing w:after="0" w:line="122" w:lineRule="exact"/>
        <w:rPr>
          <w:sz w:val="20"/>
          <w:szCs w:val="20"/>
          <w:color w:val="auto"/>
        </w:rPr>
      </w:pPr>
    </w:p>
    <w:p>
      <w:pPr>
        <w:jc w:val="both"/>
        <w:ind w:right="200" w:firstLine="396"/>
        <w:spacing w:after="0" w:line="257" w:lineRule="auto"/>
        <w:rPr>
          <w:sz w:val="20"/>
          <w:szCs w:val="20"/>
          <w:color w:val="auto"/>
        </w:rPr>
      </w:pPr>
      <w:r>
        <w:rPr>
          <w:rFonts w:ascii="Times New Roman" w:cs="Times New Roman" w:eastAsia="Times New Roman" w:hAnsi="Times New Roman"/>
          <w:sz w:val="18"/>
          <w:szCs w:val="18"/>
          <w:color w:val="auto"/>
        </w:rPr>
        <w:t>We also use customer relationship management (CRM) marketing to grow the lifetime value of our existing customers. Our marketing activities aim to raise awareness of our brands and attract paying customers to our websites and our direct sales organization by promoting the key value propositions of our offerings: diverse and high-quality content, intuitive and efficient interfaces and economical content options.</w:t>
      </w:r>
    </w:p>
    <w:p>
      <w:pPr>
        <w:spacing w:after="0" w:line="100"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As our marketing efforts attract additional paying customers and generate more revenue for us, our contributors are also able to receive increased earnings from us. Increasing contributor earnings helps attract more content submissions, which in turn helps Shutterstock convert and retain even more paying customers. We believe the high degree of satisfaction that customers have with our product drives word-of-mouth recommendations, which helps our marketing efforts attract an even broader and more diverse audience than we reach directly. Therefore, we believe our marketing efforts have a self-reinforcing network effect, which powers the growth and success of our marketplace.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w:t>
      </w:r>
    </w:p>
    <w:p>
      <w:pPr>
        <w:spacing w:after="0" w:line="151" w:lineRule="exact"/>
        <w:rPr>
          <w:sz w:val="20"/>
          <w:szCs w:val="20"/>
          <w:color w:val="auto"/>
        </w:rPr>
      </w:pPr>
    </w:p>
    <w:p>
      <w:pPr>
        <w:ind w:right="60" w:firstLine="396"/>
        <w:spacing w:after="0" w:line="269" w:lineRule="auto"/>
        <w:rPr>
          <w:sz w:val="20"/>
          <w:szCs w:val="20"/>
          <w:color w:val="auto"/>
        </w:rPr>
      </w:pPr>
      <w:r>
        <w:rPr>
          <w:rFonts w:ascii="Times New Roman" w:cs="Times New Roman" w:eastAsia="Times New Roman" w:hAnsi="Times New Roman"/>
          <w:sz w:val="18"/>
          <w:szCs w:val="18"/>
          <w:color w:val="auto"/>
        </w:rPr>
        <w:t>In addition to outbound sales and marketing activities, our customer service teams assist users worldwide via email, chat and phone in over 20 languages and 150 countries. We have customer service teams in a variety of locations including Singapore, Berlin and New York.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Rights and Intellectual Property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Rights and Indemnification</w:t>
      </w:r>
    </w:p>
    <w:p>
      <w:pPr>
        <w:spacing w:after="0" w:line="114" w:lineRule="exact"/>
        <w:rPr>
          <w:sz w:val="20"/>
          <w:szCs w:val="20"/>
          <w:color w:val="auto"/>
        </w:rPr>
      </w:pPr>
    </w:p>
    <w:p>
      <w:pPr>
        <w:ind w:right="20" w:firstLine="396"/>
        <w:spacing w:after="0" w:line="283" w:lineRule="auto"/>
        <w:rPr>
          <w:sz w:val="20"/>
          <w:szCs w:val="20"/>
          <w:color w:val="auto"/>
        </w:rPr>
      </w:pPr>
      <w:r>
        <w:rPr>
          <w:rFonts w:ascii="Times New Roman" w:cs="Times New Roman" w:eastAsia="Times New Roman" w:hAnsi="Times New Roman"/>
          <w:sz w:val="16"/>
          <w:szCs w:val="16"/>
          <w:color w:val="auto"/>
        </w:rPr>
        <w:t>All of the content that we make available to customers on our websites is offered under perpetual, royalty-free licenses, with the exception of certain custom, editorial, music, and other content with specific licensing requirements. Royalty-free means that once a customer has licensed content from us, that customer may use the associated content in accordance with the license terms in perpetuity without having to pay any ongoing royalties to us. Typically, content from our library is licensed on a non-exclusive basis, meaning that multiple customers can license the same image, footage clip or music track under the applicable Shutterstock license agreement. Custom content is one-of-a-kind branded content and is licensed on an exclusive basis to our customers to fulfill their specific use-cases. We do not typically require that contributors of content to our library provide their content to us on an exclusive basis, with the exception of custom content and certain editorial, music and other content to which we have exclusive distribution rights. However, once a contributor’s content is licensed through our platform, such content is perpetually subject to the customer’s license even if the contributor removes the image from our marketplace, except in periodic circumstances where content is removed due to concerns about third-party intellectual property rights.</w:t>
      </w:r>
    </w:p>
    <w:p>
      <w:pPr>
        <w:spacing w:after="0" w:line="269" w:lineRule="exact"/>
        <w:rPr>
          <w:sz w:val="20"/>
          <w:szCs w:val="20"/>
          <w:color w:val="auto"/>
        </w:rPr>
      </w:pPr>
    </w:p>
    <w:p>
      <w:pPr>
        <w:ind w:right="20" w:firstLine="396"/>
        <w:spacing w:after="0" w:line="283" w:lineRule="auto"/>
        <w:rPr>
          <w:sz w:val="20"/>
          <w:szCs w:val="20"/>
          <w:color w:val="auto"/>
        </w:rPr>
      </w:pPr>
      <w:r>
        <w:rPr>
          <w:rFonts w:ascii="Times New Roman" w:cs="Times New Roman" w:eastAsia="Times New Roman" w:hAnsi="Times New Roman"/>
          <w:sz w:val="16"/>
          <w:szCs w:val="16"/>
          <w:color w:val="auto"/>
        </w:rPr>
        <w:t>Under our various license agreements, we expressly represent and warrant that unaltered content downloaded and used in compliance with our license agreements and applicable law will not infringe any copyright, trademark or other intellectual property right, violate any third-party’s rights of privacy or publicity, violate any U.S. law, be defamatory or libelous, or be pornographic or obscene. Provided that a customer has not breached the license agreement or any other agreement with us, we will defend, indemnify, and hold a customer harmless from direct damages attributable to breaches of the express representations and warranties provided in our license agreements. From time to time, we agree to customize our license agreements with non-standard indemnification terms. Regardless of customization, indemnification only applies to claims for damages attributable to our breach of the express representations and warranties provided in our license agreement and is generally conditioned on our timely receipt of an indemnification claim and our right to assume the defense of such claim. Our license agreements generally cap our indemnification obligations at amounts ranging from $10,000 to $250,000, with</w:t>
      </w:r>
    </w:p>
    <w:p>
      <w:pPr>
        <w:spacing w:after="0" w:line="200" w:lineRule="exact"/>
        <w:rPr>
          <w:sz w:val="20"/>
          <w:szCs w:val="20"/>
          <w:color w:val="auto"/>
        </w:rPr>
      </w:pPr>
    </w:p>
    <w:p>
      <w:pPr>
        <w:spacing w:after="0" w:line="2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18"/>
          <w:szCs w:val="18"/>
          <w:color w:val="auto"/>
        </w:rPr>
        <w:t>exceptions for certain products for which our indemnification obligations may be uncapped. We maintain commercially reasonable insurance intended to protect against the costs of intellectual property litigation and our indemnification obligations under our license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14" w:lineRule="exact"/>
        <w:rPr>
          <w:sz w:val="20"/>
          <w:szCs w:val="20"/>
          <w:color w:val="auto"/>
        </w:rPr>
      </w:pPr>
    </w:p>
    <w:p>
      <w:pPr>
        <w:ind w:right="620" w:firstLine="396"/>
        <w:spacing w:after="0" w:line="269" w:lineRule="auto"/>
        <w:rPr>
          <w:sz w:val="20"/>
          <w:szCs w:val="20"/>
          <w:color w:val="auto"/>
        </w:rPr>
      </w:pPr>
      <w:r>
        <w:rPr>
          <w:rFonts w:ascii="Times New Roman" w:cs="Times New Roman" w:eastAsia="Times New Roman" w:hAnsi="Times New Roman"/>
          <w:sz w:val="18"/>
          <w:szCs w:val="18"/>
          <w:color w:val="auto"/>
        </w:rPr>
        <w:t>We protect our intellectual property through a combination of patent, trademark, copyright and domain name registrations, as well as trade secret protections.</w:t>
      </w:r>
    </w:p>
    <w:p>
      <w:pPr>
        <w:spacing w:after="0" w:line="103" w:lineRule="exact"/>
        <w:rPr>
          <w:sz w:val="20"/>
          <w:szCs w:val="20"/>
          <w:color w:val="auto"/>
        </w:rPr>
      </w:pPr>
    </w:p>
    <w:p>
      <w:pPr>
        <w:ind w:right="60" w:firstLine="396"/>
        <w:spacing w:after="0" w:line="280" w:lineRule="auto"/>
        <w:rPr>
          <w:sz w:val="20"/>
          <w:szCs w:val="20"/>
          <w:color w:val="auto"/>
        </w:rPr>
      </w:pPr>
      <w:r>
        <w:rPr>
          <w:rFonts w:ascii="Times New Roman" w:cs="Times New Roman" w:eastAsia="Times New Roman" w:hAnsi="Times New Roman"/>
          <w:sz w:val="16"/>
          <w:szCs w:val="16"/>
          <w:color w:val="auto"/>
        </w:rPr>
        <w:t>We own a portfolio of trademarks, including “Shutterstock,” “Shutterstock Editorial,” “Asset Assurance,” “Offset,” “Bigstock,” “Rex Features,” “PremiumBeat,” “TurboSquid,” “PicMonkey,” “Pattern89,” “Shotzr,” “Pond5,” “Splash News,” “Shutterstock Studios,” and “Shutterstock Editor” and their associated logos. We will pursue additional trademark registrations to the extent that we create any additional material and registrable trademarks or logos. We are the registered owner of a variety of the shutterstock.com, bigstock.com, offset.com, premiumbeat.com, rexfeatures.com, turbosquid.com, picmonkey.com, pond5.com and splashnews.com internet domain names and various other related domain names. We have successfully recovered infringing domain names in the past and intend to continue to enforce our rights in the future. We also own copyrights, including certain content on our web properties, publications and designs, as well as patents, including with respect to our display systems and search capabilities. These intellectual property rights are important to our business and marketing efforts. The duration of the protection afforded to our intellectual property depends on the type of property in question, the laws and regulations of the relevant jurisdiction and the terms of our license agreements with others. With respect to our trademarks, trade names and patents,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canceled or invalidated if challenged by others based on certain use requirements or other limited grounds. We believe the duration of our patents is adequate, relative to the expected lives of our products.</w:t>
      </w:r>
    </w:p>
    <w:p>
      <w:pPr>
        <w:spacing w:after="0" w:line="299" w:lineRule="exact"/>
        <w:rPr>
          <w:sz w:val="20"/>
          <w:szCs w:val="20"/>
          <w:color w:val="auto"/>
        </w:rPr>
      </w:pPr>
    </w:p>
    <w:p>
      <w:pPr>
        <w:ind w:right="80" w:firstLine="396"/>
        <w:spacing w:after="0" w:line="249" w:lineRule="auto"/>
        <w:rPr>
          <w:sz w:val="20"/>
          <w:szCs w:val="20"/>
          <w:color w:val="auto"/>
        </w:rPr>
      </w:pPr>
      <w:r>
        <w:rPr>
          <w:rFonts w:ascii="Times New Roman" w:cs="Times New Roman" w:eastAsia="Times New Roman" w:hAnsi="Times New Roman"/>
          <w:sz w:val="18"/>
          <w:szCs w:val="18"/>
          <w:color w:val="auto"/>
        </w:rPr>
        <w:t>We protect our intellectual property rights by relying on federal, state, and common law rights, including registration, in the United States and applicable foreign jurisdictions, as well as contractual restrictions. We enforce and protect our intellectual property rights through litigation from time to time, and by controlling access to our intellectual property and proprietary technology, in part, by entering into confidentiality and proprietary rights agreements with our employees, consultants, contractors, and vendors. In this way, we have historically chosen to protect our software and other technological intellectual property as trade secrets. We further control the use of our proprietary technology and intellectual property through provisions in our websites’ terms of use and license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51"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6"/>
          <w:szCs w:val="16"/>
          <w:color w:val="auto"/>
        </w:rPr>
        <w:t>We are subject to a number of U.S. federal and state and foreign laws and regulations that affect companies conducting business on the internet as well as companies that provide access to content. Many of these laws and regulations are still evolving and are being tested in courts, and the manner in which existing laws and regulations will be applied to the internet and online content in general, and how the foregoing will relate to our business in particular, is still unclear in many cases. These laws and regulations may involve privacy, data management and protection (including with respect to personal information), cybersecurity, content regulation, intellectual property ownership and infringement, defamation, publicity rights, advertising, marketing, employment, taxation, e-commerce, subscription-based billing, quality of products and services, internet neutrality, antitrust, outsourcing, securities law compliance, and online payment services. Additionally, because we operate internationally, we need to comply with various laws associated with doing business outside of the United States, including data privacy and security, anti-money laundering, sanctions, anti-corruption and export control laws. A number of U.S. federal and state and foreign laws that could have an impact on our business practices and e-commerce generally have already been adopted, including, for example:</w:t>
      </w:r>
    </w:p>
    <w:p>
      <w:pPr>
        <w:spacing w:after="0" w:line="85" w:lineRule="exact"/>
        <w:rPr>
          <w:sz w:val="20"/>
          <w:szCs w:val="20"/>
          <w:color w:val="auto"/>
        </w:rPr>
      </w:pPr>
    </w:p>
    <w:p>
      <w:pPr>
        <w:ind w:left="960" w:right="60" w:hanging="321"/>
        <w:spacing w:after="0" w:line="269"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Millennium Copyright Act (the “DMCA”), which regulates digital material and created updated copyright laws to address the unique challenges of regulating the use of digital content.</w:t>
      </w:r>
    </w:p>
    <w:p>
      <w:pPr>
        <w:spacing w:after="0" w:line="6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Directive on Copyright in the Digital Single Market, which governs a marketplace for copyright in the European Union.</w:t>
      </w:r>
    </w:p>
    <w:p>
      <w:pPr>
        <w:spacing w:after="0" w:line="109" w:lineRule="exact"/>
        <w:rPr>
          <w:rFonts w:ascii="Times New Roman" w:cs="Times New Roman" w:eastAsia="Times New Roman" w:hAnsi="Times New Roman"/>
          <w:sz w:val="18"/>
          <w:szCs w:val="18"/>
          <w:color w:val="auto"/>
        </w:rPr>
      </w:pPr>
    </w:p>
    <w:p>
      <w:pPr>
        <w:jc w:val="both"/>
        <w:ind w:left="960" w:right="280" w:hanging="321"/>
        <w:spacing w:after="0" w:line="257"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the Assault of Non-Solicited Pornography and Marketing Act of 2003 and similar laws adopted by a number of states, which regulate the format, functionality and distribution of commercial solicitation e-mails, create criminal penalties for unmarked sexually-oriented material, and control other online marketing practices.</w:t>
      </w:r>
    </w:p>
    <w:p>
      <w:pPr>
        <w:spacing w:after="0" w:line="73" w:lineRule="exact"/>
        <w:rPr>
          <w:rFonts w:ascii="Times New Roman" w:cs="Times New Roman" w:eastAsia="Times New Roman" w:hAnsi="Times New Roman"/>
          <w:sz w:val="18"/>
          <w:szCs w:val="18"/>
          <w:color w:val="auto"/>
        </w:rPr>
      </w:pPr>
    </w:p>
    <w:p>
      <w:pPr>
        <w:jc w:val="both"/>
        <w:ind w:left="960" w:right="380" w:hanging="321"/>
        <w:spacing w:after="0" w:line="257"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Children’s Online Privacy Protection Act and the Prosecutorial Remedies and Other Tools to End Exploitation of Children Today Act of 2003, which regulate the collection or use of information, and restrict the distribution of certain materials, as related to certain protected age groups. In addition, the Protection of Children</w:t>
      </w: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From Sexual Predators Act of 1998 provides for reporting and other obligations by online service providers in the area of child pornography.</w:t>
      </w:r>
    </w:p>
    <w:p>
      <w:pPr>
        <w:spacing w:after="0" w:line="110" w:lineRule="exact"/>
        <w:rPr>
          <w:sz w:val="20"/>
          <w:szCs w:val="20"/>
          <w:color w:val="auto"/>
        </w:rPr>
      </w:pPr>
    </w:p>
    <w:p>
      <w:pPr>
        <w:ind w:left="960" w:right="300" w:hanging="321"/>
        <w:spacing w:after="0" w:line="269"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numerous state “mini-FTC” acts, which bar “deceptive” and “unfair” trade practices, including in the contexts of online advertising and representations made in privacy policies and other online representations.</w:t>
      </w:r>
    </w:p>
    <w:p>
      <w:pPr>
        <w:spacing w:after="0" w:line="63" w:lineRule="exact"/>
        <w:rPr>
          <w:rFonts w:ascii="Times New Roman" w:cs="Times New Roman" w:eastAsia="Times New Roman" w:hAnsi="Times New Roman"/>
          <w:sz w:val="18"/>
          <w:szCs w:val="18"/>
          <w:color w:val="auto"/>
        </w:rPr>
      </w:pPr>
    </w:p>
    <w:p>
      <w:pPr>
        <w:ind w:left="960" w:right="600" w:hanging="321"/>
        <w:spacing w:after="0" w:line="269"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 General Data Protection Regulation (“GDPR”), which governs how we can collect and process the personal data of, primarily, European Union residents.</w:t>
      </w:r>
    </w:p>
    <w:p>
      <w:pPr>
        <w:spacing w:after="0" w:line="63" w:lineRule="exact"/>
        <w:rPr>
          <w:rFonts w:ascii="Times New Roman" w:cs="Times New Roman" w:eastAsia="Times New Roman" w:hAnsi="Times New Roman"/>
          <w:sz w:val="18"/>
          <w:szCs w:val="18"/>
          <w:color w:val="auto"/>
        </w:rPr>
      </w:pPr>
    </w:p>
    <w:p>
      <w:pPr>
        <w:ind w:left="960" w:right="680" w:hanging="321"/>
        <w:spacing w:after="0" w:line="269"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Consumer Privacy Act of 2018 (“CCPA”), which governs how we can collect and process the personal data of California residents.</w:t>
      </w:r>
    </w:p>
    <w:p>
      <w:pPr>
        <w:spacing w:after="0" w:line="103" w:lineRule="exact"/>
        <w:rPr>
          <w:sz w:val="20"/>
          <w:szCs w:val="20"/>
          <w:color w:val="auto"/>
        </w:rPr>
      </w:pPr>
    </w:p>
    <w:p>
      <w:pPr>
        <w:ind w:right="80" w:firstLine="396"/>
        <w:spacing w:after="0" w:line="280" w:lineRule="auto"/>
        <w:rPr>
          <w:sz w:val="20"/>
          <w:szCs w:val="20"/>
          <w:color w:val="auto"/>
        </w:rPr>
      </w:pPr>
      <w:r>
        <w:rPr>
          <w:rFonts w:ascii="Times New Roman" w:cs="Times New Roman" w:eastAsia="Times New Roman" w:hAnsi="Times New Roman"/>
          <w:sz w:val="16"/>
          <w:szCs w:val="16"/>
          <w:color w:val="auto"/>
        </w:rPr>
        <w:t>In particular, we are subject to U.S. federal and state, and foreign laws regarding privacy and data protection as well as foreign, federal and state regulation. Foreign data protection, privacy, content regulation, consumer protection, and other laws and regulations can be more restrictive than those in the United States and often have extraterritorial application, and the interpretation and application of these laws are continuously evolving, still uncertain and remain in flux. For example, the GDPR, which took effect on May 25, 2018, includes more stringent operational requirements for entities using, processing, and transferring personal information and significant penalties for non-compliance. Several other foreign jurisdictions, such as Brazil and India, have adopted, are considering adopting, or have updated comprehensive privacy legislation to offer additional data privacy protections for individuals. In the U.S., data protection legislation is also becoming increasingly common at both the federal and state level. There are a number of legislative proposals pending before the U.S. Congress and various state legislative bodies concerning privacy, security, content regulation, data protection and other consumer issues that could affect us. For example, the State of California has enacted the CCPA, which became effective in January 2020. The CCPA, among other things, requires companies that collect personal information about California residents to make disclosures to those residents about data collection, use and sharing practices, allows residents to opt out of certain data sharing with third parties and provides a new cause of action for data breaches. Moreover, a new privacy law passed in California, the California Privacy Rights Act (“CPRA”), which is scheduled to take effect on January 1, 2023 (with a lookback to January 1, 2022), will significantly modify the CCPA, and will impose additional data protection obligations on companies such as ours doing business in California.</w:t>
      </w:r>
    </w:p>
    <w:p>
      <w:pPr>
        <w:spacing w:after="0" w:line="299"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In addition, from a taxation perspective, there are applicable and potential government regulatory matters that may impact us. In particular, certain provisions of the Tax Cuts and Jobs Act of 2017 (the “TCJA”) have had and will continue to have a significant impact on our financial position and results of operations. The TCJA continues to be subject to further regulatory interpretation and technical corrections by the U.S. Treasury Department and the I.R.S. and therefore, the full impact of the TCJA on our tax provision may continue to evolve. Further, we continue to remain subject to uncertainty related to foreign jurisdictions’ potential reactions to the TCJA, as well as evolving regulatory views and legislation regarding taxation of e-commerce businesses such as the Organization for Economic Cooperation and Development (“OECD”) Base Erosion and Profit Shifting (“BEPS”) proposals, specifically the adoption of BEPS Action II and its ancillary impacts to other areas of TCJA related laws and regulations as well as and other country specific digital tax initiatives. As these and other tax laws and related regulations continue to evolve, our financial results could prospectively be materially impacted.</w:t>
      </w:r>
    </w:p>
    <w:p>
      <w:pPr>
        <w:spacing w:after="0" w:line="122" w:lineRule="exact"/>
        <w:rPr>
          <w:sz w:val="20"/>
          <w:szCs w:val="20"/>
          <w:color w:val="auto"/>
        </w:rPr>
      </w:pPr>
    </w:p>
    <w:p>
      <w:pPr>
        <w:ind w:right="240" w:firstLine="396"/>
        <w:spacing w:after="0" w:line="249" w:lineRule="auto"/>
        <w:rPr>
          <w:sz w:val="20"/>
          <w:szCs w:val="20"/>
          <w:color w:val="auto"/>
        </w:rPr>
      </w:pPr>
      <w:r>
        <w:rPr>
          <w:rFonts w:ascii="Times New Roman" w:cs="Times New Roman" w:eastAsia="Times New Roman" w:hAnsi="Times New Roman"/>
          <w:sz w:val="18"/>
          <w:szCs w:val="18"/>
          <w:color w:val="auto"/>
        </w:rPr>
        <w:t>The application, interpretation, and enforcement of these U.S. and foreign laws and regulations are often uncertain, particularly in the rapidly evolving industry in which we operate, and may be interpreted and applied inconsistently from country to country and inconsistently with our current policies and practices. Any existing or new legislation applicable to our operations could expose us to substantial liability, including significant expenses necessary to comply with such laws and regulations, to respond to regulatory inquiries or investigations, and to defend individual or class litigation. These events could dampen growth in the use of the internet in general, and cause Shutterstock to divert significant resources and funds to addressing these issues, and possibly require us to change our business practices.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8"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We seek to be an integral component of the creative process for our customers based on a number of factors including the quality, relevance and breadth of content; ability to source new content; accessibility of content; distribution capabilities; ease and speed of search and fulfillment; content pricing models and practices; content licensing options and the degree to which users are protected from legal risk; brand recognition and reputation; the effective use of current and emerging technology; the global nature of our interfaces and marketing efforts, including the degree of localization; and customer service. We also compete for contributors on the basis of several similar factors including ease and speed of the upload and content review process; the volume of customers who license their submitted content; contributor commission models and practices; the degree to which contributors are protected from legal risk; brand recognition and reputation; the effective use of technology; the global nature of our interfaces; and customer service.</w:t>
      </w:r>
    </w:p>
    <w:p>
      <w:pPr>
        <w:spacing w:after="0" w:line="200" w:lineRule="exact"/>
        <w:rPr>
          <w:sz w:val="20"/>
          <w:szCs w:val="20"/>
          <w:color w:val="auto"/>
        </w:rPr>
      </w:pPr>
    </w:p>
    <w:p>
      <w:pPr>
        <w:spacing w:after="0" w:line="3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0" w:firstLine="396"/>
        <w:spacing w:after="0" w:line="269" w:lineRule="auto"/>
        <w:rPr>
          <w:sz w:val="20"/>
          <w:szCs w:val="20"/>
          <w:color w:val="auto"/>
        </w:rPr>
      </w:pPr>
      <w:r>
        <w:rPr>
          <w:rFonts w:ascii="Times New Roman" w:cs="Times New Roman" w:eastAsia="Times New Roman" w:hAnsi="Times New Roman"/>
          <w:sz w:val="18"/>
          <w:szCs w:val="18"/>
          <w:color w:val="auto"/>
        </w:rPr>
        <w:t>The industry in which we operate is extremely competitive and rapidly evolving, with low barriers to entry. Some of our currently and potentially significant competitors include:</w:t>
      </w:r>
    </w:p>
    <w:p>
      <w:pPr>
        <w:spacing w:after="0" w:line="90" w:lineRule="exact"/>
        <w:rPr>
          <w:sz w:val="20"/>
          <w:szCs w:val="20"/>
          <w:color w:val="auto"/>
        </w:rPr>
      </w:pPr>
    </w:p>
    <w:p>
      <w:pPr>
        <w:ind w:left="960" w:right="260" w:hanging="321"/>
        <w:spacing w:after="0" w:line="269"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online platforms that feature marketplaces for stock content such as Getty Images and its iStockphoto offering, AdobeStock, Freepik and Storyblocks;</w:t>
      </w:r>
    </w:p>
    <w:p>
      <w:pPr>
        <w:spacing w:after="0" w:line="6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visual content companies that are established in local, content or product-specific market segments, such as Visual China Group;</w:t>
      </w:r>
    </w:p>
    <w:p>
      <w:pPr>
        <w:spacing w:after="0" w:line="109" w:lineRule="exact"/>
        <w:rPr>
          <w:rFonts w:ascii="Times New Roman" w:cs="Times New Roman" w:eastAsia="Times New Roman" w:hAnsi="Times New Roman"/>
          <w:sz w:val="18"/>
          <w:szCs w:val="18"/>
          <w:color w:val="auto"/>
        </w:rPr>
      </w:pPr>
    </w:p>
    <w:p>
      <w:pPr>
        <w:ind w:left="960" w:right="500" w:hanging="321"/>
        <w:spacing w:after="0" w:line="269"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commercially licensable music such as Universal Music Publishing Group, Sony/ATV Music Publishing and Warner/Chappell Music;</w:t>
      </w:r>
    </w:p>
    <w:p>
      <w:pPr>
        <w:spacing w:after="0" w:line="6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focused on providing creative workflow tools such as Canva, Picsart and Bending Spoons;</w:t>
      </w:r>
    </w:p>
    <w:p>
      <w:pPr>
        <w:spacing w:after="0" w:line="109"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focused on image search and discovery such as Google Images;</w:t>
      </w:r>
    </w:p>
    <w:p>
      <w:pPr>
        <w:spacing w:after="0" w:line="109"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free images, photography, music, footage and related tools;</w:t>
      </w:r>
    </w:p>
    <w:p>
      <w:pPr>
        <w:spacing w:after="0" w:line="109"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networking and social media services; and</w:t>
      </w:r>
    </w:p>
    <w:p>
      <w:pPr>
        <w:spacing w:after="0" w:line="109"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commissioned photographers and photography agencies.</w:t>
      </w:r>
    </w:p>
    <w:p>
      <w:pPr>
        <w:spacing w:after="0" w:line="149" w:lineRule="exact"/>
        <w:rPr>
          <w:sz w:val="20"/>
          <w:szCs w:val="20"/>
          <w:color w:val="auto"/>
        </w:rPr>
      </w:pPr>
    </w:p>
    <w:p>
      <w:pPr>
        <w:ind w:right="320" w:firstLine="396"/>
        <w:spacing w:after="0" w:line="269" w:lineRule="auto"/>
        <w:rPr>
          <w:sz w:val="20"/>
          <w:szCs w:val="20"/>
          <w:color w:val="auto"/>
        </w:rPr>
      </w:pPr>
      <w:r>
        <w:rPr>
          <w:rFonts w:ascii="Times New Roman" w:cs="Times New Roman" w:eastAsia="Times New Roman" w:hAnsi="Times New Roman"/>
          <w:sz w:val="18"/>
          <w:szCs w:val="18"/>
          <w:color w:val="auto"/>
        </w:rPr>
        <w:t>In addition, we compete with the alternative of creating one’s own content or choosing not to consume licensed content due to price considerations or because the user is not aware of how to access licensed content.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38" w:lineRule="exact"/>
        <w:rPr>
          <w:sz w:val="20"/>
          <w:szCs w:val="20"/>
          <w:color w:val="auto"/>
        </w:rPr>
      </w:pPr>
    </w:p>
    <w:p>
      <w:pPr>
        <w:ind w:firstLine="396"/>
        <w:spacing w:after="0" w:line="249" w:lineRule="auto"/>
        <w:rPr>
          <w:sz w:val="20"/>
          <w:szCs w:val="20"/>
          <w:color w:val="auto"/>
        </w:rPr>
      </w:pPr>
      <w:r>
        <w:rPr>
          <w:rFonts w:ascii="Times New Roman" w:cs="Times New Roman" w:eastAsia="Times New Roman" w:hAnsi="Times New Roman"/>
          <w:sz w:val="18"/>
          <w:szCs w:val="18"/>
          <w:color w:val="auto"/>
        </w:rPr>
        <w:t>The Company and its consolidated subsidiaries have 1,328 full-time employees as of December 31, 2022, as compared to 1,148 as of December 31, 2021. Approximately 63% of our global workforce is located in North America and 32% are located in Europe with the remainder located in the rest of the world. None of our employees in the United States are covered by collective bargaining arrangements. In several foreign jurisdictions, including Italy, Canada, France and Brazil, our employees may be subject to national collective bargaining agreements that set minimum salaries, benefits, working conditions and / or termination requirements. We consider our employee relations to be satisfactory. Competition for qualified personnel in our industry is intense, particularly for software engineers, computer scientists and other technical staff.</w:t>
      </w:r>
    </w:p>
    <w:p>
      <w:pPr>
        <w:spacing w:after="0" w:line="123" w:lineRule="exact"/>
        <w:rPr>
          <w:sz w:val="20"/>
          <w:szCs w:val="20"/>
          <w:color w:val="auto"/>
        </w:rPr>
      </w:pPr>
    </w:p>
    <w:p>
      <w:pPr>
        <w:ind w:right="60" w:firstLine="396"/>
        <w:spacing w:after="0" w:line="242" w:lineRule="auto"/>
        <w:rPr>
          <w:sz w:val="20"/>
          <w:szCs w:val="20"/>
          <w:color w:val="auto"/>
        </w:rPr>
      </w:pPr>
      <w:r>
        <w:rPr>
          <w:rFonts w:ascii="Times New Roman" w:cs="Times New Roman" w:eastAsia="Times New Roman" w:hAnsi="Times New Roman"/>
          <w:sz w:val="18"/>
          <w:szCs w:val="18"/>
          <w:color w:val="auto"/>
        </w:rPr>
        <w:t>Our people are critical to our success. We have implemented certain strategies with respect to our employees, to provide a safe, rewarding and respectful workplace. We adhere to our Code of Business Conduct and Ethics, which sets forth a commitment to our stakeholders, including our employees, to operate with integrity and mutual respect. We also incorporate safety principles into every aspect of our business. We have well-developed health and safety programs, which are reinforced through policies, education and engagement of our employees.</w:t>
      </w:r>
    </w:p>
    <w:p>
      <w:pPr>
        <w:spacing w:after="0" w:line="115"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We strive to create an outstanding employee experience by creating a culture aligned with our principles by providing our employees access to the programs and initiatives that promote their career growth and development, recognize and reward their performance and support their overall well-being. Our Total Rewards program focuses on developing and implementing policies and programs that support our business goals, maintain competitiveness, promote shared fiscal responsibility among the Company and our employees, strategically align talent within our organization and reward performance, while also managing the costs of such policies and programs. Through our Total Rewards program, we provide our employees with competitive fixed and/or variable pay, and for eligible employees we currently provide access to medical, dental and life insurance benefits, disability coverage, a 401(k) plan, equity-based compensation and employee assistance programs, among other benefits. We encourage employee engagement through regular employee events, productive communication, our global recognition program and by creating a culture of belonging.</w:t>
      </w:r>
    </w:p>
    <w:p>
      <w:pPr>
        <w:spacing w:after="0" w:line="122" w:lineRule="exact"/>
        <w:rPr>
          <w:sz w:val="20"/>
          <w:szCs w:val="20"/>
          <w:color w:val="auto"/>
        </w:rPr>
      </w:pPr>
    </w:p>
    <w:p>
      <w:pPr>
        <w:ind w:right="180" w:firstLine="396"/>
        <w:spacing w:after="0" w:line="249" w:lineRule="auto"/>
        <w:rPr>
          <w:sz w:val="20"/>
          <w:szCs w:val="20"/>
          <w:color w:val="auto"/>
        </w:rPr>
      </w:pPr>
      <w:r>
        <w:rPr>
          <w:rFonts w:ascii="Times New Roman" w:cs="Times New Roman" w:eastAsia="Times New Roman" w:hAnsi="Times New Roman"/>
          <w:sz w:val="18"/>
          <w:szCs w:val="18"/>
          <w:color w:val="auto"/>
        </w:rPr>
        <w:t>Our Diversity, Equity, and Inclusion (“DEI”) goal is to build a workforce, contributor network and content library that is representative and inclusive of the diverse global community we serve. We have a long-term commitment to creating an inclusive culture, embedding DEI throughout our recruiting and retention efforts and promoting representation and inclusion throughout our platform. Our eight employee resource groups and our DEI team have helped to raise awareness about inclusion and advocate for various historically excluded groups. We continued our focus on building leaders' and managers' cultural competency and inclusive leadership skills, as well as building a diverse pipeline of talent by establishing relationships with diverse talent communities and achieving greater representation in our content library through our Create Fund program.</w:t>
      </w:r>
    </w:p>
    <w:p>
      <w:pPr>
        <w:spacing w:after="0" w:line="200" w:lineRule="exact"/>
        <w:rPr>
          <w:sz w:val="20"/>
          <w:szCs w:val="20"/>
          <w:color w:val="auto"/>
        </w:rPr>
      </w:pPr>
    </w:p>
    <w:p>
      <w:pPr>
        <w:spacing w:after="0" w:line="3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38" w:lineRule="exact"/>
        <w:rPr>
          <w:sz w:val="20"/>
          <w:szCs w:val="20"/>
          <w:color w:val="auto"/>
        </w:rPr>
      </w:pPr>
    </w:p>
    <w:p>
      <w:pPr>
        <w:ind w:right="80" w:firstLine="396"/>
        <w:spacing w:after="0" w:line="286" w:lineRule="auto"/>
        <w:rPr>
          <w:sz w:val="20"/>
          <w:szCs w:val="20"/>
          <w:color w:val="auto"/>
        </w:rPr>
      </w:pPr>
      <w:r>
        <w:rPr>
          <w:rFonts w:ascii="Times New Roman" w:cs="Times New Roman" w:eastAsia="Times New Roman" w:hAnsi="Times New Roman"/>
          <w:sz w:val="16"/>
          <w:szCs w:val="16"/>
          <w:color w:val="auto"/>
        </w:rPr>
        <w:t>Our operating results may fluctuate from quarter to quarter as a result of a variety of factors. Our quarterly and annual results may reflect the effects of intra-period trends in customer behavior.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 Additionally, because a significant portion of our revenue is derived from repeat customers who have purchased subscription plans, our revenues have historically been less volatile than if we had no subscription-based customers.</w:t>
      </w:r>
    </w:p>
    <w:p>
      <w:pPr>
        <w:spacing w:after="0" w:line="83" w:lineRule="exact"/>
        <w:rPr>
          <w:sz w:val="20"/>
          <w:szCs w:val="20"/>
          <w:color w:val="auto"/>
        </w:rPr>
      </w:pPr>
    </w:p>
    <w:p>
      <w:pPr>
        <w:ind w:right="220" w:firstLine="396"/>
        <w:spacing w:after="0" w:line="253" w:lineRule="auto"/>
        <w:rPr>
          <w:sz w:val="20"/>
          <w:szCs w:val="20"/>
          <w:color w:val="auto"/>
        </w:rPr>
      </w:pPr>
      <w:r>
        <w:rPr>
          <w:rFonts w:ascii="Times New Roman" w:cs="Times New Roman" w:eastAsia="Times New Roman" w:hAnsi="Times New Roman"/>
          <w:sz w:val="18"/>
          <w:szCs w:val="18"/>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including any impacts from COVID-19. As a result of these and other factors, the results of any prior quarterly or annual periods should not be relied upon as indicators of our future operating performance.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launched our platform in 2003, and on October 5, 2012, we reorganized as Shutterstock, Inc., a Delaware corporation, from Shutterstock Images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LLC, a New York limited liability company. We completed our initial public offering, in October 2012, and completed a follow-on offering in September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“SSTK”.</w:t>
      </w:r>
    </w:p>
    <w:p>
      <w:pPr>
        <w:spacing w:after="0" w:line="131" w:lineRule="exact"/>
        <w:rPr>
          <w:sz w:val="20"/>
          <w:szCs w:val="20"/>
          <w:color w:val="auto"/>
        </w:rPr>
      </w:pPr>
    </w:p>
    <w:p>
      <w:pPr>
        <w:ind w:right="60" w:firstLine="396"/>
        <w:spacing w:after="0" w:line="249" w:lineRule="auto"/>
        <w:rPr>
          <w:sz w:val="20"/>
          <w:szCs w:val="20"/>
          <w:color w:val="auto"/>
        </w:rPr>
      </w:pPr>
      <w:r>
        <w:rPr>
          <w:rFonts w:ascii="Times New Roman" w:cs="Times New Roman" w:eastAsia="Times New Roman" w:hAnsi="Times New Roman"/>
          <w:sz w:val="18"/>
          <w:szCs w:val="18"/>
          <w:color w:val="auto"/>
        </w:rPr>
        <w:t>Our corporate headquarters and principal executive offices are located at 350 Fifth Avenue, 20th Floor, New York, NY 10118, and our telephone number is (646) 710-3417. We maintain a website at investor.shutterstock.com, where our Annual Reports on Form 10-K, Quarterly Reports on Form 10-Q, Current Reports on Form 8-K and all amendments to those reports are available without charge, as soon as reasonably practicable following the time they are electronically filed with or furnished to the SEC. The information on or accessible through our websites is not incorporated by reference into this Annual Report on Form 10-K. In addition, the SEC maintains a website, www.sec.gov, that includes filings of and information about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0" w:lineRule="exact"/>
        <w:rPr>
          <w:sz w:val="20"/>
          <w:szCs w:val="20"/>
          <w:color w:val="auto"/>
        </w:rPr>
      </w:pPr>
    </w:p>
    <w:p>
      <w:pPr>
        <w:ind w:firstLine="351"/>
        <w:spacing w:after="0" w:line="25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together with the financial and other information contained in this Annual Report on Form 10-K. Our business may also be adversely affected by risks and uncertainties not presently known to us or that we currently believe to be immaterial. If any of the following risks, such other risks or the risks described elsewhere in this Annual Report on Form 10-K, including in the section entitled “Management’s Discussion and Analysis of Financial Condition and Results of Operations”, actually occur, our business, financial condition, operating results, cash flow and prospects could be materially adversely affected. This could cause the trading price of our common stock to decline.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Industry Dynamics and Competition</w:t>
      </w:r>
    </w:p>
    <w:p>
      <w:pPr>
        <w:spacing w:after="0" w:line="26" w:lineRule="exact"/>
        <w:rPr>
          <w:sz w:val="20"/>
          <w:szCs w:val="20"/>
          <w:color w:val="auto"/>
        </w:rPr>
      </w:pPr>
    </w:p>
    <w:p>
      <w:pPr>
        <w:ind w:left="400" w:right="100" w:hanging="315"/>
        <w:spacing w:after="0" w:line="286" w:lineRule="auto"/>
        <w:tabs>
          <w:tab w:leader="none" w:pos="39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business depends on our ability to continue to attract and retain customers of, and contributors to, our creative platform. If customers reduce or cease their spending with us, or if content contributors reduce or end their participation on our platform, our business will be harmed.</w:t>
      </w:r>
    </w:p>
    <w:p>
      <w:pPr>
        <w:spacing w:after="0" w:line="1" w:lineRule="exact"/>
        <w:rPr>
          <w:rFonts w:ascii="Times New Roman" w:cs="Times New Roman" w:eastAsia="Times New Roman" w:hAnsi="Times New Roman"/>
          <w:sz w:val="16"/>
          <w:szCs w:val="16"/>
          <w:color w:val="auto"/>
        </w:rPr>
      </w:pPr>
    </w:p>
    <w:p>
      <w:pPr>
        <w:ind w:left="400" w:hanging="315"/>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industry in which we operate is highly competitive with low barriers to entry and if we do not compete effectively, our operating results could suffer.</w:t>
      </w:r>
    </w:p>
    <w:p>
      <w:pPr>
        <w:spacing w:after="0" w:line="40" w:lineRule="exact"/>
        <w:rPr>
          <w:rFonts w:ascii="Times New Roman" w:cs="Times New Roman" w:eastAsia="Times New Roman" w:hAnsi="Times New Roman"/>
          <w:sz w:val="16"/>
          <w:szCs w:val="16"/>
          <w:color w:val="auto"/>
        </w:rPr>
      </w:pPr>
    </w:p>
    <w:p>
      <w:pPr>
        <w:ind w:left="400" w:hanging="315"/>
        <w:spacing w:after="0" w:line="257" w:lineRule="auto"/>
        <w:tabs>
          <w:tab w:leader="none" w:pos="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efforts to acquire new, and retain existing customers may not be effective or cost-efficient, and may be affected by external factors beyond our control.</w:t>
      </w:r>
    </w:p>
    <w:p>
      <w:pPr>
        <w:ind w:left="400" w:right="160" w:hanging="315"/>
        <w:spacing w:after="0" w:line="254" w:lineRule="auto"/>
        <w:tabs>
          <w:tab w:leader="none" w:pos="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continue to innovate technologically or develop, market and offer new products and services, or enhance existing technology and products and services to meet customer requirements, our ability to grow our revenue could be impaired.</w:t>
      </w:r>
    </w:p>
    <w:p>
      <w:pPr>
        <w:spacing w:after="0" w:line="1" w:lineRule="exact"/>
        <w:rPr>
          <w:rFonts w:ascii="Times New Roman" w:cs="Times New Roman" w:eastAsia="Times New Roman" w:hAnsi="Times New Roman"/>
          <w:sz w:val="18"/>
          <w:szCs w:val="18"/>
          <w:color w:val="auto"/>
        </w:rPr>
      </w:pPr>
    </w:p>
    <w:p>
      <w:pPr>
        <w:ind w:left="400" w:hanging="315"/>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increase market awareness of our brand and our existing and new products and services, our revenue may not continue to grow.</w:t>
      </w:r>
    </w:p>
    <w:p>
      <w:pPr>
        <w:spacing w:after="0" w:line="17" w:lineRule="exact"/>
        <w:rPr>
          <w:rFonts w:ascii="Times New Roman" w:cs="Times New Roman" w:eastAsia="Times New Roman" w:hAnsi="Times New Roman"/>
          <w:sz w:val="18"/>
          <w:szCs w:val="18"/>
          <w:color w:val="auto"/>
        </w:rPr>
      </w:pPr>
    </w:p>
    <w:p>
      <w:pPr>
        <w:ind w:left="400" w:right="100" w:hanging="315"/>
        <w:spacing w:after="0" w:line="257" w:lineRule="auto"/>
        <w:tabs>
          <w:tab w:leader="none" w:pos="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continue to attract large corporate customers, we may encounter greater pricing pressure, and increased service, indemnification and working capital requirements, each of which could increase our costs and harm our business and operating results.</w:t>
      </w:r>
    </w:p>
    <w:p>
      <w:pPr>
        <w:ind w:left="400" w:right="640" w:hanging="315"/>
        <w:spacing w:after="0" w:line="254" w:lineRule="auto"/>
        <w:tabs>
          <w:tab w:leader="none" w:pos="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into new products, services and technologies, including content categories, is inherently risky and may subject us to additional business, legal, financial and competitive risks.</w:t>
      </w:r>
    </w:p>
    <w:p>
      <w:pPr>
        <w:spacing w:after="0" w:line="1" w:lineRule="exact"/>
        <w:rPr>
          <w:rFonts w:ascii="Times New Roman" w:cs="Times New Roman" w:eastAsia="Times New Roman" w:hAnsi="Times New Roman"/>
          <w:sz w:val="18"/>
          <w:szCs w:val="18"/>
          <w:color w:val="auto"/>
        </w:rPr>
      </w:pPr>
    </w:p>
    <w:p>
      <w:pPr>
        <w:ind w:left="400" w:right="320" w:hanging="315"/>
        <w:spacing w:after="0" w:line="252" w:lineRule="auto"/>
        <w:tabs>
          <w:tab w:leader="none" w:pos="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political and social conditions, including effects on advertising and marketing budgets, may adversely affect our business and operating results.</w:t>
      </w:r>
    </w:p>
    <w:p>
      <w:pPr>
        <w:ind w:left="400" w:hanging="315"/>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Social and ethical issues relating to the use of new and evolving technologies, such as AI, in our offerings may result in reputational harm and liability.</w:t>
      </w:r>
    </w:p>
    <w:p>
      <w:pPr>
        <w:spacing w:after="0" w:line="27"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Risks Related to Operating our Business</w:t>
      </w:r>
    </w:p>
    <w:p>
      <w:pPr>
        <w:spacing w:after="0" w:line="12" w:lineRule="exact"/>
        <w:rPr>
          <w:rFonts w:ascii="Times New Roman" w:cs="Times New Roman" w:eastAsia="Times New Roman" w:hAnsi="Times New Roman"/>
          <w:sz w:val="16"/>
          <w:szCs w:val="16"/>
          <w:color w:val="auto"/>
        </w:rPr>
      </w:pPr>
    </w:p>
    <w:p>
      <w:pPr>
        <w:ind w:left="400" w:hanging="315"/>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continue to grow our revenues at historical rates.</w:t>
      </w:r>
    </w:p>
    <w:p>
      <w:pPr>
        <w:spacing w:after="0" w:line="21" w:lineRule="exact"/>
        <w:rPr>
          <w:rFonts w:ascii="Times New Roman" w:cs="Times New Roman" w:eastAsia="Times New Roman" w:hAnsi="Times New Roman"/>
          <w:sz w:val="18"/>
          <w:szCs w:val="18"/>
          <w:color w:val="auto"/>
        </w:rPr>
      </w:pPr>
    </w:p>
    <w:p>
      <w:pPr>
        <w:ind w:left="400" w:right="320" w:hanging="315"/>
        <w:spacing w:after="0" w:line="252" w:lineRule="auto"/>
        <w:tabs>
          <w:tab w:leader="none" w:pos="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expand, train, manage changes to, and retain our sales force, we may be unable to add new customers or increase sales to our existing customers, and our revenue growth and business could be adversely affected.</w:t>
      </w:r>
    </w:p>
    <w:p>
      <w:pPr>
        <w:ind w:left="400" w:hanging="315"/>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continued to grow in recent periods and if we fail to effectively manage our growth, our business and operating results may suffer.</w:t>
      </w:r>
    </w:p>
    <w:p>
      <w:pPr>
        <w:spacing w:after="0" w:line="25" w:lineRule="exact"/>
        <w:rPr>
          <w:rFonts w:ascii="Times New Roman" w:cs="Times New Roman" w:eastAsia="Times New Roman" w:hAnsi="Times New Roman"/>
          <w:sz w:val="18"/>
          <w:szCs w:val="18"/>
          <w:color w:val="auto"/>
        </w:rPr>
      </w:pPr>
    </w:p>
    <w:p>
      <w:pPr>
        <w:ind w:left="400" w:hanging="315"/>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make, integrate and maintain acquisitions and investments, our business could be adversely impacted.</w:t>
      </w:r>
    </w:p>
    <w:p>
      <w:pPr>
        <w:spacing w:after="0" w:line="21" w:lineRule="exact"/>
        <w:rPr>
          <w:rFonts w:ascii="Times New Roman" w:cs="Times New Roman" w:eastAsia="Times New Roman" w:hAnsi="Times New Roman"/>
          <w:sz w:val="18"/>
          <w:szCs w:val="18"/>
          <w:color w:val="auto"/>
        </w:rPr>
      </w:pPr>
    </w:p>
    <w:p>
      <w:pPr>
        <w:ind w:left="400" w:right="100" w:hanging="315"/>
        <w:spacing w:after="0" w:line="252" w:lineRule="auto"/>
        <w:tabs>
          <w:tab w:leader="none" w:pos="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retain and motivate key personnel, attract qualified personnel, integrate new members of our management team or maintain our corporate culture, we may not be able to grow effectively.</w:t>
      </w:r>
    </w:p>
    <w:p>
      <w:pPr>
        <w:ind w:left="400" w:hanging="315"/>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risks related to our use of independent contractors.</w:t>
      </w:r>
    </w:p>
    <w:p>
      <w:pPr>
        <w:spacing w:after="0" w:line="25" w:lineRule="exact"/>
        <w:rPr>
          <w:rFonts w:ascii="Times New Roman" w:cs="Times New Roman" w:eastAsia="Times New Roman" w:hAnsi="Times New Roman"/>
          <w:sz w:val="18"/>
          <w:szCs w:val="18"/>
          <w:color w:val="auto"/>
        </w:rPr>
      </w:pPr>
    </w:p>
    <w:p>
      <w:pPr>
        <w:ind w:left="400" w:hanging="315"/>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non-payment or late payments of amounts due to us from certain customers may negatively impact our financial condition.</w:t>
      </w:r>
    </w:p>
    <w:p>
      <w:pPr>
        <w:spacing w:after="0" w:line="21" w:lineRule="exact"/>
        <w:rPr>
          <w:rFonts w:ascii="Times New Roman" w:cs="Times New Roman" w:eastAsia="Times New Roman" w:hAnsi="Times New Roman"/>
          <w:sz w:val="18"/>
          <w:szCs w:val="18"/>
          <w:color w:val="auto"/>
        </w:rPr>
      </w:pPr>
    </w:p>
    <w:p>
      <w:pPr>
        <w:ind w:left="400" w:right="340" w:hanging="315"/>
        <w:spacing w:after="0" w:line="252" w:lineRule="auto"/>
        <w:tabs>
          <w:tab w:leader="none" w:pos="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payment-related risks that may result in higher operating costs or the inability to process payments, either of which could harm our financial condition and results of operations.</w:t>
      </w:r>
    </w:p>
    <w:p>
      <w:pPr>
        <w:ind w:left="400" w:hanging="315"/>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goodwill or intangible assets become impaired, we may be required to record a significant charge to earnings.</w:t>
      </w:r>
    </w:p>
    <w:p>
      <w:pPr>
        <w:spacing w:after="0" w:line="17" w:lineRule="exact"/>
        <w:rPr>
          <w:rFonts w:ascii="Times New Roman" w:cs="Times New Roman" w:eastAsia="Times New Roman" w:hAnsi="Times New Roman"/>
          <w:sz w:val="18"/>
          <w:szCs w:val="18"/>
          <w:color w:val="auto"/>
        </w:rPr>
      </w:pPr>
    </w:p>
    <w:p>
      <w:pPr>
        <w:ind w:left="400" w:hanging="315"/>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in the future and may be unable to do so on acceptable terms or at all.</w:t>
      </w:r>
    </w:p>
    <w:p>
      <w:pPr>
        <w:spacing w:after="0" w:line="17" w:lineRule="exact"/>
        <w:rPr>
          <w:rFonts w:ascii="Times New Roman" w:cs="Times New Roman" w:eastAsia="Times New Roman" w:hAnsi="Times New Roman"/>
          <w:sz w:val="18"/>
          <w:szCs w:val="18"/>
          <w:color w:val="auto"/>
        </w:rPr>
      </w:pPr>
    </w:p>
    <w:p>
      <w:pPr>
        <w:ind w:left="400" w:right="440" w:hanging="315"/>
        <w:spacing w:after="0" w:line="249" w:lineRule="auto"/>
        <w:tabs>
          <w:tab w:leader="none" w:pos="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debt which could have a negative impact on our financing options and liquidity position, which could in turn adversely affect our business.</w:t>
      </w:r>
    </w:p>
    <w:p>
      <w:pPr>
        <w:spacing w:after="0" w:line="173" w:lineRule="exact"/>
        <w:rPr>
          <w:sz w:val="20"/>
          <w:szCs w:val="20"/>
          <w:color w:val="auto"/>
        </w:rPr>
      </w:pPr>
    </w:p>
    <w:p>
      <w:pPr>
        <w:ind w:left="400" w:right="100" w:hanging="315"/>
        <w:spacing w:after="0" w:line="257" w:lineRule="auto"/>
        <w:tabs>
          <w:tab w:leader="none" w:pos="39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 of the COVID-19 pandemic on our operations, and the operations of our customers, partners and suppliers, has had and could have a material adverse effect on our business, financial condition, cash flows and results of operations, and the extent to which the pandemic will have a continued impact remains uncertain.</w:t>
      </w:r>
    </w:p>
    <w:p>
      <w:pPr>
        <w:spacing w:after="0" w:line="200" w:lineRule="exact"/>
        <w:rPr>
          <w:rFonts w:ascii="Times New Roman" w:cs="Times New Roman" w:eastAsia="Times New Roman" w:hAnsi="Times New Roman"/>
          <w:sz w:val="18"/>
          <w:szCs w:val="18"/>
          <w:b w:val="1"/>
          <w:bCs w:val="1"/>
          <w:color w:val="auto"/>
        </w:rPr>
      </w:pPr>
    </w:p>
    <w:p>
      <w:pPr>
        <w:spacing w:after="0" w:line="216"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ind w:left="315"/>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315"/>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 and Security Vulnerabilities</w:t>
      </w:r>
    </w:p>
    <w:p>
      <w:pPr>
        <w:spacing w:after="0" w:line="26" w:lineRule="exact"/>
        <w:rPr>
          <w:sz w:val="20"/>
          <w:szCs w:val="20"/>
          <w:color w:val="auto"/>
        </w:rPr>
      </w:pPr>
    </w:p>
    <w:p>
      <w:pPr>
        <w:ind w:left="315" w:right="800" w:hanging="315"/>
        <w:spacing w:after="0" w:line="257"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technologies and systems to operate our business and maintain our competitiveness, and any failures in our technology infrastructure could harm our reputation and brand and adversely affect our business.</w:t>
      </w:r>
    </w:p>
    <w:p>
      <w:pPr>
        <w:ind w:left="315" w:right="580" w:hanging="315"/>
        <w:spacing w:after="0" w:line="254"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interruptions that impair access to our web properties or the efficiency of our marketplace could harm our reputation and brand and adversely affect our business and results of operations.</w:t>
      </w:r>
    </w:p>
    <w:p>
      <w:pPr>
        <w:spacing w:after="0" w:line="1" w:lineRule="exact"/>
        <w:rPr>
          <w:rFonts w:ascii="Times New Roman" w:cs="Times New Roman" w:eastAsia="Times New Roman" w:hAnsi="Times New Roman"/>
          <w:sz w:val="18"/>
          <w:szCs w:val="18"/>
          <w:color w:val="auto"/>
        </w:rPr>
      </w:pPr>
    </w:p>
    <w:p>
      <w:pPr>
        <w:ind w:left="315" w:right="720" w:hanging="315"/>
        <w:spacing w:after="0" w:line="252"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resulting from the content in our collection such as unforeseen costs related to infringement claims, potential liability arising from indemnification claims, changes to intellectual property content regulations and laws and the inability to prevent or monitor misuse.</w:t>
      </w:r>
    </w:p>
    <w:p>
      <w:pPr>
        <w:ind w:left="315" w:right="80" w:hanging="315"/>
        <w:spacing w:after="0" w:line="257"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third parties of infringement of intellectual property rights related to our technology could result in significant costs and substantially harm our business and operating results.</w:t>
      </w:r>
    </w:p>
    <w:p>
      <w:pPr>
        <w:ind w:left="315" w:right="80" w:hanging="315"/>
        <w:spacing w:after="0" w:line="251"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 store, process, transmit and use personally identifiable information and other data, which subjects us to governmental regulation and other legal obligations related to privacy, information security and data protection in many jurisdictions. Any cybersecurity breaches or our actual or perceived failure to comply with such legal obligations by us, or by our third-party service providers or partners, could harm our business.</w:t>
      </w:r>
    </w:p>
    <w:p>
      <w:pPr>
        <w:spacing w:after="0" w:line="1" w:lineRule="exact"/>
        <w:rPr>
          <w:rFonts w:ascii="Times New Roman" w:cs="Times New Roman" w:eastAsia="Times New Roman" w:hAnsi="Times New Roman"/>
          <w:sz w:val="18"/>
          <w:szCs w:val="18"/>
          <w:color w:val="auto"/>
        </w:rPr>
      </w:pPr>
    </w:p>
    <w:p>
      <w:pPr>
        <w:ind w:left="315" w:right="500" w:hanging="315"/>
        <w:spacing w:after="0" w:line="252"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and improper access to or disclosure of data or confidential information we maintain, or hacking or phishing attacks on our systems, could expose us to liability, protracted and costly litigation and damage our reputation.</w:t>
      </w:r>
    </w:p>
    <w:p>
      <w:pPr>
        <w:ind w:left="315" w:hanging="315"/>
        <w:spacing w:after="0"/>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could substantially harm our business and operating results.</w:t>
      </w:r>
    </w:p>
    <w:p>
      <w:pPr>
        <w:spacing w:after="0" w:line="25" w:lineRule="exact"/>
        <w:rPr>
          <w:rFonts w:ascii="Times New Roman" w:cs="Times New Roman" w:eastAsia="Times New Roman" w:hAnsi="Times New Roman"/>
          <w:sz w:val="18"/>
          <w:szCs w:val="18"/>
          <w:color w:val="auto"/>
        </w:rPr>
      </w:pPr>
    </w:p>
    <w:p>
      <w:pPr>
        <w:ind w:left="315" w:hanging="315"/>
        <w:spacing w:after="0" w:line="254"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1" w:lineRule="exact"/>
        <w:rPr>
          <w:rFonts w:ascii="Times New Roman" w:cs="Times New Roman" w:eastAsia="Times New Roman" w:hAnsi="Times New Roman"/>
          <w:sz w:val="18"/>
          <w:szCs w:val="18"/>
          <w:color w:val="auto"/>
        </w:rPr>
      </w:pPr>
    </w:p>
    <w:p>
      <w:pPr>
        <w:ind w:left="315" w:right="80" w:hanging="315"/>
        <w:spacing w:after="0" w:line="252"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or other interruptions or failures of our information technology systems could hurt our ability to effectively provide our products and services, which could harm our reputation and brand and adversely affect our business and operating results.</w:t>
      </w:r>
    </w:p>
    <w:p>
      <w:pPr>
        <w:ind w:left="3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our International Operations</w:t>
      </w:r>
    </w:p>
    <w:p>
      <w:pPr>
        <w:spacing w:after="0" w:line="25"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and our continued expansion internationally expose us to many risks.</w:t>
      </w:r>
    </w:p>
    <w:p>
      <w:pPr>
        <w:spacing w:after="0" w:line="21"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foreign exchange risk.</w:t>
      </w:r>
    </w:p>
    <w:p>
      <w:pPr>
        <w:spacing w:after="0" w:line="17" w:lineRule="exact"/>
        <w:rPr>
          <w:rFonts w:ascii="Times New Roman" w:cs="Times New Roman" w:eastAsia="Times New Roman" w:hAnsi="Times New Roman"/>
          <w:sz w:val="18"/>
          <w:szCs w:val="18"/>
          <w:color w:val="auto"/>
        </w:rPr>
      </w:pPr>
    </w:p>
    <w:p>
      <w:pPr>
        <w:ind w:left="3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Regulatory and Tax Challenges</w:t>
      </w:r>
    </w:p>
    <w:p>
      <w:pPr>
        <w:spacing w:after="0" w:line="25" w:lineRule="exact"/>
        <w:rPr>
          <w:rFonts w:ascii="Times New Roman" w:cs="Times New Roman" w:eastAsia="Times New Roman" w:hAnsi="Times New Roman"/>
          <w:sz w:val="18"/>
          <w:szCs w:val="18"/>
          <w:color w:val="auto"/>
        </w:rPr>
      </w:pPr>
    </w:p>
    <w:p>
      <w:pPr>
        <w:ind w:left="315" w:right="280" w:hanging="315"/>
        <w:spacing w:after="0" w:line="254"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the internet, both in the United States and abroad, is evolving and unfavorable changes could have a negative impact on our business.</w:t>
      </w:r>
    </w:p>
    <w:p>
      <w:pPr>
        <w:spacing w:after="0" w:line="1" w:lineRule="exact"/>
        <w:rPr>
          <w:rFonts w:ascii="Times New Roman" w:cs="Times New Roman" w:eastAsia="Times New Roman" w:hAnsi="Times New Roman"/>
          <w:sz w:val="18"/>
          <w:szCs w:val="18"/>
          <w:color w:val="auto"/>
        </w:rPr>
      </w:pPr>
    </w:p>
    <w:p>
      <w:pPr>
        <w:ind w:left="315" w:right="480" w:hanging="315"/>
        <w:spacing w:after="0" w:line="252"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by governments to restrict access to, or operation of, our services or the content we distribute in their countries could substantially harm our reputation, business and financial results.</w:t>
      </w:r>
    </w:p>
    <w:p>
      <w:pPr>
        <w:ind w:left="315" w:right="320" w:hanging="315"/>
        <w:spacing w:after="0" w:line="257"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laws or regulations could be enacted or changed and existing income tax laws or regulations could be applied to us in a manner that could increase the costs of our products and services, which could harm our financial condition and results of operations.</w:t>
      </w:r>
    </w:p>
    <w:p>
      <w:pPr>
        <w:ind w:left="315" w:right="280" w:hanging="315"/>
        <w:spacing w:after="0" w:line="254"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greater than anticipated withholding, sales, use, value added and other non-income tax liabilities, including as a result of future changes in laws or regulations, which could harm our financial condition and results of operations.</w:t>
      </w:r>
    </w:p>
    <w:p>
      <w:pPr>
        <w:spacing w:after="0" w:line="1" w:lineRule="exact"/>
        <w:rPr>
          <w:rFonts w:ascii="Times New Roman" w:cs="Times New Roman" w:eastAsia="Times New Roman" w:hAnsi="Times New Roman"/>
          <w:sz w:val="18"/>
          <w:szCs w:val="18"/>
          <w:color w:val="auto"/>
        </w:rPr>
      </w:pPr>
    </w:p>
    <w:p>
      <w:pPr>
        <w:ind w:left="3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17"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which could cause our results to fall short of expectations and our stock price to decline.</w:t>
      </w:r>
    </w:p>
    <w:p>
      <w:pPr>
        <w:spacing w:after="0" w:line="25"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will likely continue to be volatile.</w:t>
      </w:r>
    </w:p>
    <w:p>
      <w:pPr>
        <w:spacing w:after="0" w:line="21" w:lineRule="exact"/>
        <w:rPr>
          <w:rFonts w:ascii="Times New Roman" w:cs="Times New Roman" w:eastAsia="Times New Roman" w:hAnsi="Times New Roman"/>
          <w:sz w:val="18"/>
          <w:szCs w:val="18"/>
          <w:color w:val="auto"/>
        </w:rPr>
      </w:pPr>
    </w:p>
    <w:p>
      <w:pPr>
        <w:ind w:left="315" w:right="280" w:hanging="315"/>
        <w:spacing w:after="0" w:line="248"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Oringer, our founder and Executive Chairman of the Board, owns and controls approximately 32.6% of our outstanding shares of common stock, and his ownership percentage may increase, including as a result of any share repurchases pursuant to our share repurchase program. This concentration of ownership may have an effect on matters requiring the approval of our stockholders, including elections to our board of directors and transactions that are otherwise favorable to our stockholders.</w:t>
      </w:r>
    </w:p>
    <w:p>
      <w:pPr>
        <w:spacing w:after="0" w:line="1" w:lineRule="exact"/>
        <w:rPr>
          <w:rFonts w:ascii="Times New Roman" w:cs="Times New Roman" w:eastAsia="Times New Roman" w:hAnsi="Times New Roman"/>
          <w:sz w:val="18"/>
          <w:szCs w:val="18"/>
          <w:color w:val="auto"/>
        </w:rPr>
      </w:pPr>
    </w:p>
    <w:p>
      <w:pPr>
        <w:ind w:left="315" w:right="360" w:hanging="315"/>
        <w:spacing w:after="0" w:line="257"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of our common stock pursuant to our share repurchase program may affect the value of our common stock and diminish our cash reserves, and there can be no assurance that our share repurchase program will enhance stockholder value.</w:t>
      </w:r>
    </w:p>
    <w:p>
      <w:pPr>
        <w:ind w:left="315" w:right="560" w:hanging="315"/>
        <w:spacing w:after="0" w:line="254"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 the public market could cause our share price to decline.</w:t>
      </w:r>
    </w:p>
    <w:p>
      <w:pPr>
        <w:spacing w:after="0" w:line="17" w:lineRule="exact"/>
        <w:rPr>
          <w:rFonts w:ascii="Times New Roman" w:cs="Times New Roman" w:eastAsia="Times New Roman" w:hAnsi="Times New Roman"/>
          <w:sz w:val="18"/>
          <w:szCs w:val="18"/>
          <w:color w:val="auto"/>
        </w:rPr>
      </w:pPr>
    </w:p>
    <w:p>
      <w:pPr>
        <w:ind w:left="315" w:right="280" w:hanging="315"/>
        <w:spacing w:after="0" w:line="257"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charter documents and Delaware law could discourage, delay or prevent a change in control of our Company and may affect the trading price of our common stock.</w:t>
      </w:r>
    </w:p>
    <w:p>
      <w:pPr>
        <w:ind w:left="315" w:right="5880" w:hanging="315"/>
        <w:spacing w:after="0" w:line="789" w:lineRule="auto"/>
        <w:tabs>
          <w:tab w:leader="none" w:pos="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dividends in the future.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-177800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55"/>
          </w:cols>
          <w:pgMar w:left="405" w:top="121" w:right="33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400" w:hanging="315"/>
        <w:spacing w:after="0" w:line="254"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expect to continue to incur increased costs and our management will continue to face increased demands as a result of continuously improving our operations as a public company.</w:t>
      </w:r>
    </w:p>
    <w:p>
      <w:pPr>
        <w:spacing w:after="0" w:line="1" w:lineRule="exact"/>
        <w:rPr>
          <w:rFonts w:ascii="Times New Roman" w:cs="Times New Roman" w:eastAsia="Times New Roman" w:hAnsi="Times New Roman"/>
          <w:sz w:val="18"/>
          <w:szCs w:val="18"/>
          <w:color w:val="auto"/>
        </w:rPr>
      </w:pPr>
    </w:p>
    <w:p>
      <w:pPr>
        <w:ind w:left="400" w:right="120" w:hanging="315"/>
        <w:spacing w:after="0" w:line="254"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 over financial reporting,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Industry Dynamics and Competition</w:t>
      </w:r>
    </w:p>
    <w:p>
      <w:pPr>
        <w:spacing w:after="0" w:line="160" w:lineRule="exact"/>
        <w:rPr>
          <w:sz w:val="20"/>
          <w:szCs w:val="20"/>
          <w:color w:val="auto"/>
        </w:rPr>
      </w:pPr>
    </w:p>
    <w:p>
      <w:pPr>
        <w:ind w:right="160"/>
        <w:spacing w:after="0" w:line="338" w:lineRule="auto"/>
        <w:rPr>
          <w:sz w:val="20"/>
          <w:szCs w:val="20"/>
          <w:color w:val="auto"/>
        </w:rPr>
      </w:pPr>
      <w:r>
        <w:rPr>
          <w:rFonts w:ascii="Times New Roman" w:cs="Times New Roman" w:eastAsia="Times New Roman" w:hAnsi="Times New Roman"/>
          <w:sz w:val="16"/>
          <w:szCs w:val="16"/>
          <w:b w:val="1"/>
          <w:bCs w:val="1"/>
          <w:i w:val="1"/>
          <w:iCs w:val="1"/>
          <w:color w:val="auto"/>
        </w:rPr>
        <w:t>The success of our business depends on our ability to continue to attract and retain customers of, and contributors to, our creative platform. If customers reduce or cease their spending with us, or if content contributors reduce or end their participation on our platform, our business will be harmed.</w:t>
      </w:r>
    </w:p>
    <w:p>
      <w:pPr>
        <w:spacing w:after="0" w:line="13"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The continued use of our creative platform by customers and contributors is critical to our success. Our future performance largely depends on our ability to attract new, and retain existing, paying customers and contributors. We do not know whether we will be able to achieve user growth rates in the future similar to our previous results. The majority of our revenue is derived from customers who have purchased from us in the past, but customers have several options to find content. If we lose existing customers, or new customers are not as active as our existing customers, our financial performance and growth could be harmed.</w:t>
      </w:r>
    </w:p>
    <w:p>
      <w:pPr>
        <w:spacing w:after="0" w:line="83" w:lineRule="exact"/>
        <w:rPr>
          <w:sz w:val="20"/>
          <w:szCs w:val="20"/>
          <w:color w:val="auto"/>
        </w:rPr>
      </w:pPr>
    </w:p>
    <w:p>
      <w:pPr>
        <w:ind w:right="220" w:firstLine="396"/>
        <w:spacing w:after="0" w:line="269" w:lineRule="auto"/>
        <w:rPr>
          <w:sz w:val="20"/>
          <w:szCs w:val="20"/>
          <w:color w:val="auto"/>
        </w:rPr>
      </w:pPr>
      <w:r>
        <w:rPr>
          <w:rFonts w:ascii="Times New Roman" w:cs="Times New Roman" w:eastAsia="Times New Roman" w:hAnsi="Times New Roman"/>
          <w:sz w:val="18"/>
          <w:szCs w:val="18"/>
          <w:color w:val="auto"/>
        </w:rPr>
        <w:t>Our ability to attract new customers and contributors, and to incentivize our customers to continue purchasing our products and our contributors to add new content to our platform depends on several factors, including:</w:t>
      </w:r>
    </w:p>
    <w:p>
      <w:pPr>
        <w:spacing w:after="0" w:line="64" w:lineRule="exact"/>
        <w:rPr>
          <w:sz w:val="20"/>
          <w:szCs w:val="20"/>
          <w:color w:val="auto"/>
        </w:rPr>
      </w:pPr>
    </w:p>
    <w:p>
      <w:pPr>
        <w:ind w:left="1260" w:hanging="305"/>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content available for licensing;</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efforts;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features and functionality of our platform;</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of our products;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products and services and ability to expand our offerings;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contributors’ experience in using our platform; and</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accuracy of our search algorithms.</w:t>
      </w:r>
    </w:p>
    <w:p>
      <w:pPr>
        <w:spacing w:after="0" w:line="110" w:lineRule="exact"/>
        <w:rPr>
          <w:sz w:val="20"/>
          <w:szCs w:val="20"/>
          <w:color w:val="auto"/>
        </w:rPr>
      </w:pPr>
    </w:p>
    <w:p>
      <w:pPr>
        <w:ind w:right="60" w:firstLine="396"/>
        <w:spacing w:after="0" w:line="250" w:lineRule="auto"/>
        <w:rPr>
          <w:sz w:val="20"/>
          <w:szCs w:val="20"/>
          <w:color w:val="auto"/>
        </w:rPr>
      </w:pPr>
      <w:r>
        <w:rPr>
          <w:rFonts w:ascii="Times New Roman" w:cs="Times New Roman" w:eastAsia="Times New Roman" w:hAnsi="Times New Roman"/>
          <w:sz w:val="18"/>
          <w:szCs w:val="18"/>
          <w:color w:val="auto"/>
        </w:rPr>
        <w:t>Further, our growth strategy relies on network effects: we rely in part on a growing audience of paying users to attract more content from contributors, thereby increasing our content selection and in turn attracting additional paying customers. For example, our global strategy relies on enabling easier global access in order to attract new contributions of local content, in turn attracting more paying customers who have preferences for local content. Any decrease in the attractiveness of our platform relative to other options available to our customers and contributors could lead to decreased engagement on our platform and unfavorably impact the network effects of our platform, which could result in loss of revenue.</w:t>
      </w:r>
    </w:p>
    <w:p>
      <w:pPr>
        <w:spacing w:after="0" w:line="83" w:lineRule="exact"/>
        <w:rPr>
          <w:sz w:val="20"/>
          <w:szCs w:val="20"/>
          <w:color w:val="auto"/>
        </w:rPr>
      </w:pPr>
    </w:p>
    <w:p>
      <w:pPr>
        <w:ind w:right="440" w:firstLine="396"/>
        <w:spacing w:after="0" w:line="269" w:lineRule="auto"/>
        <w:rPr>
          <w:sz w:val="20"/>
          <w:szCs w:val="20"/>
          <w:color w:val="auto"/>
        </w:rPr>
      </w:pPr>
      <w:r>
        <w:rPr>
          <w:rFonts w:ascii="Times New Roman" w:cs="Times New Roman" w:eastAsia="Times New Roman" w:hAnsi="Times New Roman"/>
          <w:sz w:val="18"/>
          <w:szCs w:val="18"/>
          <w:color w:val="auto"/>
        </w:rPr>
        <w:t>If we are unable to grow our customer and contributor base, or retain our existing contributors and paying customers, or are unable to attract paying customers in a cost-effective manner, our financial performance, operating results and business may be adversely affected.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industry in which we operate is highly competitive with low barriers to entry and if we do not compete effectively, our operating results could suffer.</w:t>
      </w:r>
    </w:p>
    <w:p>
      <w:pPr>
        <w:spacing w:after="0" w:line="137" w:lineRule="exact"/>
        <w:rPr>
          <w:sz w:val="20"/>
          <w:szCs w:val="20"/>
          <w:color w:val="auto"/>
        </w:rPr>
      </w:pPr>
    </w:p>
    <w:p>
      <w:pPr>
        <w:ind w:firstLine="396"/>
        <w:spacing w:after="0" w:line="284" w:lineRule="auto"/>
        <w:rPr>
          <w:sz w:val="20"/>
          <w:szCs w:val="20"/>
          <w:color w:val="auto"/>
        </w:rPr>
      </w:pPr>
      <w:r>
        <w:rPr>
          <w:rFonts w:ascii="Times New Roman" w:cs="Times New Roman" w:eastAsia="Times New Roman" w:hAnsi="Times New Roman"/>
          <w:sz w:val="16"/>
          <w:szCs w:val="16"/>
          <w:color w:val="auto"/>
        </w:rPr>
        <w:t>The industry in which we operate is intensely competitive and rapidly evolving, with low barriers to entry. We compete with a wide and diverse array of companies, from significant media companies to newly emerging generative artificial intelligence (“AI”) technologies to individual content creators. Our current and potential domestic and international competitors range from large established companies to emerging start-ups across different industries, including online marketplace and traditional stock content suppliers of current and archival creative and editorial imagery, photography, footage, and music; specialized visual content companies in specific geographic segments; providers of commercially licensable music; websites specializing in image search, recognition, discovery and consumption; websites that host and store images, art and other related products; providers of free images, photography, music, footage and related tools (including offerings by our partners); social networking and social media services; and commissioned photographers and photography agencies.</w:t>
      </w:r>
    </w:p>
    <w:p>
      <w:pPr>
        <w:spacing w:after="0" w:line="59"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color w:val="auto"/>
        </w:rPr>
        <w:t>We believe that the principal competitive factors in the content industry include: quality, relevance and breadth of content; the ability to source new content; content licensing options and the degree to which users are protected from legal risk; the effective use of current and emerging technology; accessibility of content, distribution capability, and speed and ease of search and fulfillment; brand recognition and reputation; customer service; availability of additional platform features, such as</w:t>
      </w: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workplace tools and ability to engage with additional platform features; the global nature of a company’s interfaces and marketing efforts, including local content, languages, currencies, and payment methods; and newly emerging generative AI technologies. If our competitors use their experience and resources to provide an offering that is more attractive to customers across these categories, or if our competitors innovate and provide products faster than we can, we may be unable to compete effectively and our business will be harmed.</w:t>
      </w:r>
    </w:p>
    <w:p>
      <w:pPr>
        <w:spacing w:after="0" w:line="77" w:lineRule="exact"/>
        <w:rPr>
          <w:sz w:val="20"/>
          <w:szCs w:val="20"/>
          <w:color w:val="auto"/>
        </w:rPr>
      </w:pPr>
    </w:p>
    <w:p>
      <w:pPr>
        <w:ind w:right="60" w:firstLine="396"/>
        <w:spacing w:after="0" w:line="253" w:lineRule="auto"/>
        <w:rPr>
          <w:sz w:val="20"/>
          <w:szCs w:val="20"/>
          <w:color w:val="auto"/>
        </w:rPr>
      </w:pPr>
      <w:r>
        <w:rPr>
          <w:rFonts w:ascii="Times New Roman" w:cs="Times New Roman" w:eastAsia="Times New Roman" w:hAnsi="Times New Roman"/>
          <w:sz w:val="18"/>
          <w:szCs w:val="18"/>
          <w:color w:val="auto"/>
        </w:rPr>
        <w:t>Many of our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This could lead to more variability in operating results and could have a material adverse effect on our business, operating results, and financial condition.</w:t>
      </w:r>
    </w:p>
    <w:p>
      <w:pPr>
        <w:spacing w:after="0" w:line="77" w:lineRule="exact"/>
        <w:rPr>
          <w:sz w:val="20"/>
          <w:szCs w:val="20"/>
          <w:color w:val="auto"/>
        </w:rPr>
      </w:pPr>
    </w:p>
    <w:p>
      <w:pPr>
        <w:ind w:right="20" w:firstLine="396"/>
        <w:spacing w:after="0" w:line="284" w:lineRule="auto"/>
        <w:rPr>
          <w:sz w:val="20"/>
          <w:szCs w:val="20"/>
          <w:color w:val="auto"/>
        </w:rPr>
      </w:pPr>
      <w:r>
        <w:rPr>
          <w:rFonts w:ascii="Times New Roman" w:cs="Times New Roman" w:eastAsia="Times New Roman" w:hAnsi="Times New Roman"/>
          <w:sz w:val="16"/>
          <w:szCs w:val="16"/>
          <w:color w:val="auto"/>
        </w:rPr>
        <w:t>While we believe that there are obstacles to creating a meaningful network effect between customers and contributors, the barriers to creating a platform that allows for the licensing of content or provides workflow tools are low. If competitors offer higher royalties or more favorable royalty earning potential, easier submission workflows, or less rigorous vetting processes or incentivize contributors to distribute their content on an exclusive basis, contributors may choose to stop distributing new content with us or remove their existing content from our collection. Further, as technology advances or other market dynamics make creating, sourcing, archiving, indexing, reviewing, searching or delivering content easier or more affordable, our existing and potential competitors may also seek to develop new products, technologies or capabilities that could render many of the products, services and content types that we offer obsolete or less competitive. For any of these reasons, we may not be able to compete successfully against our current and future competitors.</w:t>
      </w:r>
    </w:p>
    <w:p>
      <w:pPr>
        <w:spacing w:after="0" w:line="59" w:lineRule="exact"/>
        <w:rPr>
          <w:sz w:val="20"/>
          <w:szCs w:val="20"/>
          <w:color w:val="auto"/>
        </w:rPr>
      </w:pPr>
    </w:p>
    <w:p>
      <w:pPr>
        <w:ind w:right="120" w:firstLine="396"/>
        <w:spacing w:after="0" w:line="253" w:lineRule="auto"/>
        <w:rPr>
          <w:sz w:val="20"/>
          <w:szCs w:val="20"/>
          <w:color w:val="auto"/>
        </w:rPr>
      </w:pPr>
      <w:r>
        <w:rPr>
          <w:rFonts w:ascii="Times New Roman" w:cs="Times New Roman" w:eastAsia="Times New Roman" w:hAnsi="Times New Roman"/>
          <w:sz w:val="18"/>
          <w:szCs w:val="18"/>
          <w:color w:val="auto"/>
        </w:rPr>
        <w:t>In addition, demand for our products and services is sensitive to price. Many external factors, including our technology and personnel costs and our competitors’ pricing and marketing strategies, could significantly impact our pricing strategies and we could fail to meet our customers’ pricing expectations. Increased competition and pricing pressures may result in reduced sales, lower margins, losses or the failure of our product and services to maintain and grow their current market share, any of which could harm our business.</w:t>
      </w:r>
    </w:p>
    <w:p>
      <w:pPr>
        <w:spacing w:after="0" w:line="12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to acquire new, and retain existing, customers may not be effective or cost-efficient, and may be affected by external factors beyond our control.</w:t>
      </w:r>
    </w:p>
    <w:p>
      <w:pPr>
        <w:spacing w:after="0" w:line="59" w:lineRule="exact"/>
        <w:rPr>
          <w:sz w:val="20"/>
          <w:szCs w:val="20"/>
          <w:color w:val="auto"/>
        </w:rPr>
      </w:pPr>
    </w:p>
    <w:p>
      <w:pPr>
        <w:ind w:right="20" w:firstLine="396"/>
        <w:spacing w:after="0" w:line="248" w:lineRule="auto"/>
        <w:rPr>
          <w:sz w:val="20"/>
          <w:szCs w:val="20"/>
          <w:color w:val="auto"/>
        </w:rPr>
      </w:pPr>
      <w:r>
        <w:rPr>
          <w:rFonts w:ascii="Times New Roman" w:cs="Times New Roman" w:eastAsia="Times New Roman" w:hAnsi="Times New Roman"/>
          <w:sz w:val="18"/>
          <w:szCs w:val="18"/>
          <w:color w:val="auto"/>
        </w:rPr>
        <w:t>Maintaining and promoting awareness of our platform and services is important to our ability to attract and retain customers. We spend a significant amount on marketing activities to acquire new customers and retain and engage existing customers. For example, in 2022, 2021 and 2020 our marketing expenses were approximately $97.2 million, $112.9 million and $81.2 million, respectively, and we expect our marketing expenses to continue to account for a significant portion of our operating expenses. Our business depends on a high degree of website traffic, which is dependent on many factors, including the availability of appealing website content, user loyalty and new user generation from search engine portals. Our primary marketing efforts currently are search engine marketing (“SEM”), search engine optimization (“SEO”), affiliate marketing and display advertising, as well as, social media and email. The marketing efforts we implement may not succeed for a variety of reasons, including our inability to execute and implement our plans. External factors beyond our control may also impact the success of our marketing initiatives.</w:t>
      </w:r>
    </w:p>
    <w:p>
      <w:pPr>
        <w:spacing w:after="0" w:line="83" w:lineRule="exact"/>
        <w:rPr>
          <w:sz w:val="20"/>
          <w:szCs w:val="20"/>
          <w:color w:val="auto"/>
        </w:rPr>
      </w:pPr>
    </w:p>
    <w:p>
      <w:pPr>
        <w:ind w:firstLine="396"/>
        <w:spacing w:after="0" w:line="279" w:lineRule="auto"/>
        <w:rPr>
          <w:sz w:val="20"/>
          <w:szCs w:val="20"/>
          <w:color w:val="auto"/>
        </w:rPr>
      </w:pPr>
      <w:r>
        <w:rPr>
          <w:rFonts w:ascii="Times New Roman" w:cs="Times New Roman" w:eastAsia="Times New Roman" w:hAnsi="Times New Roman"/>
          <w:sz w:val="16"/>
          <w:szCs w:val="16"/>
          <w:color w:val="auto"/>
        </w:rPr>
        <w:t>We obtain a significant number of visits via search engines such as Google and a critical factor in attracting customers to our websites is how prominently our website is displayed in response to search queries. 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w:t>
      </w:r>
    </w:p>
    <w:p>
      <w:pPr>
        <w:spacing w:after="0" w:line="3"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18"/>
          <w:szCs w:val="18"/>
          <w:color w:val="auto"/>
        </w:rPr>
        <w:t>of search engine marketing or search engine optimization. Furthermore, our failure to successfully manage our search engine optimization could result in a substantial decrease in traffic to our web properties, as well as increased costs if we were to replace free traffic with paid traffic.</w:t>
      </w:r>
    </w:p>
    <w:p>
      <w:pPr>
        <w:spacing w:after="0" w:line="80" w:lineRule="exact"/>
        <w:rPr>
          <w:sz w:val="20"/>
          <w:szCs w:val="20"/>
          <w:color w:val="auto"/>
        </w:rPr>
      </w:pPr>
    </w:p>
    <w:p>
      <w:pPr>
        <w:ind w:right="180" w:firstLine="396"/>
        <w:spacing w:after="0" w:line="253" w:lineRule="auto"/>
        <w:rPr>
          <w:sz w:val="20"/>
          <w:szCs w:val="20"/>
          <w:color w:val="auto"/>
        </w:rPr>
      </w:pPr>
      <w:r>
        <w:rPr>
          <w:rFonts w:ascii="Times New Roman" w:cs="Times New Roman" w:eastAsia="Times New Roman" w:hAnsi="Times New Roman"/>
          <w:sz w:val="18"/>
          <w:szCs w:val="18"/>
          <w:color w:val="auto"/>
        </w:rPr>
        <w:t>If our marketing activities prove less successful than anticipated in attracting new customers or retaining existing customers, we may not be able to recover our marketing spend, we may not acquire new customers or our cost to acquire new customers may increase, and our existing customers may reduce the frequency or size of their purchases from us, any of which could have a material adverse effect on our business, prospects, results of operations, financial condition or cash flows.</w:t>
      </w: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innovate technologically or develop, market and offer new products and services, or enhance existing technology and products and services to meet customer requirements, our ability to grow our revenue could be impaired.</w:t>
      </w:r>
    </w:p>
    <w:p>
      <w:pPr>
        <w:spacing w:after="0" w:line="59" w:lineRule="exact"/>
        <w:rPr>
          <w:sz w:val="20"/>
          <w:szCs w:val="20"/>
          <w:color w:val="auto"/>
        </w:rPr>
      </w:pPr>
    </w:p>
    <w:p>
      <w:pPr>
        <w:ind w:firstLine="396"/>
        <w:spacing w:after="0" w:line="246" w:lineRule="auto"/>
        <w:rPr>
          <w:sz w:val="20"/>
          <w:szCs w:val="20"/>
          <w:color w:val="auto"/>
        </w:rPr>
      </w:pPr>
      <w:r>
        <w:rPr>
          <w:rFonts w:ascii="Times New Roman" w:cs="Times New Roman" w:eastAsia="Times New Roman" w:hAnsi="Times New Roman"/>
          <w:sz w:val="18"/>
          <w:szCs w:val="18"/>
          <w:color w:val="auto"/>
        </w:rPr>
        <w:t>Our growth largely depends on our ability to innovate and add value to our existing creative platform and to provide our customers and contributors with a scalable, high-performing technology infrastructure that can efficiently and reliably handle increased customer and contributor usage globally, as well as the deployment of new features. For example, footage represents significantly more data as compared to a still image, and if the proportion of our business related to footage licensing and our footage library continues to grow, we will need to expand and enhance our technological capabilities to ingest, store and search footage and music tracks in ways that are similar to our management of images. Without improvements to our technology and infrastructure, our operations might suffer from unanticipated system disruptions, slow website or application performance or unreliable service levels, any of which could negatively affect our reputation and ability to attract and retain customers and contributors. We are currently making, and plan to continue making, significant investments to maintain and enhance the technology and infrastructure supporting our customer and contributor facing web properties and software platforms and to evolve our information processes and computer systems to more efficiently run our business and remain competitive. For example, in 2022, 2021 and 2020 our product and development costs (which exclude costs that are capitalized related to internal-use software development projects), were approximately $65.4 million, $52.0 million and $46.0 million, respectively, and may continue to increase in the future as we continue to innovate. We may not achieve the anticipated benefits, significant growth or increased market share from these investments for several years, if at all. If we are unable to manage our investments successfully or in a cost-efficient manner, our business and results of operations may be harmed.</w:t>
      </w:r>
    </w:p>
    <w:p>
      <w:pPr>
        <w:spacing w:after="0" w:line="91" w:lineRule="exact"/>
        <w:rPr>
          <w:sz w:val="20"/>
          <w:szCs w:val="20"/>
          <w:color w:val="auto"/>
        </w:rPr>
      </w:pPr>
    </w:p>
    <w:p>
      <w:pPr>
        <w:ind w:right="240" w:firstLine="396"/>
        <w:spacing w:after="0" w:line="253" w:lineRule="auto"/>
        <w:rPr>
          <w:sz w:val="20"/>
          <w:szCs w:val="20"/>
          <w:color w:val="auto"/>
        </w:rPr>
      </w:pPr>
      <w:r>
        <w:rPr>
          <w:rFonts w:ascii="Times New Roman" w:cs="Times New Roman" w:eastAsia="Times New Roman" w:hAnsi="Times New Roman"/>
          <w:sz w:val="18"/>
          <w:szCs w:val="18"/>
          <w:color w:val="auto"/>
        </w:rPr>
        <w:t>Our growth also depends, in part, on our ability to identify and develop new products and services and enhance existing products and services. The process of developing new products and services and enhancing existing products and services and bringing products or enhancements to market in a timely manner is complex, costly and uncertain and we may not execute successfully on our vision or strategy because of challenges such as product planning and timing, technical hurdles, or a lack of resources. The success of our products depends on several factors, including our ability to:</w:t>
      </w:r>
    </w:p>
    <w:p>
      <w:pPr>
        <w:spacing w:after="0" w:line="77" w:lineRule="exact"/>
        <w:rPr>
          <w:sz w:val="20"/>
          <w:szCs w:val="20"/>
          <w:color w:val="auto"/>
        </w:rPr>
      </w:pPr>
    </w:p>
    <w:p>
      <w:pPr>
        <w:ind w:left="1260" w:hanging="305"/>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customers’ and contributors’ changing needs or emerging technological trends;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develop, complete and introduce innovative new products and enhancements;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our products from those of our competitors;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our products and gain market acceptance;</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and</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timely, effective and accurate support to our customers and contributors.</w:t>
      </w:r>
    </w:p>
    <w:p>
      <w:pPr>
        <w:spacing w:after="0" w:line="110"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We may be unable to successfully identify new product opportunities or enhancements, develop and bring new products to market in a timely manner, or achieve market acceptance of our products. There can be no assurance that products and technologies developed by others will not render our products or technologies obsolete or less competitive. If we are unsuccessful in innovating our technology or in identifying new or enhancing our existing product offerings, our ability to compete in the marketplace, to attract and retain customers and contributors and to grow our revenue could be impaired.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we increase market awareness of our brand and our existing and new products and services, our revenue may not continue to grow.</w:t>
      </w:r>
    </w:p>
    <w:p>
      <w:pPr>
        <w:spacing w:after="0" w:line="114" w:lineRule="exact"/>
        <w:rPr>
          <w:sz w:val="20"/>
          <w:szCs w:val="20"/>
          <w:color w:val="auto"/>
        </w:rPr>
      </w:pPr>
    </w:p>
    <w:p>
      <w:pPr>
        <w:ind w:right="80" w:firstLine="396"/>
        <w:spacing w:after="0" w:line="249" w:lineRule="auto"/>
        <w:rPr>
          <w:sz w:val="20"/>
          <w:szCs w:val="20"/>
          <w:color w:val="auto"/>
        </w:rPr>
      </w:pPr>
      <w:r>
        <w:rPr>
          <w:rFonts w:ascii="Times New Roman" w:cs="Times New Roman" w:eastAsia="Times New Roman" w:hAnsi="Times New Roman"/>
          <w:sz w:val="18"/>
          <w:szCs w:val="18"/>
          <w:color w:val="auto"/>
        </w:rPr>
        <w:t>We believe that the brand identity that we have developed has significantly contributed to the success of our products and services and that our ability to attract and retain new customers and contributors depends in large part on our ability to increase our brand awareness. We have and may continue to expend significant resources on advertising, marketing, and other brand-building efforts to preserve and enhance customer and contributor awareness of our brand, products and services. We also have incurred and expect to incur significant costs in developing and marketing new products to obtain user acceptance and we may not be successful in our efforts to increase awareness and market share of these products. Our competitors may be able to achieve and maintain brand awareness and market share more quickly and effectively than we can.</w:t>
      </w:r>
    </w:p>
    <w:p>
      <w:pPr>
        <w:spacing w:after="0" w:line="83"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Our brand may be adversely affected by a number of factors, including the effectiveness of our marketing campaigns, disruptions in service due to technology, data privacy and security issues, and exploitation of our trademarks and other intellectual property by others without our permission. Maintaining and enhancing our brand will depend largely on our ability to be a leading platform for high-quality content, tools and services for creative professionals and to continue to provide a user experience that anticipates our customers’ needs. Additionally, our marketing campaigns or other efforts to increase our brand awareness may not succeed in bringing new visitors to our platform or converting such visitors to paying customers or contributors and may not be cost-effective. It is possible that, as our industry becomes increasingly competitive, maintaining and enhancing our brand may become increasingly difficult and expensive and our efforts may not be successful.</w:t>
      </w:r>
    </w:p>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In order to continue to attract large corporate customers, we may encounter greater pricing pressure, and increased service, indemnification and working capital requirements, each of which could increase our costs and harm our business and operating results.</w:t>
      </w:r>
    </w:p>
    <w:p>
      <w:pPr>
        <w:spacing w:after="0" w:line="59" w:lineRule="exact"/>
        <w:rPr>
          <w:sz w:val="20"/>
          <w:szCs w:val="20"/>
          <w:color w:val="auto"/>
        </w:rPr>
      </w:pPr>
    </w:p>
    <w:p>
      <w:pPr>
        <w:ind w:right="420" w:firstLine="396"/>
        <w:spacing w:after="0" w:line="286" w:lineRule="auto"/>
        <w:rPr>
          <w:sz w:val="20"/>
          <w:szCs w:val="20"/>
          <w:color w:val="auto"/>
        </w:rPr>
      </w:pPr>
      <w:r>
        <w:rPr>
          <w:rFonts w:ascii="Times New Roman" w:cs="Times New Roman" w:eastAsia="Times New Roman" w:hAnsi="Times New Roman"/>
          <w:sz w:val="16"/>
          <w:szCs w:val="16"/>
          <w:color w:val="auto"/>
        </w:rPr>
        <w:t>In order to continue to attract and retain customers, particularly larger corporate customers, we may face greater demands in terms of greater pricing pressure, increased service requirements, greater indemnification requirements and greater working capital to accommodate the larger receivables and collections issues that are likely to occur as a result of being paid on credit terms. If we are unable to adequately address those demands or manage our resources, our ability to grow our business may be harmed, which may adversely affect our results of operations and future growth. If we address those demands in a way that expands our risk of indemnification claims, significantly increases our operating costs, reduces our ability to maintain or increase pricing, or increases our working capital requirements, our business, operating results and financial condition may suffer.</w:t>
      </w:r>
    </w:p>
    <w:p>
      <w:pPr>
        <w:spacing w:after="0" w:line="6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Expansion of our operations into new products, services and technologies, including content categories, is inherently risky and may subject us to additional business, legal, financial and competitive risks.</w:t>
      </w:r>
    </w:p>
    <w:p>
      <w:pPr>
        <w:spacing w:after="0" w:line="72" w:lineRule="exact"/>
        <w:rPr>
          <w:sz w:val="20"/>
          <w:szCs w:val="20"/>
          <w:color w:val="auto"/>
        </w:rPr>
      </w:pPr>
    </w:p>
    <w:p>
      <w:pPr>
        <w:ind w:right="220" w:firstLine="396"/>
        <w:spacing w:after="0" w:line="283" w:lineRule="auto"/>
        <w:rPr>
          <w:sz w:val="20"/>
          <w:szCs w:val="20"/>
          <w:color w:val="auto"/>
        </w:rPr>
      </w:pPr>
      <w:r>
        <w:rPr>
          <w:rFonts w:ascii="Times New Roman" w:cs="Times New Roman" w:eastAsia="Times New Roman" w:hAnsi="Times New Roman"/>
          <w:sz w:val="16"/>
          <w:szCs w:val="16"/>
          <w:color w:val="auto"/>
        </w:rPr>
        <w:t>Historically, our operations have been focused on our marketplace for content. Further expansion of our operations and our marketplace into additional content categories, such as Shutterstock Editorial and AI generated content, or into new products and services, such as Shutterstock Studios, an end-to-end custom creative shop and our Creative Flow Applications Suite, involves numerous risks and challenges, including increased capital requirements, increased marketing spend to gain brand awareness of these new operations, potential new competitors, and the need to develop new contributor and strategic relationships. Growth into additional content, product and service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products and services to offset the costs of developing, acquiring, managing and monetizing such content, products and services and our business may be adversely affected.</w:t>
      </w:r>
    </w:p>
    <w:p>
      <w:pPr>
        <w:spacing w:after="0" w:line="107"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political and social conditions, including effects on advertising and marketing budgets, may adversely affect our business and operating results.</w:t>
      </w:r>
    </w:p>
    <w:p>
      <w:pPr>
        <w:spacing w:after="0" w:line="59"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Global economic, political and social conditions can affect the business of our customers and the markets they serve, as well as disrupt the business of our vendors, third-party resellers and strategic partners. Numerous external forces beyond our control, including generally weak or uncertain economic conditions, negative or uncertain political climates, changes in government and election results in the United States and other jurisdictions in which we operate and global health epidemics, could adversely affect our financial condition. Particularly, our financial condition is affected by worldwide economic conditions and their impact on advertising spending. Expenditures by advertisers generally tend to reflect overall economic conditions, and to the extent that the economy stagnates as a result of macro conditions, companies may reduce their spending on advertising and marketing, and thus the use of our platform.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 In addition, if we are unable to successfully anticipate changing economic, political and social conditions, we may be unable to effectively plan for and respond to those changes and our business could be negatively affected.</w:t>
      </w:r>
    </w:p>
    <w:p>
      <w:pPr>
        <w:spacing w:after="0" w:line="86" w:lineRule="exact"/>
        <w:rPr>
          <w:sz w:val="20"/>
          <w:szCs w:val="20"/>
          <w:color w:val="auto"/>
        </w:rPr>
      </w:pPr>
    </w:p>
    <w:p>
      <w:pPr>
        <w:ind w:right="60" w:firstLine="396"/>
        <w:spacing w:after="0" w:line="253" w:lineRule="auto"/>
        <w:rPr>
          <w:sz w:val="20"/>
          <w:szCs w:val="20"/>
          <w:color w:val="auto"/>
        </w:rPr>
      </w:pPr>
      <w:r>
        <w:rPr>
          <w:rFonts w:ascii="Times New Roman" w:cs="Times New Roman" w:eastAsia="Times New Roman" w:hAnsi="Times New Roman"/>
          <w:sz w:val="18"/>
          <w:szCs w:val="18"/>
          <w:color w:val="auto"/>
        </w:rPr>
        <w:t>Further, economic, political and social macro developments in the United States, Europe, and Asia could negatively affect our ability to conduct business in those territories. Financial difficulties experienced by our customers, third-party resellers, vendors and strategic partners due to economic volatility or unfavorable changes could result in these companies scaling back operations, exiting businesses, merging with other businesses or filing for bankruptcy protection and potentially ceasing operations, all of which could adversely affect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and ethical issues relating to the use of new and evolving technologies, such as AI, in our offerings may result in reputational harm and liability.</w:t>
      </w:r>
    </w:p>
    <w:p>
      <w:pPr>
        <w:spacing w:after="0" w:line="114" w:lineRule="exact"/>
        <w:rPr>
          <w:sz w:val="20"/>
          <w:szCs w:val="20"/>
          <w:color w:val="auto"/>
        </w:rPr>
      </w:pPr>
    </w:p>
    <w:p>
      <w:pPr>
        <w:ind w:right="20" w:firstLine="396"/>
        <w:spacing w:after="0" w:line="248" w:lineRule="auto"/>
        <w:rPr>
          <w:sz w:val="20"/>
          <w:szCs w:val="20"/>
          <w:color w:val="auto"/>
        </w:rPr>
      </w:pPr>
      <w:r>
        <w:rPr>
          <w:rFonts w:ascii="Times New Roman" w:cs="Times New Roman" w:eastAsia="Times New Roman" w:hAnsi="Times New Roman"/>
          <w:sz w:val="18"/>
          <w:szCs w:val="18"/>
          <w:color w:val="auto"/>
        </w:rPr>
        <w:t>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As with many innovations, AI presents risks and challenges that could affect its adoption, and therefore our business. If we enable or offer solutions that draw controversy due to their perceived or actual impact on society, we may experience brand or reputational harm, competitive harm or legal liability. Potential government regulation related to AI ethics may also increase the burden and cost of research and development in this area, subjecting us to brand or reputational harm, competitive harm or legal liability. Failure to address AI ethics issues by us or others in our industry could undermine public confidence in AI, which could slow adoption of AI in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Operating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continue to grow our revenues at historical rates.</w:t>
      </w:r>
    </w:p>
    <w:p>
      <w:pPr>
        <w:spacing w:after="0" w:line="114"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Our future profitability will depend in part on our continued ability to grow our revenues. In future periods, our revenue could grow more slowly than in recent periods or further decline for many reasons, including any increase in competition, reduction in demand for our products, inability to introduce new products or enhance our existing product offerings, pricing pressures, contraction of our overall market or our failure to capitalize on growth opportunities. In addition, while we plan to manage our growth in a cost-effective manner, we expect expenses to increase in the near term, particularly as we continue to make significant investments in our technology and operational infrastructure, continue to expand our operations globally and develop new products and features for, and enhancements of, our existing products. A significant decrease in our historical rate of growth may adversely impact our results of operations and financial condition. If our growth rate declines further, investors’ perceptions of our business may be adversely affected, and the trading price of our common stock could decline.</w:t>
      </w:r>
    </w:p>
    <w:p>
      <w:pPr>
        <w:spacing w:after="0" w:line="131"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train, manage changes to, and retain our sales force, we may be unable to add new customers or increase sales to our existing customers, and our revenue growth and business could be adversely affected.</w:t>
      </w:r>
    </w:p>
    <w:p>
      <w:pPr>
        <w:spacing w:after="0" w:line="59" w:lineRule="exact"/>
        <w:rPr>
          <w:sz w:val="20"/>
          <w:szCs w:val="20"/>
          <w:color w:val="auto"/>
        </w:rPr>
      </w:pPr>
    </w:p>
    <w:p>
      <w:pPr>
        <w:ind w:right="40" w:firstLine="396"/>
        <w:spacing w:after="0" w:line="249" w:lineRule="auto"/>
        <w:rPr>
          <w:sz w:val="20"/>
          <w:szCs w:val="20"/>
          <w:color w:val="auto"/>
        </w:rPr>
      </w:pPr>
      <w:r>
        <w:rPr>
          <w:rFonts w:ascii="Times New Roman" w:cs="Times New Roman" w:eastAsia="Times New Roman" w:hAnsi="Times New Roman"/>
          <w:sz w:val="18"/>
          <w:szCs w:val="18"/>
          <w:color w:val="auto"/>
        </w:rPr>
        <w:t>Customers in our Enterprise sales channel provided approximately 39%, 37% and 38% of our revenues in 2022, 2021 and 2020, respectively. These customers have unique content, licensing and workflow needs and we have a dedicated sales, service and research team to provide a number of enhancements to those customers’ creative workflows including non-standard licensing rights, multi-seat access, multi-brand licensing packages and content licensed for use-cases outside of those available for license on our e-commerce platform. We have been optimizing our sales team and refining the manner in which our products and services are sold through this channel. However, we are continuing to build our sales leadership team and sales strategy. We also periodically adjust our sales organization as part of our efforts to optimize our sales operation to grow revenue.</w:t>
      </w:r>
    </w:p>
    <w:p>
      <w:pPr>
        <w:spacing w:after="0" w:line="83" w:lineRule="exact"/>
        <w:rPr>
          <w:sz w:val="20"/>
          <w:szCs w:val="20"/>
          <w:color w:val="auto"/>
        </w:rPr>
      </w:pPr>
    </w:p>
    <w:p>
      <w:pPr>
        <w:ind w:firstLine="396"/>
        <w:spacing w:after="0" w:line="283" w:lineRule="auto"/>
        <w:rPr>
          <w:sz w:val="20"/>
          <w:szCs w:val="20"/>
          <w:color w:val="auto"/>
        </w:rPr>
      </w:pPr>
      <w:r>
        <w:rPr>
          <w:rFonts w:ascii="Times New Roman" w:cs="Times New Roman" w:eastAsia="Times New Roman" w:hAnsi="Times New Roman"/>
          <w:sz w:val="16"/>
          <w:szCs w:val="16"/>
          <w:color w:val="auto"/>
        </w:rPr>
        <w:t>We continue to be substantially dependent on our sales force to effectively obtain new customers and to drive additional use cases and adoption among our existing customers. We believe that there is significant competition for sales personnel with the skills and knowledge that we require. Our ability to achieve significant revenue growth will depend, in large part, on our success in recruiting, training and retaining sufficient numbers of qualified sales personnel to support our growth. Our growth creates additional challenges and risks with respect to attracting, integrating and retaining qualified employees, particularly enterprise sales leadership and sales personnel. In addition, we expect that, if we continue to grow, a large percentage of our sales force at any time will be new to the company and our offerings. New hires require significant training and may take a significant amount of time before they achieve full productivity. Further, as we develop and evolve our sales and go-to-market strategies, additional training for new hires and our existing team may be required for our sales force to successfully execute on those strategies. Our recent hires and planned hires may not become productive as quickly as we expect, and we may be unable to hire or retain sufficient numbers of qualified individuals in the markets where we do business or plan to do business.</w:t>
      </w:r>
    </w:p>
    <w:p>
      <w:pPr>
        <w:spacing w:after="0" w:line="269" w:lineRule="exact"/>
        <w:rPr>
          <w:sz w:val="20"/>
          <w:szCs w:val="20"/>
          <w:color w:val="auto"/>
        </w:rPr>
      </w:pPr>
    </w:p>
    <w:p>
      <w:pPr>
        <w:ind w:right="60" w:firstLine="396"/>
        <w:spacing w:after="0" w:line="253" w:lineRule="auto"/>
        <w:rPr>
          <w:sz w:val="20"/>
          <w:szCs w:val="20"/>
          <w:color w:val="auto"/>
        </w:rPr>
      </w:pPr>
      <w:r>
        <w:rPr>
          <w:rFonts w:ascii="Times New Roman" w:cs="Times New Roman" w:eastAsia="Times New Roman" w:hAnsi="Times New Roman"/>
          <w:sz w:val="18"/>
          <w:szCs w:val="18"/>
          <w:color w:val="auto"/>
        </w:rPr>
        <w:t>If we have not structured our sales organization or compensation for our sales organization properly, if we fail to make changes in a timely fashion, if we are unable to hire and train a sufficient number of effective sales leadership and personnel, if our sales personnel are not successful in obtaining new customers or increasing sales to our existing customer base, or if we do not effectively manage changes in our sales force and sales strategy, our business and results of operations could be adversely affected.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continued to grow in recent periods and if we fail to effectively manage our growth, our business and operating results may suffer.</w:t>
      </w:r>
    </w:p>
    <w:p>
      <w:pPr>
        <w:spacing w:after="0" w:line="114"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In the last several years, we have continued to experience revenue growth and may continue to experience such growth in the future. For example, our revenues increased from $666.7 million in 2020 to $773.4 million in 2021 and to $827.8 million in 2022. Our continued growth has placed significant demands on our management and our administrative, operational and financial infrastructure and our success will depend in part on our ability to manage this growth efficiently. Specifically, as our operations have grown in size, scope and complexity, we have made and expect to continue to make significant expenditures and allocate valuable management resources to improve and upgrade our technology, customer service, sales and marketing infrastructure and product offerings, including new product offerings, and to continue developing or acquiring new and relevant content and product offerings. Growth may also strain our ability to maintain reliable operation of our platform, enhance our operational, financial and management controls and reporting systems and recruit, train and retain highly skilled personnel. If we fail to effectively allocate our limited resources within our organization as it grows and do not successfully implement improved technology and infrastructure, our business, operating results and financial condition may suffer.</w:t>
      </w:r>
    </w:p>
    <w:p>
      <w:pPr>
        <w:spacing w:after="0" w:line="88" w:lineRule="exact"/>
        <w:rPr>
          <w:sz w:val="20"/>
          <w:szCs w:val="20"/>
          <w:color w:val="auto"/>
        </w:rPr>
      </w:pPr>
    </w:p>
    <w:p>
      <w:pPr>
        <w:ind w:right="220" w:firstLine="396"/>
        <w:spacing w:after="0" w:line="257" w:lineRule="auto"/>
        <w:rPr>
          <w:sz w:val="20"/>
          <w:szCs w:val="20"/>
          <w:color w:val="auto"/>
        </w:rPr>
      </w:pPr>
      <w:r>
        <w:rPr>
          <w:rFonts w:ascii="Times New Roman" w:cs="Times New Roman" w:eastAsia="Times New Roman" w:hAnsi="Times New Roman"/>
          <w:sz w:val="18"/>
          <w:szCs w:val="18"/>
          <w:color w:val="auto"/>
        </w:rPr>
        <w:t>Further, as we have a limited history of operations at our current scale and under our current strategy, our ability to forecast our future operating results and plan for and model future growth is more limited than that of companies with longer operating histories and is subject to a number of uncertainties. In addition, we have encountered and expect to continue to</w:t>
      </w: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encounter risks and uncertainties frequently experienced by growing companies in rapidly changing markets. If our assumptions regarding these risks and uncertainties are incorrect or change, or if we do not execute on our strategy and manage these risks and uncertainties successfully, our operating results could differ materially from our expectations and those of securities analysts and investors, our business could suffer and the trading price of our common stock could decline.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make, integrate and maintain acquisitions and investments, our business could be adversely impacted.</w:t>
      </w:r>
    </w:p>
    <w:p>
      <w:pPr>
        <w:spacing w:after="0" w:line="114" w:lineRule="exact"/>
        <w:rPr>
          <w:sz w:val="20"/>
          <w:szCs w:val="20"/>
          <w:color w:val="auto"/>
        </w:rPr>
      </w:pPr>
    </w:p>
    <w:p>
      <w:pPr>
        <w:jc w:val="both"/>
        <w:ind w:right="60" w:firstLine="396"/>
        <w:spacing w:after="0" w:line="257" w:lineRule="auto"/>
        <w:rPr>
          <w:sz w:val="20"/>
          <w:szCs w:val="20"/>
          <w:color w:val="auto"/>
        </w:rPr>
      </w:pPr>
      <w:r>
        <w:rPr>
          <w:rFonts w:ascii="Times New Roman" w:cs="Times New Roman" w:eastAsia="Times New Roman" w:hAnsi="Times New Roman"/>
          <w:sz w:val="18"/>
          <w:szCs w:val="18"/>
          <w:color w:val="auto"/>
        </w:rPr>
        <w:t>We have acquired, invested in and entered into strategic relationships with companies, and we may acquire, invest in or enter into strategic relationships with additional companies to complement our existing business and the breadth of our offerings. These transactions are inherently risky and expose us to risks which include:</w:t>
      </w:r>
    </w:p>
    <w:p>
      <w:pPr>
        <w:spacing w:after="0" w:line="74" w:lineRule="exact"/>
        <w:rPr>
          <w:sz w:val="20"/>
          <w:szCs w:val="20"/>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including diverting management’s attention from existing businesses and operations;</w:t>
      </w:r>
    </w:p>
    <w:p>
      <w:pPr>
        <w:spacing w:after="0" w:line="109" w:lineRule="exact"/>
        <w:rPr>
          <w:rFonts w:ascii="Times New Roman" w:cs="Times New Roman" w:eastAsia="Times New Roman" w:hAnsi="Times New Roman"/>
          <w:sz w:val="18"/>
          <w:szCs w:val="18"/>
          <w:color w:val="auto"/>
        </w:rPr>
      </w:pPr>
    </w:p>
    <w:p>
      <w:pPr>
        <w:ind w:left="1280" w:right="340" w:hanging="325"/>
        <w:spacing w:after="0" w:line="269" w:lineRule="auto"/>
        <w:tabs>
          <w:tab w:leader="none" w:pos="12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launching or acquiring new products or extending our existing platform, particularly in market segments or geographies where we have limited or no experience;</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technology and assets, including content collections, into our systems and offerings;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any acquired liabilities;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personnel;</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vulnerabilities;</w:t>
      </w:r>
    </w:p>
    <w:p>
      <w:pPr>
        <w:spacing w:after="0" w:line="109" w:lineRule="exact"/>
        <w:rPr>
          <w:rFonts w:ascii="Times New Roman" w:cs="Times New Roman" w:eastAsia="Times New Roman" w:hAnsi="Times New Roman"/>
          <w:sz w:val="18"/>
          <w:szCs w:val="18"/>
          <w:color w:val="auto"/>
        </w:rPr>
      </w:pPr>
    </w:p>
    <w:p>
      <w:pPr>
        <w:ind w:left="1280" w:right="400" w:hanging="325"/>
        <w:spacing w:after="0" w:line="269" w:lineRule="auto"/>
        <w:tabs>
          <w:tab w:leader="none" w:pos="12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accounting, financial reporting, management, infrastructure and information security, human resources and other administrative and operational systems;</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resulting from the recording of goodwill and intangible assets that are subject to impairment testing;</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damage to employee, customer, contributor and other supplier relationships;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exposure to economic, political and social risks related to geographies where we have limited or no experience; and</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unknown liabilities.</w:t>
      </w:r>
    </w:p>
    <w:p>
      <w:pPr>
        <w:spacing w:after="0" w:line="110"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Future acquisitions or investments could also result in potential dilutive issuances of equity securities, use of significant cash balances or the incurrence of debt, any of which could adversely affect our stock price, financial condition and results of operations. Further, our acquisitions or investments could result in significant impairments related to goodwill and amortization expenses related to other intangible assets and exposure to undisclosed or potential liabilities of the acquired companies. To the extent that the goodwill arising from the acquisitions carried on the financial statements does not pass a goodwill impairment test, excess goodwill will be impaired and will reduce future earnings.</w:t>
      </w:r>
    </w:p>
    <w:p>
      <w:pPr>
        <w:spacing w:after="0" w:line="83" w:lineRule="exact"/>
        <w:rPr>
          <w:sz w:val="20"/>
          <w:szCs w:val="20"/>
          <w:color w:val="auto"/>
        </w:rPr>
      </w:pPr>
    </w:p>
    <w:p>
      <w:pPr>
        <w:ind w:right="20" w:firstLine="396"/>
        <w:spacing w:after="0" w:line="294" w:lineRule="auto"/>
        <w:rPr>
          <w:sz w:val="20"/>
          <w:szCs w:val="20"/>
          <w:color w:val="auto"/>
        </w:rPr>
      </w:pPr>
      <w:r>
        <w:rPr>
          <w:rFonts w:ascii="Times New Roman" w:cs="Times New Roman" w:eastAsia="Times New Roman" w:hAnsi="Times New Roman"/>
          <w:sz w:val="16"/>
          <w:szCs w:val="16"/>
          <w:color w:val="auto"/>
        </w:rPr>
        <w:t>Additionally, companies with which we have strategic relationships, including those we have invested in, may not be successful, may have interests that are different from ours which may result in conflicting views as to the conduct of ongoing business or may pivot or shift their business model. In the event that these companies do not succeed in their operating plans or shift their priorities, or we have a disagreement as to the management or conduct of the business and/or relationship, which we cannot resolve, we may lose the value of any investment in these companies and be forced to record impairment charges.</w:t>
      </w:r>
    </w:p>
    <w:p>
      <w:pPr>
        <w:spacing w:after="0" w:line="48" w:lineRule="exact"/>
        <w:rPr>
          <w:sz w:val="20"/>
          <w:szCs w:val="20"/>
          <w:color w:val="auto"/>
        </w:rPr>
      </w:pPr>
    </w:p>
    <w:p>
      <w:pPr>
        <w:ind w:right="260" w:firstLine="396"/>
        <w:spacing w:after="0" w:line="269" w:lineRule="auto"/>
        <w:rPr>
          <w:sz w:val="20"/>
          <w:szCs w:val="20"/>
          <w:color w:val="auto"/>
        </w:rPr>
      </w:pPr>
      <w:r>
        <w:rPr>
          <w:rFonts w:ascii="Times New Roman" w:cs="Times New Roman" w:eastAsia="Times New Roman" w:hAnsi="Times New Roman"/>
          <w:sz w:val="18"/>
          <w:szCs w:val="18"/>
          <w:color w:val="auto"/>
        </w:rPr>
        <w:t>We cannot make assurances that our investments will be successful. If we fail to effectively integrate the companies we acquire, invest in or enter into strategic relationships with, we may not realize the benefits expected from the transaction and our business may be harmed.</w:t>
      </w:r>
    </w:p>
    <w:p>
      <w:pPr>
        <w:spacing w:after="0" w:line="11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retain and motivate key personnel, attract qualified personnel, integrate new members of our management team or maintain our corporate culture, we may not be able to grow effectively.</w:t>
      </w:r>
    </w:p>
    <w:p>
      <w:pPr>
        <w:spacing w:after="0" w:line="59" w:lineRule="exact"/>
        <w:rPr>
          <w:sz w:val="20"/>
          <w:szCs w:val="20"/>
          <w:color w:val="auto"/>
        </w:rPr>
      </w:pPr>
    </w:p>
    <w:p>
      <w:pPr>
        <w:ind w:right="100" w:firstLine="396"/>
        <w:spacing w:after="0" w:line="250" w:lineRule="auto"/>
        <w:rPr>
          <w:sz w:val="20"/>
          <w:szCs w:val="20"/>
          <w:color w:val="auto"/>
        </w:rPr>
      </w:pPr>
      <w:r>
        <w:rPr>
          <w:rFonts w:ascii="Times New Roman" w:cs="Times New Roman" w:eastAsia="Times New Roman" w:hAnsi="Times New Roman"/>
          <w:sz w:val="18"/>
          <w:szCs w:val="18"/>
          <w:color w:val="auto"/>
        </w:rPr>
        <w:t>We are highly dependent on the continued service and performance of our senior management team as well as key personnel. We believe that the successful performance of our senior management team and key personnel is critical to managing our operations and supporting our growth. Further, many of our technologies and systems are custom-made for our business by our personnel. The loss of any key engineering, product development, marketing or sales personnel and our inability to implement a succession plan or find suitable replacements for any of these individuals could disrupt our operations and have an adverse effect on our business.</w:t>
      </w: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60" w:firstLine="396"/>
        <w:spacing w:after="0" w:line="247" w:lineRule="auto"/>
        <w:rPr>
          <w:sz w:val="20"/>
          <w:szCs w:val="20"/>
          <w:color w:val="auto"/>
        </w:rPr>
      </w:pPr>
      <w:r>
        <w:rPr>
          <w:rFonts w:ascii="Times New Roman" w:cs="Times New Roman" w:eastAsia="Times New Roman" w:hAnsi="Times New Roman"/>
          <w:sz w:val="18"/>
          <w:szCs w:val="18"/>
          <w:color w:val="auto"/>
        </w:rPr>
        <w:t>Our continued and future success is also dependent, in part, on our ability to identify, attract, retain and motivate highly skilled technical, managerial, product development, marketing, content operations and customer service personnel and to preserve the key aspects of our corporate culture. Competition for qualified personnel is intense in our industry and we may be unsuccessful in offering competitive compensation packages to attract and retain personnel. Further, we believe that a critical contributor to our success and to our recruiting efforts has been our corporate culture, which we believe fosters innovation, creativity, and teamwork. As we continue to pursue growth and expansion of our operations globally, we may not be able to maintain our corporate culture, which could impact our ability to attract and retain personnel. Among other factors, we are limited in our ability to recruit internationally by restrictive domestic immigration laws. Changes to immigration policies in the U.S. and other key jurisdictions that restrain the flow of technical and professional talent may inhibit our ability to adequately recruit and retain key employees. The failure to successfully recruit and hire key personnel or the loss of any key personnel could have a significant impact on our operations and growth.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risks related to our use of independent contractors.</w:t>
      </w:r>
    </w:p>
    <w:p>
      <w:pPr>
        <w:spacing w:after="0" w:line="114" w:lineRule="exact"/>
        <w:rPr>
          <w:sz w:val="20"/>
          <w:szCs w:val="20"/>
          <w:color w:val="auto"/>
        </w:rPr>
      </w:pPr>
    </w:p>
    <w:p>
      <w:pPr>
        <w:ind w:firstLine="396"/>
        <w:spacing w:after="0" w:line="246" w:lineRule="auto"/>
        <w:rPr>
          <w:sz w:val="20"/>
          <w:szCs w:val="20"/>
          <w:color w:val="auto"/>
        </w:rPr>
      </w:pPr>
      <w:r>
        <w:rPr>
          <w:rFonts w:ascii="Times New Roman" w:cs="Times New Roman" w:eastAsia="Times New Roman" w:hAnsi="Times New Roman"/>
          <w:sz w:val="18"/>
          <w:szCs w:val="18"/>
          <w:color w:val="auto"/>
        </w:rPr>
        <w:t xml:space="preserve">We rely on independent third parties to provide certain services for our Company. The state of the law regarding independent contractor status varies from jurisdiction to jurisdiction and is subject to change based on court decisions and regulation. For example, on April 30, 2018, the California Supreme Court adopted a new standard for determining whether a company “employs” or is the “employer” for purposes of the California Wage Orders in its decision in the </w:t>
      </w:r>
      <w:r>
        <w:rPr>
          <w:rFonts w:ascii="Times New Roman" w:cs="Times New Roman" w:eastAsia="Times New Roman" w:hAnsi="Times New Roman"/>
          <w:sz w:val="18"/>
          <w:szCs w:val="18"/>
          <w:i w:val="1"/>
          <w:iCs w:val="1"/>
          <w:color w:val="auto"/>
        </w:rPr>
        <w:t xml:space="preserve">Dynamex Operations West, Inc. v. Superior Court </w:t>
      </w:r>
      <w:r>
        <w:rPr>
          <w:rFonts w:ascii="Times New Roman" w:cs="Times New Roman" w:eastAsia="Times New Roman" w:hAnsi="Times New Roman"/>
          <w:sz w:val="18"/>
          <w:szCs w:val="18"/>
          <w:color w:val="auto"/>
        </w:rPr>
        <w:t>case. This standard was expanded and codified in California via Assembly Bill 5, which was signed into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September 2019 and became effective as of January 1, 2020. The </w:t>
      </w:r>
      <w:r>
        <w:rPr>
          <w:rFonts w:ascii="Times New Roman" w:cs="Times New Roman" w:eastAsia="Times New Roman" w:hAnsi="Times New Roman"/>
          <w:sz w:val="18"/>
          <w:szCs w:val="18"/>
          <w:i w:val="1"/>
          <w:iCs w:val="1"/>
          <w:color w:val="auto"/>
        </w:rPr>
        <w:t>Dynamex</w:t>
      </w:r>
      <w:r>
        <w:rPr>
          <w:rFonts w:ascii="Times New Roman" w:cs="Times New Roman" w:eastAsia="Times New Roman" w:hAnsi="Times New Roman"/>
          <w:sz w:val="18"/>
          <w:szCs w:val="18"/>
          <w:color w:val="auto"/>
        </w:rPr>
        <w:t xml:space="preserve"> decision and Assembly Bill 5 altered the analysis of whether an individual, who is classified by a hiring entity as an independent contractor in California, has been properly classified as an independent contractor. Under the new test, an individual is considered an employee under the California Wage Orders unless the hiring entity establishes three criteria: (i) the worker is free from the control and direction of the hiring entity in connection with the performance of the work, both under the contract for the performance of such work and in fact; (ii) the worker performs work that is outside the usual course of the hiring entity’s business; and (iii) the worker is customarily engaged in an independently established trade, occupation, or business of the same nature as the work performed for the hiring entity. Assembly Bill 5 is subject to ongoing scrutiny and amendments. In addition, independent workers have been the subject of widespread national discussion and it is possible that other jurisdictions may enact laws similar to Assembly Bill 5 or that otherwise impact our business and our relationships with independent third parties. As a result, there is significant uncertainty regarding the future of the worker classification regulatory landscape.</w:t>
      </w:r>
    </w:p>
    <w:p>
      <w:pPr>
        <w:spacing w:after="0" w:line="91" w:lineRule="exact"/>
        <w:rPr>
          <w:sz w:val="20"/>
          <w:szCs w:val="20"/>
          <w:color w:val="auto"/>
        </w:rPr>
      </w:pPr>
    </w:p>
    <w:p>
      <w:pPr>
        <w:ind w:right="80" w:firstLine="396"/>
        <w:spacing w:after="0" w:line="249" w:lineRule="auto"/>
        <w:rPr>
          <w:sz w:val="20"/>
          <w:szCs w:val="20"/>
          <w:color w:val="auto"/>
        </w:rPr>
      </w:pPr>
      <w:r>
        <w:rPr>
          <w:rFonts w:ascii="Times New Roman" w:cs="Times New Roman" w:eastAsia="Times New Roman" w:hAnsi="Times New Roman"/>
          <w:sz w:val="18"/>
          <w:szCs w:val="18"/>
          <w:color w:val="auto"/>
        </w:rPr>
        <w:t>From time to time, we may be involved in lawsuits and claims that assert that certain independent contractors should be classified as our employees. Adverse determinations regarding the status of any of our independent contractors could, among other things, entitle such individuals to the reimbursement of certain expenses and to the benefit of wage-and-hour laws, and could result in the Company being liable for income taxes, employment, social security, and withholding taxes and benefits for such individuals. Any such adverse determination could result in a material reduction of the number of subcontractors we can use for our business or significantly increase our costs to serve our customers, which could adversely affect our business,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non-payment or late payments of amounts due to us from certain customers may negatively impact our financial condition.</w:t>
      </w:r>
    </w:p>
    <w:p>
      <w:pPr>
        <w:spacing w:after="0" w:line="114" w:lineRule="exact"/>
        <w:rPr>
          <w:sz w:val="20"/>
          <w:szCs w:val="20"/>
          <w:color w:val="auto"/>
        </w:rPr>
      </w:pPr>
    </w:p>
    <w:p>
      <w:pPr>
        <w:ind w:right="140" w:firstLine="396"/>
        <w:spacing w:after="0" w:line="283" w:lineRule="auto"/>
        <w:rPr>
          <w:sz w:val="20"/>
          <w:szCs w:val="20"/>
          <w:color w:val="auto"/>
        </w:rPr>
      </w:pPr>
      <w:r>
        <w:rPr>
          <w:rFonts w:ascii="Times New Roman" w:cs="Times New Roman" w:eastAsia="Times New Roman" w:hAnsi="Times New Roman"/>
          <w:sz w:val="16"/>
          <w:szCs w:val="16"/>
          <w:color w:val="auto"/>
        </w:rPr>
        <w:t>Our revenue generated through sales to enterprise customers represented approximately 39% of our total revenue for the year ended December 31, 2022 and approximately 37% of our total revenue for the year ended December 31, 2021. A portion of these customers typically purchase our products on payment terms, and therefore we assume a credit risk for non-payment in the ordinary course of business. Further, in certain jurisdictions, we contract with third-party resellers that may collect payment from customers and remit such payment to us. Therefore, we are subject to the third-party resellers’ ability to collect and remit payment to us. We evaluate the credit-worthiness of new customers and resellers and perform ongoing financial condition evaluations of our existing customers and resellers; however, there can be no assurance that our allowances for uncollected accounts receivable balances will be sufficient. As of December 31, 2022, our allowance for doubtful accounts was $5.8 million. If the volume of sales to enterprise customers grows, we expect to increase our allowance for doubtful accounts primarily as the result of changes in the volume of sales to customers who pay on payment terms or through resellers.</w:t>
      </w:r>
    </w:p>
    <w:p>
      <w:pPr>
        <w:spacing w:after="0" w:line="107"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that may result in higher operating costs or the inability to process payments, either of which could harm our financial condition and results of operations.</w:t>
      </w:r>
    </w:p>
    <w:p>
      <w:pPr>
        <w:spacing w:after="0" w:line="59"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w:t>
      </w: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color w:val="auto"/>
        </w:rPr>
        <w:t>including if they were to suffer a cyberattack or security incident.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 Under current credit card practices, we are liable for fraudulent credit card transactions because we do not obtain cardholders’ signatures. We do not currently carry insurance against this risk. Although we have historically experienced minimal impact to our financial statements from credit card fraud, we may experience expense as a result of our failure to adequately control fraudulent credit.</w:t>
      </w:r>
    </w:p>
    <w:p>
      <w:pPr>
        <w:spacing w:after="0" w:line="56"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We are also subject to, or voluntarily comply with, several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14" w:lineRule="exact"/>
        <w:rPr>
          <w:sz w:val="20"/>
          <w:szCs w:val="20"/>
          <w:color w:val="auto"/>
        </w:rPr>
      </w:pPr>
    </w:p>
    <w:p>
      <w:pPr>
        <w:ind w:right="240" w:firstLine="396"/>
        <w:spacing w:after="0" w:line="250" w:lineRule="auto"/>
        <w:rPr>
          <w:sz w:val="20"/>
          <w:szCs w:val="20"/>
          <w:color w:val="auto"/>
        </w:rPr>
      </w:pPr>
      <w:r>
        <w:rPr>
          <w:rFonts w:ascii="Times New Roman" w:cs="Times New Roman" w:eastAsia="Times New Roman" w:hAnsi="Times New Roman"/>
          <w:sz w:val="18"/>
          <w:szCs w:val="18"/>
          <w:color w:val="auto"/>
        </w:rPr>
        <w:t>We review our goodwill for impairment annually as of October 1st, or more frequently if and when events or changes in circumstances indicate that an impairment may exist, such as a decline in stock price and market capitalization. If such goodwill or intangible assets are deemed to be impaired, an impairment loss equal to the amount by which the carrying amount exceeds the fair value of the assets would be recognized. We may be required to record a significant charge in our financial statements during the period in which any impairment of our goodwill or intangible assets is determined, which would negatively affect our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and may be unable to do so on acceptable terms or at all.</w:t>
      </w:r>
    </w:p>
    <w:p>
      <w:pPr>
        <w:spacing w:after="0" w:line="114" w:lineRule="exact"/>
        <w:rPr>
          <w:sz w:val="20"/>
          <w:szCs w:val="20"/>
          <w:color w:val="auto"/>
        </w:rPr>
      </w:pPr>
    </w:p>
    <w:p>
      <w:pPr>
        <w:ind w:firstLine="396"/>
        <w:spacing w:after="0" w:line="246" w:lineRule="auto"/>
        <w:rPr>
          <w:sz w:val="20"/>
          <w:szCs w:val="20"/>
          <w:color w:val="auto"/>
        </w:rPr>
      </w:pPr>
      <w:r>
        <w:rPr>
          <w:rFonts w:ascii="Times New Roman" w:cs="Times New Roman" w:eastAsia="Times New Roman" w:hAnsi="Times New Roman"/>
          <w:sz w:val="18"/>
          <w:szCs w:val="18"/>
          <w:color w:val="auto"/>
        </w:rPr>
        <w:t>We evaluate our capital allocation strategy on an ongoing basis and make investments to support our business growth. In the future, we may require additional funds to respond to business needs, opportunities and challenges, including the need to develop new features or functions of our platform, improve our operating infrastructure or acquire complementary businesses, personnel and technologies, or develop and carry out a response to unforeseen circumstances. Our ability to obtain additional capital, if and when required, will depend on our business plans, investor demand, our operating performance, the condition of the capital markets, and other factors. If we raise additional funds through the issuance of equity, equity-linked or convertible debt securities, our existing stockholders could suffer significant dilution, and any new equity securities we issue could have rights, preferences and privileges superior to those of holders of our common stock. In addition, on May 6, 2022, we entered into a credit facility (the “Credit Facility”) among the Company, as borrower, certain direct and indirect subsidiaries of the Company as Subsidiary Guarantors, the Lenders party thereto, and Bank of America, N.A., as Administrative Agent for the lenders. The Credit Facility contains customary affirmative and negative covenants, including covenants limiting the ability of the Company and its subsidiaries to, among other things, incur debt, grant liens, undergo certain fundamental changes, make investments, make certain restricted payments, dispose of assets, enter into transactions with affiliates, and enter into burdensome agreements, in each case, subject to limitations and exceptions set forth in the Credit Facility. In addition, the Credit Facility also requires us to comply with certain financial ratio covenants, including a consolidated leverage ratio and a consolidated interest coverage ratio, in each case, determined in accordance with the terms of the Credit Facility. Our ability to comply with these ratios may be affected by events beyond our control. The existence of the Credit Facility, and any additional debt financing we secure in the future that may include restrictive covenants relating to our capital raising activities and other financial and operational matters, may make it more difficult for us to obtain additional capital and to pursue business opportunities, including potential acquisitions. If we are unable to obtain additional capital when required, or are unable to obtain additional capital on satisfactory terms, our ability to continue to support our business growth or to respond to business opportunities, challenges, or unforeseen circumstances could be adversely affected, and our business may be harmed.</w:t>
      </w:r>
    </w:p>
    <w:p>
      <w:pPr>
        <w:spacing w:after="0" w:line="81"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have incurred debt which could have a negative impact on our financing options and liquidity position, which could in turn adversely affect our business.</w:t>
      </w:r>
    </w:p>
    <w:p>
      <w:pPr>
        <w:spacing w:after="0" w:line="191" w:lineRule="exact"/>
        <w:rPr>
          <w:sz w:val="20"/>
          <w:szCs w:val="20"/>
          <w:color w:val="auto"/>
        </w:rPr>
      </w:pPr>
    </w:p>
    <w:p>
      <w:pPr>
        <w:ind w:right="380"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2022, we had $50.0 million in aggregate principal amount of total debt. Additionally, our revolving credit facility has remaining borrowing capacity of $48.0 million, net of standby letters of credit, as of December 31, 2022. Our overall leverage and the terms of our financing arrangements could:</w:t>
      </w:r>
    </w:p>
    <w:p>
      <w:pPr>
        <w:spacing w:after="0" w:line="74" w:lineRule="exact"/>
        <w:rPr>
          <w:sz w:val="20"/>
          <w:szCs w:val="20"/>
          <w:color w:val="auto"/>
        </w:rPr>
      </w:pPr>
    </w:p>
    <w:p>
      <w:pPr>
        <w:ind w:left="1280" w:right="320" w:hanging="325"/>
        <w:spacing w:after="0" w:line="269" w:lineRule="auto"/>
        <w:tabs>
          <w:tab w:leader="none" w:pos="12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the terms of our debt obligations;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indebtedness on terms acceptable to us, or at all;</w:t>
      </w:r>
    </w:p>
    <w:p>
      <w:pPr>
        <w:spacing w:after="0" w:line="200" w:lineRule="exact"/>
        <w:rPr>
          <w:sz w:val="20"/>
          <w:szCs w:val="20"/>
          <w:color w:val="auto"/>
        </w:rPr>
      </w:pPr>
    </w:p>
    <w:p>
      <w:pPr>
        <w:spacing w:after="0" w:line="3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1280" w:right="320" w:hanging="325"/>
        <w:spacing w:after="0" w:line="269" w:lineRule="auto"/>
        <w:tabs>
          <w:tab w:leader="none" w:pos="12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and to adjust to changing business and market conditions and increase our vulnerability to general adverse economic and industry conditions;</w:t>
      </w:r>
    </w:p>
    <w:p>
      <w:pPr>
        <w:spacing w:after="0" w:line="63" w:lineRule="exact"/>
        <w:rPr>
          <w:rFonts w:ascii="Times New Roman" w:cs="Times New Roman" w:eastAsia="Times New Roman" w:hAnsi="Times New Roman"/>
          <w:sz w:val="18"/>
          <w:szCs w:val="18"/>
          <w:color w:val="auto"/>
        </w:rPr>
      </w:pPr>
    </w:p>
    <w:p>
      <w:pPr>
        <w:ind w:left="1280" w:right="320" w:hanging="325"/>
        <w:spacing w:after="0" w:line="257" w:lineRule="auto"/>
        <w:tabs>
          <w:tab w:leader="none" w:pos="12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 and</w:t>
      </w:r>
    </w:p>
    <w:p>
      <w:pPr>
        <w:spacing w:after="0" w:line="7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or industry conditions.</w:t>
      </w:r>
    </w:p>
    <w:p>
      <w:pPr>
        <w:spacing w:after="0" w:line="110" w:lineRule="exact"/>
        <w:rPr>
          <w:sz w:val="20"/>
          <w:szCs w:val="20"/>
          <w:color w:val="auto"/>
        </w:rPr>
      </w:pPr>
    </w:p>
    <w:p>
      <w:pPr>
        <w:ind w:right="20" w:firstLine="396"/>
        <w:spacing w:after="0" w:line="249" w:lineRule="auto"/>
        <w:rPr>
          <w:sz w:val="20"/>
          <w:szCs w:val="20"/>
          <w:color w:val="auto"/>
        </w:rPr>
      </w:pPr>
      <w:r>
        <w:rPr>
          <w:rFonts w:ascii="Times New Roman" w:cs="Times New Roman" w:eastAsia="Times New Roman" w:hAnsi="Times New Roman"/>
          <w:sz w:val="18"/>
          <w:szCs w:val="18"/>
          <w:color w:val="auto"/>
        </w:rPr>
        <w:t>Our ability to meet expenses and debt service obligations will depend on our future performance, which could be affected by financial, business, economic and other factors. In addition, a breach of any of the covenants in our outstanding debt agreements or our inability to comply with the required financial ratios could result in a default under our debt instruments, including the Credit Facility. If an event of default occurs, our creditors could elect to declare all borrowings outstanding, together with accrued and unpaid interest, to be immediately due and payable and/or require us to apply all of our available cash to repay borrowings. If we are not able to pay our debt service obligations we may be required to refinance all or part of our debt, sell assets, borrow more money or raise additional equity capital.</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Coronavirus (COVID-19) Pandemic</w:t>
      </w:r>
    </w:p>
    <w:p>
      <w:pPr>
        <w:spacing w:after="0" w:line="16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effect of the COVID-19 pandemic on our operations, and the operations of our customers, partners and suppliers, has had and could have a material adverse effect on our business, financial condition, cash flows and results of operations, and the extent to which the pandemic will have a continued impact remains uncertain.</w:t>
      </w:r>
    </w:p>
    <w:p>
      <w:pPr>
        <w:spacing w:after="0" w:line="72" w:lineRule="exact"/>
        <w:rPr>
          <w:sz w:val="20"/>
          <w:szCs w:val="20"/>
          <w:color w:val="auto"/>
        </w:rPr>
      </w:pPr>
    </w:p>
    <w:p>
      <w:pPr>
        <w:ind w:firstLine="396"/>
        <w:spacing w:after="0" w:line="267" w:lineRule="auto"/>
        <w:rPr>
          <w:sz w:val="20"/>
          <w:szCs w:val="20"/>
          <w:color w:val="auto"/>
        </w:rPr>
      </w:pPr>
      <w:r>
        <w:rPr>
          <w:rFonts w:ascii="Times New Roman" w:cs="Times New Roman" w:eastAsia="Times New Roman" w:hAnsi="Times New Roman"/>
          <w:sz w:val="16"/>
          <w:szCs w:val="16"/>
          <w:color w:val="auto"/>
        </w:rPr>
        <w:t>In December 2019, a novel coronavirus disease (“COVID-19”) was initially reported and on March 11, 2020, the World Health Organization characterized COVID-19 as a pandemic. COVID-19 has had a widespread and detrimental effect on the global economy as a result of the continued fluctuation in the number of cases and affected countries and actions by public health and governmental authorities, businesses, other organizations and individuals to address the outbreak, including travel bans and restrictions, quarantines, shelter in place, stay at home or total lock-down orders and business limitations and shutdowns. Despite the developments of vaccines, the duration and severity of COVID-19 and possible mutations and the degree of its impact on our business is uncertain and difficult to predict. The continued spread of the outbreak could result in one or more of the following conditions that could have a material adverse impact on our business operations and financial condition: decreased business spending by our customers and prospective customers; reduced demand for our products, lower renewal rates by our customers; increased customer losses/churn and turnover of talent; increased challenges in or cost of acquiring new customers and talent; reduction in the amount of content uploaded by our contributors and/or reduction in the number of contributors on our site because of reduced royalties earned by our contributors; inability of our Custom contributors and editorial photographers to complete assignments because of travel and in-person event restrictions; increased competition; increased risk in collectability of accounts receivable; reduced productivity due to remote work arrangements; lost productivity due to illness and/or illness of family members; inability to hire key roles; adverse effects on our strategic partners’ businesses; impairment charges; extreme currency exchange-rate fluctuations; inability to recover costs from insurance carriers; business continuity concerns for us and our third-party vendors; inability of counterparties to perform under their agreements with us; increased risk of vulnerability to cybersecurity attacks or breaches resulting from a greater number of our employees working remotely for extended periods of time; and challenges with Internet infrastructure due to high loads. If we are not able to respond to and manage the potential impact of such events effectively, our business could be harmed.</w:t>
      </w:r>
    </w:p>
    <w:p>
      <w:pPr>
        <w:spacing w:after="0" w:line="319" w:lineRule="exact"/>
        <w:rPr>
          <w:sz w:val="20"/>
          <w:szCs w:val="20"/>
          <w:color w:val="auto"/>
        </w:rPr>
      </w:pPr>
    </w:p>
    <w:p>
      <w:pPr>
        <w:ind w:right="20" w:firstLine="396"/>
        <w:spacing w:after="0" w:line="247" w:lineRule="auto"/>
        <w:rPr>
          <w:sz w:val="20"/>
          <w:szCs w:val="20"/>
          <w:color w:val="auto"/>
        </w:rPr>
      </w:pPr>
      <w:r>
        <w:rPr>
          <w:rFonts w:ascii="Times New Roman" w:cs="Times New Roman" w:eastAsia="Times New Roman" w:hAnsi="Times New Roman"/>
          <w:sz w:val="18"/>
          <w:szCs w:val="18"/>
          <w:color w:val="auto"/>
        </w:rPr>
        <w:t>As we generally recognize revenue from our customers as content is downloaded, the impact to our reported revenue resulting from recent and near-term changes in our sales activity due to COVID-19 may not be fully apparent until future periods. Our efforts to help mitigate the negative impact of the outbreak on our business may not be effective, and we may be affected by a protracted economic downturn. Furthermore, while many governmental authorities around the world have and continue to enact legislation to address the impact of COVID-19, including measures intended to mitigate some of the more severe anticipated economic effects of the virus, we may not benefit from such legislation or such legislation may prove to be ineffective in addressing COVID-19’s impact on our and our customer’s businesses and operations. Even after the COVID-19 outbreak has subsided, we may continue to experience impacts to our business as a result of the coronavirus’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140"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color w:val="auto"/>
        </w:rPr>
        <w:t>In addition, the overall uncertainty regarding the economic impact of the COVID-19 pandemic and the impact on our revenue growth, could impact our cash flows from operations and liquidity. To the extent the COVID-19 pandemic adversely affects our business and financial results, it may also have the effect of heightening many of the other risks described in this “Risk Factors” section. Material changes to our cash flows, liquidity and the volatility of the stock market and our stock price</w:t>
      </w: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could impact our capital allocation strategy, including our quarterly dividend program and our outstanding authorization under our stock repurchase program.</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Security Vulnerabilities</w:t>
      </w:r>
    </w:p>
    <w:p>
      <w:pPr>
        <w:spacing w:after="0" w:line="160" w:lineRule="exact"/>
        <w:rPr>
          <w:sz w:val="20"/>
          <w:szCs w:val="20"/>
          <w:color w:val="auto"/>
        </w:rPr>
      </w:pPr>
    </w:p>
    <w:p>
      <w:pPr>
        <w:ind w:right="88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technologies and systems to operate our business and maintain our competitiveness, and any failures in our technology infrastructure could harm our reputation and brand and adversely affect our business.</w:t>
      </w:r>
    </w:p>
    <w:p>
      <w:pPr>
        <w:spacing w:after="0" w:line="59"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color w:val="auto"/>
        </w:rPr>
        <w:t>We depend on the use of sophisticated information technologies and systems, including technology and systems used for our platform and apps, customer service, invoicing and billing, communications, fraud detection and administration. As our operations grow in size, scope and complexity, we will need to continuously improve and upgrade our systems and infrastructure to offer an increasing number of consumer-enhanced services, features and functionalities, while maintaining and improving the reliability, security and integrity of our systems and infrastructure.</w:t>
      </w:r>
    </w:p>
    <w:p>
      <w:pPr>
        <w:spacing w:after="0" w:line="77"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Our future success also depends on our ability to adapt our services and infrastructure to meet rapidly evolving consumer trends and demands while continuing to improve our platform’s performance, features and reliability. We may not be able to maintain our existing systems or replace our current systems or introduce new technologies and systems quickly or cost effectively. Failure to invest in and adapt to technological developments and industry trends may have a material adverse effect on our business, results of operations, financial condition and prospects.</w:t>
      </w:r>
    </w:p>
    <w:p>
      <w:pPr>
        <w:spacing w:after="0" w:line="77" w:lineRule="exact"/>
        <w:rPr>
          <w:sz w:val="20"/>
          <w:szCs w:val="20"/>
          <w:color w:val="auto"/>
        </w:rPr>
      </w:pPr>
    </w:p>
    <w:p>
      <w:pPr>
        <w:ind w:firstLine="396"/>
        <w:spacing w:after="0" w:line="284" w:lineRule="auto"/>
        <w:rPr>
          <w:sz w:val="20"/>
          <w:szCs w:val="20"/>
          <w:color w:val="auto"/>
        </w:rPr>
      </w:pPr>
      <w:r>
        <w:rPr>
          <w:rFonts w:ascii="Times New Roman" w:cs="Times New Roman" w:eastAsia="Times New Roman" w:hAnsi="Times New Roman"/>
          <w:sz w:val="16"/>
          <w:szCs w:val="16"/>
          <w:color w:val="auto"/>
        </w:rPr>
        <w:t>We rely upon third-party service providers, such as cloud service providers, for our application hosting, and we are dependent on these third parties to provide continuous power, cooling, internet connectivity and physical security for computing storage resources, and our reliance on these third-parties can be expected to increase as we expand our infrastructure in the future.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our use of distributed systems enables us to provide rapid content delivery to our customers and is intended to mitigate the risks associated with supporting business continuity in the event of an emergency, a system disruption at a third-party hosting service provider could result in a noticeable disruption and performance degradation to our websites.</w:t>
      </w:r>
    </w:p>
    <w:p>
      <w:pPr>
        <w:spacing w:after="0" w:line="59" w:lineRule="exact"/>
        <w:rPr>
          <w:sz w:val="20"/>
          <w:szCs w:val="20"/>
          <w:color w:val="auto"/>
        </w:rPr>
      </w:pPr>
    </w:p>
    <w:p>
      <w:pPr>
        <w:ind w:right="20" w:firstLine="396"/>
        <w:spacing w:after="0" w:line="247" w:lineRule="auto"/>
        <w:rPr>
          <w:sz w:val="20"/>
          <w:szCs w:val="20"/>
          <w:color w:val="auto"/>
        </w:rPr>
      </w:pPr>
      <w:r>
        <w:rPr>
          <w:rFonts w:ascii="Times New Roman" w:cs="Times New Roman" w:eastAsia="Times New Roman" w:hAnsi="Times New Roman"/>
          <w:sz w:val="18"/>
          <w:szCs w:val="18"/>
          <w:color w:val="auto"/>
        </w:rPr>
        <w:t>Further, our technology infrastructure may be vulnerable to damage or interruption from natural disasters, power loss, telecommunication failures, terrorist attacks, computer intrusions, vulnerabilities and malware (including viruses and malicious software), software errors, computer denial-of-service attacks and other events. A number of the systems making up this infrastructure are not redundant, and our disaster recovery planning may not be sufficient for every eventuality. Our technology infrastructure may fail or be vulnerable to damage or interruption because of actions by third parties or employee error or malfeasance. We may not carry business interruption insurance sufficient to protect us from any and all losses that may result from interruptions in our services as a result of technology infrastructure failures or to cover all contingencies. Any interruption in the availability of our websites and on-line interactions with customers or partners may cause a reduction in customer or partner satisfaction levels, which in turn could cause additional claims, reduced revenue or loss of customers or partners. Despite any precautions we may take, such problems could result in, among other consequences, a loss of customers, loss of confidence in the stability and reliability of our platform, damage to our reputation, and legal liability, all of which may adversely affect our business, financial condition, operating results and cash flows.</w:t>
      </w:r>
    </w:p>
    <w:p>
      <w:pPr>
        <w:spacing w:after="0" w:line="82"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Technological interruptions that impair access to our web properties or the efficiency of our marketplace could harm our reputation and brand and adversely affect our business and results of operations.</w:t>
      </w:r>
    </w:p>
    <w:p>
      <w:pPr>
        <w:spacing w:after="0" w:line="6"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web properties and our network infrastructure are critical to our reputation, our ability to attract and retain customers and contributors to our platform and our ability to maintain adequate customer service levels. Any system interruptions that result in the unavailability of our websites could result in negative publicity, damage our reputation and brand or adversely affect our results of operations. We have in the past experienced, and may in the future experience temporary system interruptions for a variety of reasons, including security breaches and other security incidents, malware (including viruses and malicious software), telecommunication and other network failures, power failures, programming errors, undetected bugs, design faults, data corruption, denial-of-service attacks, poor scalability or network overload from an overwhelming number of visitors trying to reach our websites at the same time. Even a disruption as brief as a few minutes could have a negative impact on our marketplace activities and could result in a loss of revenue.</w:t>
      </w:r>
    </w:p>
    <w:p>
      <w:pPr>
        <w:spacing w:after="0" w:line="83"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Because some of the causes of system interruptions may be outside of our control, we may not be able to remedy such interruptions in a timely manner, or at all. In addition, we have entered into service level agreements with some of our larger customers and strategic partners. Technological interruptions could result in a breach of such agreements and subject us to considerable penalties and could cause our customers to believe our service is unreliable, causing harm to our business, reputation and financial condition.</w:t>
      </w: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76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face risks resulting from the content in our collection such as unforeseen costs related to infringement claims, potential liability arising from indemnification claims, changes to intellectual property content regulations and laws and the inability to prevent or monitor misuse.</w:t>
      </w:r>
    </w:p>
    <w:p>
      <w:pPr>
        <w:spacing w:after="0" w:line="6" w:lineRule="exact"/>
        <w:rPr>
          <w:sz w:val="20"/>
          <w:szCs w:val="20"/>
          <w:color w:val="auto"/>
        </w:rPr>
      </w:pPr>
    </w:p>
    <w:p>
      <w:pPr>
        <w:ind w:right="60" w:firstLine="396"/>
        <w:spacing w:after="0" w:line="249" w:lineRule="auto"/>
        <w:rPr>
          <w:sz w:val="20"/>
          <w:szCs w:val="20"/>
          <w:color w:val="auto"/>
        </w:rPr>
      </w:pPr>
      <w:r>
        <w:rPr>
          <w:rFonts w:ascii="Times New Roman" w:cs="Times New Roman" w:eastAsia="Times New Roman" w:hAnsi="Times New Roman"/>
          <w:sz w:val="18"/>
          <w:szCs w:val="18"/>
          <w:color w:val="auto"/>
        </w:rPr>
        <w:t>Our content is licensed from copyright owners such as photographers, illustrators, videographers and composers who contribute content to our collection and, subject to our licenses with our contributors, we typically offer customers a perpetual, royalty-free license to use the content for their editorial or commercial needs. Although we have implemented measures to review the content that we accept into our collection, we cannot guarantee that each contributor holds the rights or releases he or she claims or that such rights and releases are adequate, which in turn affects the licenses granted to our customer. As a result, we and our customers have been, and in the future will likely be, subject to third-party claims, including intellectual property infringement claims, related to our customers’ use of our content.</w:t>
      </w:r>
    </w:p>
    <w:p>
      <w:pPr>
        <w:spacing w:after="0" w:line="30" w:lineRule="exact"/>
        <w:rPr>
          <w:sz w:val="20"/>
          <w:szCs w:val="20"/>
          <w:color w:val="auto"/>
        </w:rPr>
      </w:pPr>
    </w:p>
    <w:p>
      <w:pPr>
        <w:ind w:right="40" w:firstLine="396"/>
        <w:spacing w:after="0" w:line="247" w:lineRule="auto"/>
        <w:rPr>
          <w:sz w:val="20"/>
          <w:szCs w:val="20"/>
          <w:color w:val="auto"/>
        </w:rPr>
      </w:pPr>
      <w:r>
        <w:rPr>
          <w:rFonts w:ascii="Times New Roman" w:cs="Times New Roman" w:eastAsia="Times New Roman" w:hAnsi="Times New Roman"/>
          <w:sz w:val="18"/>
          <w:szCs w:val="18"/>
          <w:color w:val="auto"/>
        </w:rPr>
        <w:t>Under our license agreements with our contributors, our contributors represent and warrant that they have the right to license content to us. Under our license agreements with our customers, we expressly represent and warrant that unaltered content downloaded and used in compliance with our license agreements and applicable law will not infringe any copyright, trademark or other intellectual property right, violate any third-party’s rights of privacy or publicity, violate any U.S. law, be defamatory or libelous, or be pornographic or obscene. We offer our customers indemnification at amounts ranging from $10,000 to $250,000, with exceptions for certain products for which our indemnification obligations are uncapped, for direct damages attributable to our breach of the express representations and warranties contained in our license agreements. However, our contractual maximum liability may not be enforceable in all jurisdictions. The aggregate amount of capped indemnification liability, or the amount of uncapped indemnification liability in individual instances, may be significant. Any customers who seek indemnification claims from us may also discontinue use of our products and services or encourage other customers to discontinue using our products and services, which could harm our business and reputation.</w:t>
      </w:r>
    </w:p>
    <w:p>
      <w:pPr>
        <w:spacing w:after="0" w:line="88" w:lineRule="exact"/>
        <w:rPr>
          <w:sz w:val="20"/>
          <w:szCs w:val="20"/>
          <w:color w:val="auto"/>
        </w:rPr>
      </w:pPr>
    </w:p>
    <w:p>
      <w:pPr>
        <w:ind w:right="80" w:firstLine="396"/>
        <w:spacing w:after="0" w:line="249" w:lineRule="auto"/>
        <w:rPr>
          <w:sz w:val="20"/>
          <w:szCs w:val="20"/>
          <w:color w:val="auto"/>
        </w:rPr>
      </w:pPr>
      <w:r>
        <w:rPr>
          <w:rFonts w:ascii="Times New Roman" w:cs="Times New Roman" w:eastAsia="Times New Roman" w:hAnsi="Times New Roman"/>
          <w:sz w:val="18"/>
          <w:szCs w:val="18"/>
          <w:color w:val="auto"/>
        </w:rPr>
        <w:t>We are also subject to many federal, state, and foreign laws and regulations related to rights of publicity, rights of privacy, content regulation and intellectual property and we rely on common-law frameworks in order to provide content to our customers. These laws, regulations and frameworks are constantly evolving and may be interpreted, applied, created, or amended in a manner that could seriously harm our business. These legal frameworks are also subject to uncertain judicial interpretation and regulatory and legislative amendments. If the rules around these laws, regulations and doctrines change, if international jurisdictions refuse to apply similar protections, or if a court were to disagree with our application of those rules to our customers’ use of content, we and our customers could become subject to third-party claims and we could become subject to significant indemnification liability.</w:t>
      </w:r>
    </w:p>
    <w:p>
      <w:pPr>
        <w:spacing w:after="0" w:line="83"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While we maintain insurance policies to cover potential intellectual property disputes and have not historically incurred any material financial liability as a result of these indemnification obligations individually or in the aggregate, we have incurred, and will expect to continue to incur, expenses related to such claims and related settlements, which may increase over time. If a third-party infringement claim or series of claims is brought against us in excess of our insurance coverage or for uninsured liabilities, our business could suffer. In addition, we may not be able to maintain insurance coverage at a reasonable cost or in sufficient amounts or scope to protect us against all losses.</w:t>
      </w:r>
    </w:p>
    <w:p>
      <w:pPr>
        <w:spacing w:after="0" w:line="83" w:lineRule="exact"/>
        <w:rPr>
          <w:sz w:val="20"/>
          <w:szCs w:val="20"/>
          <w:color w:val="auto"/>
        </w:rPr>
      </w:pPr>
    </w:p>
    <w:p>
      <w:pPr>
        <w:ind w:right="60" w:firstLine="396"/>
        <w:spacing w:after="0" w:line="248" w:lineRule="auto"/>
        <w:rPr>
          <w:sz w:val="20"/>
          <w:szCs w:val="20"/>
          <w:color w:val="auto"/>
        </w:rPr>
      </w:pPr>
      <w:r>
        <w:rPr>
          <w:rFonts w:ascii="Times New Roman" w:cs="Times New Roman" w:eastAsia="Times New Roman" w:hAnsi="Times New Roman"/>
          <w:sz w:val="18"/>
          <w:szCs w:val="18"/>
          <w:color w:val="auto"/>
        </w:rPr>
        <w:t>Further, unauthorized parties have attempted, and may in the future attempt, to improperly use the content in our collection and such misuse of our content may result in lost revenue and increase our risk of litigation. While we have proactively enforced our intellectual property rights, preventing misuse or infringement of our content is inherently difficult and identifying and policing misuse, whether by contributors or customers, requires exceptional resources and may not always be effective. We rely on intellectual property laws and contractual restrictions to protect our rights and the content in our collection. Certain countries may be very lax in enforcing intellectual property laws or have very onerous and time-consuming requirements to enforce intellectual property rights. Litigation in those countries will likely be costly and ineffective. Consequently, these intellectual property laws afford us only limited protection. We cannot guarantee that we will be able to prevent the unauthorized use of our content or that we will be successful in stopping such use once it is detected.</w:t>
      </w:r>
    </w:p>
    <w:p>
      <w:pPr>
        <w:spacing w:after="0" w:line="83" w:lineRule="exact"/>
        <w:rPr>
          <w:sz w:val="20"/>
          <w:szCs w:val="20"/>
          <w:color w:val="auto"/>
        </w:rPr>
      </w:pPr>
    </w:p>
    <w:p>
      <w:pPr>
        <w:ind w:right="540" w:firstLine="396"/>
        <w:spacing w:after="0" w:line="269" w:lineRule="auto"/>
        <w:rPr>
          <w:sz w:val="20"/>
          <w:szCs w:val="20"/>
          <w:color w:val="auto"/>
        </w:rPr>
      </w:pPr>
      <w:r>
        <w:rPr>
          <w:rFonts w:ascii="Times New Roman" w:cs="Times New Roman" w:eastAsia="Times New Roman" w:hAnsi="Times New Roman"/>
          <w:sz w:val="18"/>
          <w:szCs w:val="18"/>
          <w:color w:val="auto"/>
        </w:rPr>
        <w:t>Regardless of their merit, intellectual property and indemnification claims are time-consuming, expensive to litigate or settle and cause significant diversion of management attention and could severely harm our financial condition and reputation, and adversely affect our business.</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of intellectual property rights related to our technology could result in significant costs and substantially harm our business and operating results.</w:t>
      </w:r>
    </w:p>
    <w:p>
      <w:pPr>
        <w:spacing w:after="0" w:line="59"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Our technology is critical to our business and we have developed proprietary technology and a robust infrastructure to power our products and services. Third parties may in the future assert that the technology we have developed infringes, misappropriates or otherwise violates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guarantee that our technology is not infringing or violating any third-party intellectual property rights or rights related to use of technology.</w:t>
      </w:r>
    </w:p>
    <w:p>
      <w:pPr>
        <w:spacing w:after="0" w:line="86"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w:t>
      </w:r>
    </w:p>
    <w:p>
      <w:pPr>
        <w:spacing w:after="0" w:line="77" w:lineRule="exact"/>
        <w:rPr>
          <w:sz w:val="20"/>
          <w:szCs w:val="20"/>
          <w:color w:val="auto"/>
        </w:rPr>
      </w:pPr>
    </w:p>
    <w:p>
      <w:pPr>
        <w:ind w:right="20" w:firstLine="396"/>
        <w:spacing w:after="0" w:line="249" w:lineRule="auto"/>
        <w:rPr>
          <w:sz w:val="20"/>
          <w:szCs w:val="20"/>
          <w:color w:val="auto"/>
        </w:rPr>
      </w:pPr>
      <w:r>
        <w:rPr>
          <w:rFonts w:ascii="Times New Roman" w:cs="Times New Roman" w:eastAsia="Times New Roman" w:hAnsi="Times New Roman"/>
          <w:sz w:val="18"/>
          <w:szCs w:val="18"/>
          <w:color w:val="auto"/>
        </w:rPr>
        <w:t>Furthermore, an adverse outcome of a dispute may require us to pay damages, potentially including treble damages and attorneys’ fees, if we are found to have willfully infringed a party’s intellectual property;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200" w:lineRule="exact"/>
        <w:rPr>
          <w:sz w:val="20"/>
          <w:szCs w:val="20"/>
          <w:color w:val="auto"/>
        </w:rPr>
      </w:pPr>
    </w:p>
    <w:p>
      <w:pPr>
        <w:spacing w:after="0" w:line="27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collect, store, process, transmit and use personally identifiable information and other data, which subjects us to governmental regulation and other legal obligations related to privacy, information security and data protection in many jurisdictions. Any cybersecurity breaches or our actual or perceived failure to comply with such legal obligations by us, or by our third-party service providers or partners, could harm our business.</w:t>
      </w:r>
    </w:p>
    <w:p>
      <w:pPr>
        <w:spacing w:after="0" w:line="86" w:lineRule="exact"/>
        <w:rPr>
          <w:sz w:val="20"/>
          <w:szCs w:val="20"/>
          <w:color w:val="auto"/>
        </w:rPr>
      </w:pPr>
    </w:p>
    <w:p>
      <w:pPr>
        <w:ind w:right="20" w:firstLine="396"/>
        <w:spacing w:after="0" w:line="278" w:lineRule="auto"/>
        <w:rPr>
          <w:sz w:val="20"/>
          <w:szCs w:val="20"/>
          <w:color w:val="auto"/>
        </w:rPr>
      </w:pPr>
      <w:r>
        <w:rPr>
          <w:rFonts w:ascii="Times New Roman" w:cs="Times New Roman" w:eastAsia="Times New Roman" w:hAnsi="Times New Roman"/>
          <w:sz w:val="16"/>
          <w:szCs w:val="16"/>
          <w:color w:val="auto"/>
        </w:rPr>
        <w:t>We currently provide content licensing to customers in more than 150 countries and license content from contributors located in over 100 countries. In connection with providing content licensing, we collect, store, process and use our customers’ and contributors’ personally identifiable information and other data, and we rely on third parties that are not directly under our control to do so as well. We also collect, store, process, transmit and use our employees’ personally identifiable information and other data in connection with their employment. While we take measures intended to protect the security, integrity and confidentiality of the personal information and other sensitive information we collect, store or transmit, we cannot guarantee that inadvertent or unauthorized use or disclosure will not occur, or that third parties will not gain unauthorized access to or misuse this information. There have been a number of reported incidents where third-party service providers or partners have used software to access the personal data of their customers’ or partners’ customers for marketing and other purposes. Our privacy policies and practices prohibit such activities, but our third-party service providers or partners may nevertheless engage in such activity without our knowledge or consent. If we or our third-party service providers or partners were to experience a cybersecurity incident, data breach or disruption, unauthorized access or failure of systems compromising our customers’, contributors’ or employees’ data, or if one of our third-party service providers or partners were to access our customers’ personal data without authorization, our brand and reputation could be adversely affected, use of our products could decrease, we could experience business interruption and we could be exposed to a risk of loss, litigation and regulatory proceedings. Depending on the nature of the information compromised in a cybersecurity incident, data breach or disruption or unauthorized access or failure of systems compromising our customers’, contributors’ or employees’ data, we may also have obligations to notify customers, contributors, employees or governmental bodies about the incident and we may need to provide some form of remedy and compensation for the individuals affected. In addition, ongoing rulemaking and the potential for changes to cybersecurity disclosure rules may subject us to enhanced or uncertain requirements. Complying with these obligations could cause us to incur substantial costs, including compliance, crisis management and remediation costs, and receive negative publicity.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or failure of systems.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396"/>
        <w:spacing w:after="0" w:line="277" w:lineRule="auto"/>
        <w:rPr>
          <w:sz w:val="20"/>
          <w:szCs w:val="20"/>
          <w:color w:val="auto"/>
        </w:rPr>
      </w:pPr>
      <w:r>
        <w:rPr>
          <w:rFonts w:ascii="Times New Roman" w:cs="Times New Roman" w:eastAsia="Times New Roman" w:hAnsi="Times New Roman"/>
          <w:sz w:val="16"/>
          <w:szCs w:val="16"/>
          <w:color w:val="auto"/>
        </w:rPr>
        <w:t>Regulatory scrutiny of privacy, data collection, use of data and data protection continues to intensify both within the United States and globally. The personal information and other data we collect, store, process and use is increasingly subject to legislation and regulations in numerous jurisdictions around the world, especially in Europe. These laws often develop in ways we cannot predict and some laws may be in conflict with one another. This may significantly increase our cost of doing business, particularly as we expand our localization efforts. For example, the GDPR imposes stringent operational requirements for controllers and processors of personal data of individuals in the European Economic Area (the “EEA”), and noncompliance can trigger fines of up to the greater of €20 million or 4% of global annual revenues. Further, following the U.K.’s formal exit from the E.U. in January 2020, we became subject to the GDPR as incorporated into U.K. law. In December 2020, the Brexit Trade and Cooperation Agreement (“TCA”) established a four- to six-month grace period during which transfers of personal data from the E.U. to the U.K. can continue without additional safeguards, provided that the U.K. maintains its pre-TCA data protection laws. The exit creates uncertainty with regard to the regulation of data protection in the U.K. In particular, it is unclear how data transfers to and from the U.K. will be regulated after the grace period expires and whether or not the U.K. will receive an adequacy decision from the European Commission permitting cross-border data transfer prior to leaving the E.U. Additionally, although we are making use of the E.U. Standard Contractual Clauses with regard to the transfer of certain personal data to countries outside the EEA recent legal developments in Europe have created complexity and regulatory compliance uncertainty regarding certain transfers of personal information from the EEA to the United States. For example, on July 16, 2020, the Court of Justice of the European Union (“CJEU”) invalidated the E.U.-U.S. Privacy Shield Framework (“Privacy Shield”) under which personal information could be transferred from the E.U. to U.S. entities who had self-certified under the Privacy Shield program. While the CJEU upheld the adequacy of E.U.-specified standard contractual clauses as an adequate mechanism for cross-border transfers of personal data, it made clear that reliance on them alone may not necessarily be sufficient in all circumstances and that their use must be assessed on a case-by-case basis taking into account the surveillance laws in and the right of individuals afforded by, the destination country. The CJEU went on to state that, if the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unless the data exporter has already done so itself. We rely on a mixture of mechanisms to transfer personal data from our E.U. business to the U.S. (having previously relied on Privacy Shield) and are evaluating what additional mechanisms may be required to establish adequate safeguards for personal information. As supervisory authorities issue further guidance on personal information export mechanisms, including circumstances where the standard contractual clauses cannot be used and/or start taking enforcement action, we could suffer additional costs, complaints, and/or regulatory investigations or fines. Moreover, if we are otherwise unable to transfer personal information between and among countries and regions in which we operate, it could affect the manner in which we provide our services and could adversely affect our financial results.</w:t>
      </w:r>
    </w:p>
    <w:p>
      <w:pPr>
        <w:spacing w:after="0" w:line="200" w:lineRule="exact"/>
        <w:rPr>
          <w:sz w:val="20"/>
          <w:szCs w:val="20"/>
          <w:color w:val="auto"/>
        </w:rPr>
      </w:pPr>
    </w:p>
    <w:p>
      <w:pPr>
        <w:spacing w:after="0" w:line="310" w:lineRule="exact"/>
        <w:rPr>
          <w:sz w:val="20"/>
          <w:szCs w:val="20"/>
          <w:color w:val="auto"/>
        </w:rPr>
      </w:pPr>
    </w:p>
    <w:p>
      <w:pPr>
        <w:ind w:firstLine="396"/>
        <w:spacing w:after="0" w:line="280" w:lineRule="auto"/>
        <w:rPr>
          <w:sz w:val="20"/>
          <w:szCs w:val="20"/>
          <w:color w:val="auto"/>
        </w:rPr>
      </w:pPr>
      <w:r>
        <w:rPr>
          <w:rFonts w:ascii="Times New Roman" w:cs="Times New Roman" w:eastAsia="Times New Roman" w:hAnsi="Times New Roman"/>
          <w:sz w:val="16"/>
          <w:szCs w:val="16"/>
          <w:color w:val="auto"/>
        </w:rPr>
        <w:t>Several other foreign jurisdictions have adopted or are considering adopting new or updated comprehensive privacy legislation to offer additional data privacy protections for individuals. For example, in Brazil, the General Data Privacy Law, which was signed into law in August 2018 and was subject to enforcement beginning in August 2021, imposes detailed rules for the collection, use, processing and storage of personal data. Similarly, in India, a committee formed by the Indian government issued a report and draft data protection bill in July 2018, which was updated in December 2019 by the Ministry of Electronics and Information Technology and remains subject to continuing joint parliamentary review. Similarly, data privacy laws have been enacted in a number of jurisdictions, including, but not limited to, the European Union, Illinois and California, which regulate the collection of certain biometric data regarding individuals, including their facial images, and the use of such data, including in facial recognition systems. Private and class plaintiffs have successfully asserted claims in settled litigation relating to the processing and storage of photographs under biometric privacy laws. Similar laws have also been introduced in several additional states. We have entered into certain contractual agreements that may implicate or make use of such technology. Such laws may have the effect of adversely impacting our ability to grow our business in that area. Although we are closely monitoring regulatory developments in this area, any actual or perceived failure by us to comply with any regulatory requirements or orders or other domestic or international privacy or consumer protection-related laws and regulations could result in proceedings or actions against us by governmental entities or others (e.g., class action litigation), subject us to significant penalties and negative publicity, require us to change our business practices, increase our costs and adversely affect our business.</w:t>
      </w:r>
    </w:p>
    <w:p>
      <w:pPr>
        <w:spacing w:after="0" w:line="286" w:lineRule="exact"/>
        <w:rPr>
          <w:sz w:val="20"/>
          <w:szCs w:val="20"/>
          <w:color w:val="auto"/>
        </w:rPr>
      </w:pPr>
    </w:p>
    <w:p>
      <w:pPr>
        <w:ind w:right="100" w:firstLine="396"/>
        <w:spacing w:after="0" w:line="248" w:lineRule="auto"/>
        <w:rPr>
          <w:sz w:val="20"/>
          <w:szCs w:val="20"/>
          <w:color w:val="auto"/>
        </w:rPr>
      </w:pPr>
      <w:r>
        <w:rPr>
          <w:rFonts w:ascii="Times New Roman" w:cs="Times New Roman" w:eastAsia="Times New Roman" w:hAnsi="Times New Roman"/>
          <w:sz w:val="18"/>
          <w:szCs w:val="18"/>
          <w:color w:val="auto"/>
        </w:rPr>
        <w:t>Data protection legislation is also becoming increasingly common in the United States at both the federal and state level. For example, in June 2018, the State of California enacted the CCPA, which came into effect on January 1, 2020. The CCPA requires, among other things, companies that collect personal information about California residents to make new disclosures to those residents about their data collection, use and sharing practices, allows residents to opt out of certain data sharing with third parties, and provides a new cause of action for data breaches. However, the California Privacy Rights Act (“CPRA”), certified by the California Secretary of State to appear as a ballot initiative, was passed by Californians during the November 3, 2020 election. The CPRA, which will come into effect on January 1, 2023 (with a look back to January 2022), amends and expands the CCPA to add additional disclosure obligations (including an obligation to disclose retention periods or criteria for</w:t>
      </w:r>
    </w:p>
    <w:p>
      <w:pPr>
        <w:spacing w:after="0" w:line="200" w:lineRule="exact"/>
        <w:rPr>
          <w:sz w:val="20"/>
          <w:szCs w:val="20"/>
          <w:color w:val="auto"/>
        </w:rPr>
      </w:pP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6"/>
          <w:szCs w:val="16"/>
          <w:color w:val="auto"/>
        </w:rPr>
        <w:t>categories of personal information), grant consumers additional rights (including rights to correct their data, limit the use and disclosure of sensitive personal information, and opt out of the sharing of personal information for certain targeted behavioral advertising purposes), and establishes a privacy enforcement agency known as the California Privacy Protection Agency (“CPPA”). The CPPA will serve as California’s chief privacy regulator, which will likely result in greater regulatory activity and enforcement in the privacy area. Other states have also considered or are considering privacy laws similar to the CCPA. Additionally, the Federal Trade Commission and many state attorneys general are interpreting federal and state consumer protection laws to impose standards for the online collection, use, dissemination and security of data. The scope and interpretation of data privacy and cybersecurity regulations continues to evolve, and we believe that the adoption of increasingly restrictive regulations in this area is likely in the near future within the U.S. at both state and federal levels. The burdens imposed by the CCPA, the CPRA and other similar laws that may be enacted at the federal and state level may require us to modify our data processing practices and policies and to incur substantial costs in order to investigate, comply and defend against potential private class-action litigation.</w:t>
      </w:r>
    </w:p>
    <w:p>
      <w:pPr>
        <w:spacing w:after="0" w:line="72" w:lineRule="exact"/>
        <w:rPr>
          <w:sz w:val="20"/>
          <w:szCs w:val="20"/>
          <w:color w:val="auto"/>
        </w:rPr>
      </w:pPr>
    </w:p>
    <w:p>
      <w:pPr>
        <w:ind w:right="120" w:firstLine="396"/>
        <w:spacing w:after="0" w:line="249" w:lineRule="auto"/>
        <w:rPr>
          <w:sz w:val="20"/>
          <w:szCs w:val="20"/>
          <w:color w:val="auto"/>
        </w:rPr>
      </w:pPr>
      <w:r>
        <w:rPr>
          <w:rFonts w:ascii="Times New Roman" w:cs="Times New Roman" w:eastAsia="Times New Roman" w:hAnsi="Times New Roman"/>
          <w:sz w:val="18"/>
          <w:szCs w:val="18"/>
          <w:color w:val="auto"/>
        </w:rPr>
        <w:t>Further, we may be or become subject to data localization laws mandating that data collected in a foreign country be processed and stored only within that country. Russia adopted such a law in 2014, and, in 2018, India introduced a bill, which was updated in December 2019, requiring local storage of certain personal data of Indian data principals. Such data localization requirements may have cost implications for us, impact our ability to utilize the efficiencies and value of our global network, and could affect our strategy. Further, if other countries in which we have customers were to adopt data localization laws, we could be required to expand our data storage facilities there or build new ones in order to comply. The expenditure this would require, as well as costs of ongoing compliance, could harm our financial condition.</w:t>
      </w:r>
    </w:p>
    <w:p>
      <w:pPr>
        <w:spacing w:after="0" w:line="132"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and improper access to or disclosure of data or confidential information we maintain, or hacking or phishing attacks on our systems, could expose us to liability, protracted and costly litigation and damage our reputation.</w:t>
      </w:r>
    </w:p>
    <w:p>
      <w:pPr>
        <w:spacing w:after="0" w:line="72"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As a global technology business, we and our third-party service providers collect and maintain confidential information and personal data about our employees, customers, contributors and other third parties, in connection with marketplace-related processes on our websites and, in particular, in connection with processing and remitting payments to and from our customers and contributors, and we are therefore exposed to security and fraud-related risks, which are likely to become more challenging as we expand our operations. We also rely heavily on our networks, and on the networks of third-party service providers for the secure storage, processing and transmission of confidential and other information and generally to conduct our business. Although we maintain security features on our websites and utilize encryption and authentication technology, our cybersecurity measures may not detect or prevent all attempts, whether intentional or unintentional, to hack our systems, denial-of-service attacks, malware (including viruses and malicious software), break-ins, phishing attacks, ransomware, other social engineering attacks, cybersecurity breaches or other attacks and disruptions that may jeopardize our networks and the security of information stored in and transmitted by our networks and websites.</w:t>
      </w:r>
    </w:p>
    <w:p>
      <w:pPr>
        <w:spacing w:after="0" w:line="101" w:lineRule="exact"/>
        <w:rPr>
          <w:sz w:val="20"/>
          <w:szCs w:val="20"/>
          <w:color w:val="auto"/>
        </w:rPr>
      </w:pPr>
    </w:p>
    <w:p>
      <w:pPr>
        <w:ind w:right="80" w:firstLine="396"/>
        <w:spacing w:after="0" w:line="282" w:lineRule="auto"/>
        <w:rPr>
          <w:sz w:val="20"/>
          <w:szCs w:val="20"/>
          <w:color w:val="auto"/>
        </w:rPr>
      </w:pPr>
      <w:r>
        <w:rPr>
          <w:rFonts w:ascii="Times New Roman" w:cs="Times New Roman" w:eastAsia="Times New Roman" w:hAnsi="Times New Roman"/>
          <w:sz w:val="16"/>
          <w:szCs w:val="16"/>
          <w:color w:val="auto"/>
        </w:rPr>
        <w:t>We use third-party service providers, including payment processors and co-location and cloud service vendors for our data centers and application hosting, to operate our business, and their security measures may not prevent cybersecurity incidents and other disruptions that may jeopardize their networks and the security of information stored in and transmitted by their networks. Some of the software and services that we use to operate our business, including our internal e-mail, payment processor and customer relationship management software, are also hosted by third parties. It is possible that our security measures or the security measures of our third-party service providers might be breached due to employee error, inadequate use of cybersecurity controls by customers, contributors or employees, malfeasance, system errors or vulnerabilities, or otherwise. Any such breach or unauthorized access could result in the loss of control of confidential or personal information, disruption to our business operations and significant legal and financial exposure, as well as damage to our reputation, and a loss of confidence in the security of our products and services that could potentially have an adverse effect on our business. In addition, a significant cybersecurity breach or cyber-attack could result in payment networks prohibiting us from processing transactions on their networks.</w:t>
      </w:r>
    </w:p>
    <w:p>
      <w:pPr>
        <w:spacing w:after="0" w:line="72"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Although cybersecurity and the continued development and enhancement of the processes, practices and controls that are designed to protect our systems, computers, software, data and networks from attack, damage, disruption or unauthorized access are a high priority for us, because the techniques used to attack, damage, disrupt or obtain unauthorized access are constantly evolving in sophisticated ways to avoid detection and often are not recognized until launched against a target, our efforts may not be enough to anticipate or prevent a party from circumventing our security measures, or the security measures of our third-party service providers, and accessing and misusing the confidential or personal information of our employees, customers and contributors and / or our networks. If an actual or perceived breach of our security occurs, the market perception of the effectiveness of our security measures could be harmed and we could lose users and customers. We may also be required to expend significant capital and other resources to protect against such cybersecurity incidents to alleviate problems caused by such incidents. While we continually work to safeguard our internal network systems and validate the security of our third-party providers, to mitigate these potential risks, including through information security policies and employee awareness and training, there is no assurance that such actions will be sufficient to prevent cyber-attacks or cybersecurity breaches. Proposed</w:t>
      </w:r>
    </w:p>
    <w:p>
      <w:pPr>
        <w:spacing w:after="0" w:line="200" w:lineRule="exact"/>
        <w:rPr>
          <w:sz w:val="20"/>
          <w:szCs w:val="20"/>
          <w:color w:val="auto"/>
        </w:rPr>
      </w:pP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SEC rulemaking undertakes to expand security incident reporting requirements and may subject us to additional and uncertain requirements in the event of an actual or perceived security incident. Any actual or perceived breach or the perceived threat of an attack or breach, could cause our customers, contributors and other third parties to cease doing business with us, or subject us to lawsuits, regulatory fines, criminal penalties, statutory damages, and other costs, including for provision of breach notices and credit monitoring to our customers, and other action or liability, and could lead to business interruption, any of which could harm our reputation, business, financial condition, results of operations and stock price.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 and operating results.</w:t>
      </w:r>
    </w:p>
    <w:p>
      <w:pPr>
        <w:spacing w:after="0" w:line="114" w:lineRule="exact"/>
        <w:rPr>
          <w:sz w:val="20"/>
          <w:szCs w:val="20"/>
          <w:color w:val="auto"/>
        </w:rPr>
      </w:pPr>
    </w:p>
    <w:p>
      <w:pPr>
        <w:ind w:right="140" w:firstLine="396"/>
        <w:spacing w:after="0" w:line="284" w:lineRule="auto"/>
        <w:rPr>
          <w:sz w:val="20"/>
          <w:szCs w:val="20"/>
          <w:color w:val="auto"/>
        </w:rPr>
      </w:pPr>
      <w:r>
        <w:rPr>
          <w:rFonts w:ascii="Times New Roman" w:cs="Times New Roman" w:eastAsia="Times New Roman" w:hAnsi="Times New Roman"/>
          <w:sz w:val="16"/>
          <w:szCs w:val="16"/>
          <w:color w:val="auto"/>
        </w:rPr>
        <w:t>We regard our patents, trade secrets, trademarks, copyrights and our other intellectual property rights as critical to our success. We rely on trademark, copyright and patent law, trade secret protection, and non-disclosure agreements and other contractual restrictions to protect our proprietary rights. We have registered “Shutterstock,” “Shutterstock Editorial,” “Asset Assurance,” “Offset,” “Bigstock,” “Rex Features,” “PremiumBeat,” “TurboSquid,” “PicMonkey,” “Pattern89,” “Shotzr,” “Pond5,” “Splash News,” “Shutterstock Studios” and “Shutterstock Editor” and associated logos and other marks as trademarks in the United States and other jurisdictions and we are the registered owner of the shutterstock.com, bigstock.com, offset.com, premiumbeat.com, rexfeatures.com, turbosquid.com, picmonkey.com, pond5.com and splashnews.com internet domain names and various other related domain names. Effective intellectual property protection for our trademarks and domain names may not be available or practical in every country in which we operate or intend to operate.</w:t>
      </w:r>
    </w:p>
    <w:p>
      <w:pPr>
        <w:spacing w:after="0" w:line="59" w:lineRule="exact"/>
        <w:rPr>
          <w:sz w:val="20"/>
          <w:szCs w:val="20"/>
          <w:color w:val="auto"/>
        </w:rPr>
      </w:pPr>
    </w:p>
    <w:p>
      <w:pPr>
        <w:ind w:right="20" w:firstLine="396"/>
        <w:spacing w:after="0" w:line="289" w:lineRule="auto"/>
        <w:rPr>
          <w:sz w:val="20"/>
          <w:szCs w:val="20"/>
          <w:color w:val="auto"/>
        </w:rPr>
      </w:pPr>
      <w:r>
        <w:rPr>
          <w:rFonts w:ascii="Times New Roman" w:cs="Times New Roman" w:eastAsia="Times New Roman" w:hAnsi="Times New Roman"/>
          <w:sz w:val="16"/>
          <w:szCs w:val="16"/>
          <w:color w:val="auto"/>
        </w:rPr>
        <w:t>Despite our efforts to protect our intellectual property rights and trade secrets, unauthorized parties may attempt to copy aspects of our intellectual property, trade secrets and other confidential information, or adopt domain names, trademarks or service names confusingly similar to ours. In order to protect our trade secrets and other confidential information, we rely in part on confidentiality agreements with our employees, consultants and third parties with which we have relationships. These agreements may not effectively prevent disclosure of trade secrets and other confidential information and may not provide an adequate remedy in the event of misappropriation of trade secrets or any unauthorized disclosure of trade secrets or other confidential information.</w:t>
      </w:r>
    </w:p>
    <w:p>
      <w:pPr>
        <w:spacing w:after="0" w:line="53" w:lineRule="exact"/>
        <w:rPr>
          <w:sz w:val="20"/>
          <w:szCs w:val="20"/>
          <w:color w:val="auto"/>
        </w:rPr>
      </w:pPr>
    </w:p>
    <w:p>
      <w:pPr>
        <w:ind w:right="80" w:firstLine="396"/>
        <w:spacing w:after="0" w:line="248" w:lineRule="auto"/>
        <w:rPr>
          <w:sz w:val="20"/>
          <w:szCs w:val="20"/>
          <w:color w:val="auto"/>
        </w:rPr>
      </w:pPr>
      <w:r>
        <w:rPr>
          <w:rFonts w:ascii="Times New Roman" w:cs="Times New Roman" w:eastAsia="Times New Roman" w:hAnsi="Times New Roman"/>
          <w:sz w:val="18"/>
          <w:szCs w:val="18"/>
          <w:color w:val="auto"/>
        </w:rPr>
        <w:t>Policing our intellectual property rights is difficult, costly and may not always be effective. Litigation or proceedings to enforce our intellectual property rights, to protect our patent rights, copyrights, trademarks, trade secrets and domain names and to determine the validity and scope of the proprietary rights of others is and will be necessary to enforce our intellectual property rights. The monitoring and protection of our intellectual property rights may become more difficult, costly and time consuming as we continue to expand internationally, particularly in certain markets, such as China and certain other developing countries in Asia, in which legal protection of intellectual property rights is less robust than in the United States and Europe. Our efforts to enforce or protect our proprietary rights may be ineffective and could result in substantial costs and diversion of resources and management time, each of which could substantially harm our operating results.</w:t>
      </w:r>
    </w:p>
    <w:p>
      <w:pPr>
        <w:spacing w:after="0" w:line="13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59" w:lineRule="exact"/>
        <w:rPr>
          <w:sz w:val="20"/>
          <w:szCs w:val="20"/>
          <w:color w:val="auto"/>
        </w:rPr>
      </w:pPr>
    </w:p>
    <w:p>
      <w:pPr>
        <w:ind w:right="20" w:firstLine="396"/>
        <w:spacing w:after="0" w:line="246" w:lineRule="auto"/>
        <w:rPr>
          <w:sz w:val="20"/>
          <w:szCs w:val="20"/>
          <w:color w:val="auto"/>
        </w:rPr>
      </w:pPr>
      <w:r>
        <w:rPr>
          <w:rFonts w:ascii="Times New Roman" w:cs="Times New Roman" w:eastAsia="Times New Roman" w:hAnsi="Times New Roman"/>
          <w:sz w:val="18"/>
          <w:szCs w:val="18"/>
          <w:color w:val="auto"/>
        </w:rPr>
        <w:t>Much of the software and technologies used to provide our services incorporate, or have been developed with, “open source” software. Such “open source” software may be subject to third-party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way these licenses may be interpreted and enforced is therefore subject to some uncertainty. If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 If an author or other third-party 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 The use of open source software can also carry security risks arising from unknown vulnerabilities that can be exploited by malware in unanticipated ways, which can lead to disruption and / or harm to operations and protected data.</w:t>
      </w:r>
    </w:p>
    <w:p>
      <w:pPr>
        <w:spacing w:after="0" w:line="200" w:lineRule="exact"/>
        <w:rPr>
          <w:sz w:val="20"/>
          <w:szCs w:val="20"/>
          <w:color w:val="auto"/>
        </w:rPr>
      </w:pPr>
    </w:p>
    <w:p>
      <w:pPr>
        <w:spacing w:after="0" w:line="3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or other interruptions or failures of our information technology systems could hurt our ability to effectively provide our products and services, which could harm our reputation and brand and adversely affect our business and operating results.</w:t>
      </w:r>
    </w:p>
    <w:p>
      <w:pPr>
        <w:spacing w:after="0" w:line="59"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Our third-party service providers, including cloud service providers could be disrupted by fire, flood, power loss, telecommunications failure, earthquakes, acts of war or terrorism, acts of God, malware (including viruses and malicious software), physical or electronic break-ins and other similar events or disruptions. Our principal executive offices are located in New York City, a region that has experienced acts of terrorism in the past. Any one of these events could cause system interruption, delays and loss of critical data and could prevent our websites, e-commerce platform and infrastructure from functioning effectively, if at all. Our systems may not be adequately designed with the necessary reliability and redundancy to avoid performance delays or outages. Any insufficiency in our redundancy or disaster recovery capabilities could make our products and service offerings less attractive, subject us to liability and could be harmful to our business. In addition, we may have inadequate insurance coverage to compensate for any related loss. Any of these events could damage our reputation and cause a material adverse effect on our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our continued expansion internationally expose us to many risks.</w:t>
      </w:r>
    </w:p>
    <w:p>
      <w:pPr>
        <w:spacing w:after="0" w:line="114" w:lineRule="exact"/>
        <w:rPr>
          <w:sz w:val="20"/>
          <w:szCs w:val="20"/>
          <w:color w:val="auto"/>
        </w:rPr>
      </w:pPr>
    </w:p>
    <w:p>
      <w:pPr>
        <w:ind w:right="80" w:firstLine="396"/>
        <w:spacing w:after="0" w:line="248" w:lineRule="auto"/>
        <w:rPr>
          <w:sz w:val="20"/>
          <w:szCs w:val="20"/>
          <w:color w:val="auto"/>
        </w:rPr>
      </w:pPr>
      <w:r>
        <w:rPr>
          <w:rFonts w:ascii="Times New Roman" w:cs="Times New Roman" w:eastAsia="Times New Roman" w:hAnsi="Times New Roman"/>
          <w:sz w:val="18"/>
          <w:szCs w:val="18"/>
          <w:color w:val="auto"/>
        </w:rPr>
        <w:t>Revenues derived from customers outside of the United States comprise a significant portion of our revenues and we seek to expand our international operations to attract customers and contributors in countries other than the United States as a critical element of our business strategy. For each of the years ended December 31, 2022, 2021 and 2020, approximately 60%, 66% and 67%, respectively, of our revenue was derived from customers located outside of the United States. Our ability to expand our business and attract talented employees, as well as customers and contributors, in an increasing number of international markets requires considerable management attention and resources and is subject to the challenges of supporting a growing business in an environment of multiple languages, cultures, customs, legal systems, alternative dispute systems, regulatory systems and commercial infrastructures. If we fail to deploy, manage or oversee our international operations successfully, our business may suffer.</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international presence exposes us to additional risks, including risks associated with:</w:t>
      </w:r>
    </w:p>
    <w:p>
      <w:pPr>
        <w:spacing w:after="0" w:line="110" w:lineRule="exact"/>
        <w:rPr>
          <w:sz w:val="20"/>
          <w:szCs w:val="20"/>
          <w:color w:val="auto"/>
        </w:rPr>
      </w:pPr>
    </w:p>
    <w:p>
      <w:pPr>
        <w:ind w:left="1260" w:hanging="305"/>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our technology and marketing and localizing our offerings for customers’ and contributors’ preferences, customs and language;</w:t>
      </w:r>
    </w:p>
    <w:p>
      <w:pPr>
        <w:spacing w:after="0" w:line="109" w:lineRule="exact"/>
        <w:rPr>
          <w:rFonts w:ascii="Times New Roman" w:cs="Times New Roman" w:eastAsia="Times New Roman" w:hAnsi="Times New Roman"/>
          <w:sz w:val="18"/>
          <w:szCs w:val="18"/>
          <w:color w:val="auto"/>
        </w:rPr>
      </w:pPr>
    </w:p>
    <w:p>
      <w:pPr>
        <w:ind w:left="1280" w:right="520" w:hanging="325"/>
        <w:spacing w:after="0" w:line="257" w:lineRule="auto"/>
        <w:tabs>
          <w:tab w:leader="none" w:pos="12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7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the U.K. Bribery Act and similar laws in other jurisdictions;</w:t>
      </w:r>
    </w:p>
    <w:p>
      <w:pPr>
        <w:spacing w:after="0" w:line="109" w:lineRule="exact"/>
        <w:rPr>
          <w:rFonts w:ascii="Times New Roman" w:cs="Times New Roman" w:eastAsia="Times New Roman" w:hAnsi="Times New Roman"/>
          <w:sz w:val="18"/>
          <w:szCs w:val="18"/>
          <w:color w:val="auto"/>
        </w:rPr>
      </w:pPr>
    </w:p>
    <w:p>
      <w:pPr>
        <w:ind w:left="1280" w:right="400" w:hanging="325"/>
        <w:spacing w:after="0" w:line="269" w:lineRule="auto"/>
        <w:tabs>
          <w:tab w:leader="none" w:pos="12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laws and regulations, including with respect to disclosure requirements, privacy, consumer and data protection, marketing restrictions, human rights, rights of publicity, intellectual property, technology and content;</w:t>
      </w:r>
    </w:p>
    <w:p>
      <w:pPr>
        <w:spacing w:after="0" w:line="63" w:lineRule="exact"/>
        <w:rPr>
          <w:rFonts w:ascii="Times New Roman" w:cs="Times New Roman" w:eastAsia="Times New Roman" w:hAnsi="Times New Roman"/>
          <w:sz w:val="18"/>
          <w:szCs w:val="18"/>
          <w:color w:val="auto"/>
        </w:rPr>
      </w:pPr>
    </w:p>
    <w:p>
      <w:pPr>
        <w:ind w:left="1280" w:right="60" w:hanging="325"/>
        <w:spacing w:after="0" w:line="269" w:lineRule="auto"/>
        <w:tabs>
          <w:tab w:leader="none" w:pos="12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e-commerce and other services and restrictive governmental actions on the distribution of content, such as filtering or removal of content;</w:t>
      </w:r>
    </w:p>
    <w:p>
      <w:pPr>
        <w:spacing w:after="0" w:line="63" w:lineRule="exact"/>
        <w:rPr>
          <w:rFonts w:ascii="Times New Roman" w:cs="Times New Roman" w:eastAsia="Times New Roman" w:hAnsi="Times New Roman"/>
          <w:sz w:val="18"/>
          <w:szCs w:val="18"/>
          <w:color w:val="auto"/>
        </w:rPr>
      </w:pPr>
    </w:p>
    <w:p>
      <w:pPr>
        <w:ind w:left="1280" w:right="220" w:hanging="325"/>
        <w:spacing w:after="0" w:line="269" w:lineRule="auto"/>
        <w:tabs>
          <w:tab w:leader="none" w:pos="12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disturbances in a specific country’s or region’s political, economic or military conditions, including potential sanctions (e.g., civil, political and economic conditions in markets including but not limited to Russia, Ukraine and the Crimean peninsula);</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consumer spending in foreign countries or lack of adoption of the internet as a medium of commerce;</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in some countries, increased credit risk, and higher levels of payment fraud;</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our or our contributors’ intellectual property rights in certain countries;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grant rights that may conflict with our business operations;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09" w:lineRule="exact"/>
        <w:rPr>
          <w:rFonts w:ascii="Times New Roman" w:cs="Times New Roman" w:eastAsia="Times New Roman" w:hAnsi="Times New Roman"/>
          <w:sz w:val="18"/>
          <w:szCs w:val="18"/>
          <w:color w:val="auto"/>
        </w:rPr>
      </w:pPr>
    </w:p>
    <w:p>
      <w:pPr>
        <w:ind w:left="1280" w:right="60" w:hanging="325"/>
        <w:spacing w:after="0" w:line="269" w:lineRule="auto"/>
        <w:tabs>
          <w:tab w:leader="none" w:pos="12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developing, managing and overseeing foreign operations as a result of travel distance, language and cultural differences as well as infrastructure, human resources and legal compliance costs;</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enforcing contractual rights in our license agreements;</w:t>
      </w:r>
    </w:p>
    <w:p>
      <w:pPr>
        <w:spacing w:after="0" w:line="109" w:lineRule="exact"/>
        <w:rPr>
          <w:rFonts w:ascii="Times New Roman" w:cs="Times New Roman" w:eastAsia="Times New Roman" w:hAnsi="Times New Roman"/>
          <w:sz w:val="18"/>
          <w:szCs w:val="18"/>
          <w:color w:val="auto"/>
        </w:rPr>
      </w:pPr>
    </w:p>
    <w:p>
      <w:pPr>
        <w:ind w:left="1280" w:right="60" w:hanging="325"/>
        <w:spacing w:after="0" w:line="269" w:lineRule="auto"/>
        <w:tabs>
          <w:tab w:leader="none" w:pos="12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global tax consequences, especially those that may result from the expected proactive global development of greater efforts to identify, capture and subject to income and transactional tax, e-commerce revenue earned solely via the internet;</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fluctuations, hyperinflation, or devaluation;</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strains on our financial and other systems to properly comply with, and administer, VAT, withholdings, sales and other taxes; and</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doing business internationally.</w:t>
      </w:r>
    </w:p>
    <w:p>
      <w:pPr>
        <w:spacing w:after="0" w:line="110" w:lineRule="exact"/>
        <w:rPr>
          <w:sz w:val="20"/>
          <w:szCs w:val="20"/>
          <w:color w:val="auto"/>
        </w:rPr>
      </w:pPr>
    </w:p>
    <w:p>
      <w:pPr>
        <w:ind w:right="40" w:firstLine="396"/>
        <w:spacing w:after="0" w:line="294" w:lineRule="auto"/>
        <w:rPr>
          <w:sz w:val="20"/>
          <w:szCs w:val="20"/>
          <w:color w:val="auto"/>
        </w:rPr>
      </w:pPr>
      <w:r>
        <w:rPr>
          <w:rFonts w:ascii="Times New Roman" w:cs="Times New Roman" w:eastAsia="Times New Roman" w:hAnsi="Times New Roman"/>
          <w:sz w:val="16"/>
          <w:szCs w:val="16"/>
          <w:color w:val="auto"/>
        </w:rPr>
        <w:t>These risks may make it impossible or prohibitively expensive to expand to new international markets, delay entry into such markets, or require us to enter into commercial arrangements with local partners, all of which may affect our ability to grow our business. As international e-commerce and other online and web services grow, competition is expected to intensify and local companies may have a substantial competitive advantage because of their greater understanding of, and focus on, the local customer. If we do not effectively enter new international markets, our competitive advantage may be harmed.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exchange risk.</w:t>
      </w:r>
    </w:p>
    <w:p>
      <w:pPr>
        <w:spacing w:after="0" w:line="114"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As of December 31, 2022, we had operations based in a number of territories outside of the United States and a significant portion of our business may be transacted in currencies other than the U.S. dollar, including the euro, the British pound, the Australian dollar and the Japanese yen. Because our financial results are reported in U.S. dollars, fluctuations in the value of the euro, British pound, Australian dollar, Japanese yen and other currencies against the U.S. dollar have had and will continue to have a significant effect on our reported financial results. Exchange rates have been volatile in recent years and such volatility may persist due to economic and political circumstances.</w:t>
      </w:r>
    </w:p>
    <w:p>
      <w:pPr>
        <w:spacing w:after="0" w:line="83" w:lineRule="exact"/>
        <w:rPr>
          <w:sz w:val="20"/>
          <w:szCs w:val="20"/>
          <w:color w:val="auto"/>
        </w:rPr>
      </w:pPr>
    </w:p>
    <w:p>
      <w:pPr>
        <w:jc w:val="both"/>
        <w:ind w:right="260" w:firstLine="396"/>
        <w:spacing w:after="0" w:line="294" w:lineRule="auto"/>
        <w:rPr>
          <w:sz w:val="20"/>
          <w:szCs w:val="20"/>
          <w:color w:val="auto"/>
        </w:rPr>
      </w:pPr>
      <w:r>
        <w:rPr>
          <w:rFonts w:ascii="Times New Roman" w:cs="Times New Roman" w:eastAsia="Times New Roman" w:hAnsi="Times New Roman"/>
          <w:sz w:val="16"/>
          <w:szCs w:val="16"/>
          <w:color w:val="auto"/>
        </w:rPr>
        <w:t>A decline in the value of any of the foreign currencies in which we receive revenues, including the euro, British pound, Australian dollar and Japanese yen, against the U.S. dollar will tend to reduce our reported revenues and expenses, while an increase in the value of any such foreign currencies against the U.S. dollar will tend to increase our reported revenues and expenses. Variations in exchange rates can significantly affect the comparability of our financial results between financial periods. As we further expand our international operations, our exposure to foreign exchange risk will increase.</w:t>
      </w:r>
    </w:p>
    <w:p>
      <w:pPr>
        <w:spacing w:after="0" w:line="48" w:lineRule="exact"/>
        <w:rPr>
          <w:sz w:val="20"/>
          <w:szCs w:val="20"/>
          <w:color w:val="auto"/>
        </w:rPr>
      </w:pPr>
    </w:p>
    <w:p>
      <w:pPr>
        <w:ind w:right="180" w:firstLine="396"/>
        <w:spacing w:after="0" w:line="257" w:lineRule="auto"/>
        <w:rPr>
          <w:sz w:val="20"/>
          <w:szCs w:val="20"/>
          <w:color w:val="auto"/>
        </w:rPr>
      </w:pPr>
      <w:r>
        <w:rPr>
          <w:rFonts w:ascii="Times New Roman" w:cs="Times New Roman" w:eastAsia="Times New Roman" w:hAnsi="Times New Roman"/>
          <w:sz w:val="18"/>
          <w:szCs w:val="18"/>
          <w:color w:val="auto"/>
        </w:rPr>
        <w:t>At this time, we do not, but we may in the future, enter into derivatives or other financial instruments in order to hedge our foreign currency exchange risk. It is difficult to predict the impact hedging activities would have on our results of operations and any future actions we may take with respect to hedging our foreign currency exchange risk may be unsuccessful.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Tax Challenges</w:t>
      </w:r>
    </w:p>
    <w:p>
      <w:pPr>
        <w:spacing w:after="0" w:line="160"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both in the United States and abroad, is evolving and unfavorable changes could have a negative impact on our business.</w:t>
      </w:r>
    </w:p>
    <w:p>
      <w:pPr>
        <w:spacing w:after="0" w:line="59" w:lineRule="exact"/>
        <w:rPr>
          <w:sz w:val="20"/>
          <w:szCs w:val="20"/>
          <w:color w:val="auto"/>
        </w:rPr>
      </w:pPr>
    </w:p>
    <w:p>
      <w:pPr>
        <w:ind w:right="80" w:firstLine="396"/>
        <w:spacing w:after="0" w:line="247" w:lineRule="auto"/>
        <w:rPr>
          <w:sz w:val="20"/>
          <w:szCs w:val="20"/>
          <w:color w:val="auto"/>
        </w:rPr>
      </w:pPr>
      <w:r>
        <w:rPr>
          <w:rFonts w:ascii="Times New Roman" w:cs="Times New Roman" w:eastAsia="Times New Roman" w:hAnsi="Times New Roman"/>
          <w:sz w:val="18"/>
          <w:szCs w:val="18"/>
          <w:color w:val="auto"/>
        </w:rPr>
        <w:t>The adoption, modification or interpretation of laws or regulations relating to the internet, e-commerce or other areas of our business could adversely affect how we conduct our business or the overall popularity and growth of internet use. Such laws and regulations may cover a vast array of activities. For example, automatic contract or subscription renewal, credit card fraud and processing, sales, advertising, taxation, tariffs, data privacy, management and storage, cybersecurity, pricing, content, copyrights, distribution, electronic contracts, consumer protection, outsourcing, broadband residential internet access, internet neutrality and the characteristics and quality of products or services, and intellectual property ownership and infringement are all subject to jurisdictional laws and regulations. In certain countries, including European jurisdictions in particular, certain of these laws may be more restrictive than in the United States. It is not clear how some existing laws governing issues such as property ownership, sales and other taxes, data privacy and security apply to the internet and e-commerce as many of these laws were adopted prior to the advent of the internet and do not contemplate or address the unique issues raised by the internet or e-commerce.</w:t>
      </w:r>
    </w:p>
    <w:p>
      <w:pPr>
        <w:spacing w:after="0" w:line="88" w:lineRule="exact"/>
        <w:rPr>
          <w:sz w:val="20"/>
          <w:szCs w:val="20"/>
          <w:color w:val="auto"/>
        </w:rPr>
      </w:pPr>
    </w:p>
    <w:p>
      <w:pPr>
        <w:ind w:right="140" w:firstLine="396"/>
        <w:spacing w:after="0" w:line="248" w:lineRule="auto"/>
        <w:rPr>
          <w:sz w:val="20"/>
          <w:szCs w:val="20"/>
          <w:color w:val="auto"/>
        </w:rPr>
      </w:pPr>
      <w:r>
        <w:rPr>
          <w:rFonts w:ascii="Times New Roman" w:cs="Times New Roman" w:eastAsia="Times New Roman" w:hAnsi="Times New Roman"/>
          <w:sz w:val="18"/>
          <w:szCs w:val="18"/>
          <w:color w:val="auto"/>
        </w:rPr>
        <w:t>Those laws that relate to the internet are at various stages of development and are subject to amendment, interpretation or repeal by the courts and agencies, and thus, the scope and reach of their applicability can be uncertain. For example, in 2010, California’s Automatic Renewal Law went into effect, requiring companies to adhere to enhanced disclosure requirements when entering into automatically renewing contracts with consumers. Several other states have adopted, or are considering the adoption of, consumer protection policies or legal precedents that purport to void or substantially limit the automatic renewal provisions of consumer contracts or free or discounted trial incentives, as well. Any failure, or perceived failure, by us to comply with any of these laws or regulations could result in litigation, damage to our reputation, lost business and proceedings or actions against us by governmental entities or others, which could impact our operating results.</w:t>
      </w:r>
    </w:p>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40" w:firstLine="396"/>
        <w:spacing w:after="0" w:line="248" w:lineRule="auto"/>
        <w:rPr>
          <w:sz w:val="20"/>
          <w:szCs w:val="20"/>
          <w:color w:val="auto"/>
        </w:rPr>
      </w:pPr>
      <w:r>
        <w:rPr>
          <w:rFonts w:ascii="Times New Roman" w:cs="Times New Roman" w:eastAsia="Times New Roman" w:hAnsi="Times New Roman"/>
          <w:sz w:val="18"/>
          <w:szCs w:val="18"/>
          <w:color w:val="auto"/>
        </w:rPr>
        <w:t>Compliance with new regulations or legislation or new interpretations of existing regulations or legislation could cause us to incur additional expenses, make it more difficult to renew subscriptions automatically, require us to display specific disclaimers, require us to obtain consent from users for certain activities, make it more difficult to attract new customers, require us to implement costly security or other measures before users can utilize our services, or otherwise require us to alter our business model, or cause us to divert resources and funds to address government or private investigatory or adversarial proceedings. Further, the law related to the liability of providers of online services for activities of their users is currently unsettled both within the United States and abroad. Claims may also be threatened against us for aiding and abetting, defamation, negligence, copyright or trademark infringement, or other reasons based on the nature and content of information that we collect or use, or to or from which we provide links or that may be posted online. Any of these outcomes could have a material adverse effect on our business, financial condition or results of operations.</w:t>
      </w:r>
    </w:p>
    <w:p>
      <w:pPr>
        <w:spacing w:after="0" w:line="131"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Action by governments to restrict access to, or operation of, our services or the content we distribute in their countries could substantially harm our reputation, business and financial results.</w:t>
      </w:r>
    </w:p>
    <w:p>
      <w:pPr>
        <w:spacing w:after="0" w:line="72" w:lineRule="exact"/>
        <w:rPr>
          <w:sz w:val="20"/>
          <w:szCs w:val="20"/>
          <w:color w:val="auto"/>
        </w:rPr>
      </w:pPr>
    </w:p>
    <w:p>
      <w:pPr>
        <w:ind w:right="40" w:firstLine="396"/>
        <w:spacing w:after="0" w:line="247" w:lineRule="auto"/>
        <w:rPr>
          <w:sz w:val="20"/>
          <w:szCs w:val="20"/>
          <w:color w:val="auto"/>
        </w:rPr>
      </w:pPr>
      <w:r>
        <w:rPr>
          <w:rFonts w:ascii="Times New Roman" w:cs="Times New Roman" w:eastAsia="Times New Roman" w:hAnsi="Times New Roman"/>
          <w:sz w:val="18"/>
          <w:szCs w:val="18"/>
          <w:color w:val="auto"/>
        </w:rPr>
        <w:t>Foreign governments, or internet service providers acting pursuant to foreign government policies or orders, of one or more countries may seek to limit content available through our e-commerce platform in their country, restrict access to our products and services from their country entirely, or impose other restrictions that may affect the accessibility of our services in their country for an extended period of time or indefinitely if our services, or the content we distribute, are deemed to be in violation of their local laws and regulations. For example, domestic internet service providers have previously blocked access to Shutterstock in China and other countries, such as Russia, have previously restricted access to specific content available from the Shutterstock platform. There are substantial uncertainties regarding interpretation of foreign laws and regulations that may limit content available through our platform and we may be forced to significantly change or discontinue our operations in such markets if we were to be found in violation of any new or existing law or regulation. If access to our services is restricted, in whole or in part, in one or more countries or our competitors can successfully penetrate geographic markets that we cannot access, our reputation among our customers, contributors and employees may be negatively impacted, our ability to retain or increase our contributor and customer base may be adversely affected, we may not be able to maintain or grow our revenue as anticipated, and our financial results could be adversely affected.</w:t>
      </w:r>
    </w:p>
    <w:p>
      <w:pPr>
        <w:spacing w:after="0" w:line="132"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Income tax laws or regulations could be enacted or changed and existing income tax laws or regulations could be applied to us in a manner that could increase the costs of our products and services, which could harm our financial condition and results of operations.</w:t>
      </w:r>
    </w:p>
    <w:p>
      <w:pPr>
        <w:spacing w:after="0" w:line="59"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We believe that our worldwide provision for income taxes is reasonable, but our ultimate income tax liability may differ from the amounts recorded in our financial statements. Any additional income tax liability may have a material adverse effect on our financial results in the period or periods in which such additional liability arises. We have established reserves for such additional income tax liabilities as we believe are appropriate. However, there can be no assurance that our ultimate income tax liability will not exceed those reserves.</w:t>
      </w:r>
    </w:p>
    <w:p>
      <w:pPr>
        <w:spacing w:after="0" w:line="7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Income tax law and regulatory changes in the U.S., the E.U. and other jurisdictions, including income tax law and regulatory changes that may be enacted by the U.S. federal and state governments or as a result of tax policy recommendations from organizations such as the Organization for Economic Co-operation and Development (the “OECD”), have and may continue to have an impact on our financial condition and results of operations.</w:t>
      </w:r>
    </w:p>
    <w:p>
      <w:pPr>
        <w:spacing w:after="0" w:line="74" w:lineRule="exact"/>
        <w:rPr>
          <w:sz w:val="20"/>
          <w:szCs w:val="20"/>
          <w:color w:val="auto"/>
        </w:rPr>
      </w:pPr>
    </w:p>
    <w:p>
      <w:pPr>
        <w:ind w:right="20" w:firstLine="396"/>
        <w:spacing w:after="0" w:line="248" w:lineRule="auto"/>
        <w:rPr>
          <w:sz w:val="20"/>
          <w:szCs w:val="20"/>
          <w:color w:val="auto"/>
        </w:rPr>
      </w:pPr>
      <w:r>
        <w:rPr>
          <w:rFonts w:ascii="Times New Roman" w:cs="Times New Roman" w:eastAsia="Times New Roman" w:hAnsi="Times New Roman"/>
          <w:sz w:val="18"/>
          <w:szCs w:val="18"/>
          <w:color w:val="auto"/>
        </w:rPr>
        <w:t>Specifically, the enactment of the TCJA has had and may continue to have a significant effect on our financial statements. Certain provisions of the TCJA may be amended by future legislation or, by their terms, are scheduled to change or expire on specified dates. In addition, questions remain regarding the interpretation and implementation of the TCJA. Potential regulatory or legislative action to address questions under the TCJA and changes in accounting standards for income taxes or related interpretations in response to the TCJA could cause uncertainty regarding the effect of the TCJA on our provision for income taxes. Moreover, foreign jurisdictions and administrative bodies that have raised concerns about certain provisions of the TCJA might formally challenge those provisions or adopt legislation contrary to those provisions. Such a response could eliminate or reduce the benefits that we have derived or may derive from the TCJA.</w:t>
      </w:r>
    </w:p>
    <w:p>
      <w:pPr>
        <w:spacing w:after="0" w:line="85" w:lineRule="exact"/>
        <w:rPr>
          <w:sz w:val="20"/>
          <w:szCs w:val="20"/>
          <w:color w:val="auto"/>
        </w:rPr>
      </w:pPr>
    </w:p>
    <w:p>
      <w:pPr>
        <w:ind w:right="80" w:firstLine="396"/>
        <w:spacing w:after="0" w:line="283" w:lineRule="auto"/>
        <w:rPr>
          <w:sz w:val="20"/>
          <w:szCs w:val="20"/>
          <w:color w:val="auto"/>
        </w:rPr>
      </w:pPr>
      <w:r>
        <w:rPr>
          <w:rFonts w:ascii="Times New Roman" w:cs="Times New Roman" w:eastAsia="Times New Roman" w:hAnsi="Times New Roman"/>
          <w:sz w:val="16"/>
          <w:szCs w:val="16"/>
          <w:color w:val="auto"/>
        </w:rPr>
        <w:t>Fiscal authorities in many foreign jurisdictions have increased their scrutiny of the potential taxation of e-commerce businesses. On October 8, 2021, the OECD announced that over 130 countries had reached a two-pillar agreement to address tax challenges presented by the digitalization of the global economy. Pillar One would require the largest and most profitable multinational enterprises to allocate a portion of their profits to markets where they derive revenue, regardless of whether they maintain a physical presence in those markets. Initially, the profit allocation rule would apply only to multinational enterprises with more than €20 billion in global annual revenues and a profit margin above 10%. The revenue threshold would be reduced to €10 billion beginning seven years after the effective date of Pillar One. Pillar Two would subject multinational enterprises with annual revenue of more than €750 million to a global minimum income tax at a rate of 15%. Based on current U.S. income tax law, disparities exist between the U.S. minimum income tax under GILTI and the proposed Pillar Two framework. To assist in the implementation of Pillar Two, the OECD published detailed model legislation on December 20, 2021, and related</w:t>
      </w:r>
    </w:p>
    <w:p>
      <w:pPr>
        <w:spacing w:after="0" w:line="200" w:lineRule="exact"/>
        <w:rPr>
          <w:sz w:val="20"/>
          <w:szCs w:val="20"/>
          <w:color w:val="auto"/>
        </w:rPr>
      </w:pPr>
    </w:p>
    <w:p>
      <w:pPr>
        <w:spacing w:after="0" w:line="2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commentary on March 14, 2022. The participating countries are expected to implement the OECD’s two-pillar agreement by entering into a multilateral convention and enacting domestic legislation by 2024. Such legislation could increase our global effective tax rate and have a material effect on our financial position and results of operations.</w:t>
      </w:r>
    </w:p>
    <w:p>
      <w:pPr>
        <w:spacing w:after="0" w:line="74" w:lineRule="exact"/>
        <w:rPr>
          <w:sz w:val="20"/>
          <w:szCs w:val="20"/>
          <w:color w:val="auto"/>
        </w:rPr>
      </w:pPr>
    </w:p>
    <w:p>
      <w:pPr>
        <w:ind w:right="260" w:firstLine="396"/>
        <w:spacing w:after="0" w:line="253" w:lineRule="auto"/>
        <w:rPr>
          <w:sz w:val="20"/>
          <w:szCs w:val="20"/>
          <w:color w:val="auto"/>
        </w:rPr>
      </w:pPr>
      <w:r>
        <w:rPr>
          <w:rFonts w:ascii="Times New Roman" w:cs="Times New Roman" w:eastAsia="Times New Roman" w:hAnsi="Times New Roman"/>
          <w:sz w:val="18"/>
          <w:szCs w:val="18"/>
          <w:color w:val="auto"/>
        </w:rPr>
        <w:t>To prevent double taxation as a result of the profit allocation rule, the multilateral convention would require the removal of all existing digital services taxes and prohibit the introduction of new digital services taxes. Until the convention is adopted, however, countries that had previously enacted a digital services tax, may continue to impose their tax. The continued imposition of digital services taxes may have a material effect on our financial condition and results of operations.</w:t>
      </w:r>
    </w:p>
    <w:p>
      <w:pPr>
        <w:spacing w:after="0" w:line="126"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greater than anticipated withholding, sales, use, value added and other non-income tax liabilities, including as a result of future changes in laws or regulations, which could harm our financial condition and results of operations.</w:t>
      </w:r>
    </w:p>
    <w:p>
      <w:pPr>
        <w:spacing w:after="0" w:line="59"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We are subject to non-income taxes, including withholding, sales, use and value added taxes, in various jurisdictions in which we conduct business. Fiscal authorities in one or more of those jurisdictions may contend that our non-income tax liabilities are greater than the amounts we have accrued and/or reserved for. Moreover, future changes in non-income tax laws or regulations may materially increase our liability for such taxes in future periods.</w:t>
      </w:r>
    </w:p>
    <w:p>
      <w:pPr>
        <w:spacing w:after="0" w:line="74" w:lineRule="exact"/>
        <w:rPr>
          <w:sz w:val="20"/>
          <w:szCs w:val="20"/>
          <w:color w:val="auto"/>
        </w:rPr>
      </w:pPr>
    </w:p>
    <w:p>
      <w:pPr>
        <w:ind w:right="140" w:firstLine="396"/>
        <w:spacing w:after="0" w:line="250" w:lineRule="auto"/>
        <w:rPr>
          <w:sz w:val="20"/>
          <w:szCs w:val="20"/>
          <w:color w:val="auto"/>
        </w:rPr>
      </w:pPr>
      <w:r>
        <w:rPr>
          <w:rFonts w:ascii="Times New Roman" w:cs="Times New Roman" w:eastAsia="Times New Roman" w:hAnsi="Times New Roman"/>
          <w:sz w:val="18"/>
          <w:szCs w:val="18"/>
          <w:color w:val="auto"/>
        </w:rPr>
        <w:t>Significant judgment is required in determining our exposure for non-income taxes. These determinations are highly complex and require detailed analysis of the available information and applicable statutes and regulatory materials. In the ordinary course of our business, there are many transactions and calculations where the ultimate tax determination is uncertain. Moreover, certain jurisdictions in which we do not collect or pay withholding, sales, use, value added or other non-income taxes may assert that such taxes are applicable, which could result in tax assessments, penalties and interest, and we may be required to collect or pay such taxes in the future.</w:t>
      </w:r>
    </w:p>
    <w:p>
      <w:pPr>
        <w:spacing w:after="0" w:line="83" w:lineRule="exact"/>
        <w:rPr>
          <w:sz w:val="20"/>
          <w:szCs w:val="20"/>
          <w:color w:val="auto"/>
        </w:rPr>
      </w:pPr>
    </w:p>
    <w:p>
      <w:pPr>
        <w:ind w:right="180" w:firstLine="396"/>
        <w:spacing w:after="0" w:line="257" w:lineRule="auto"/>
        <w:rPr>
          <w:sz w:val="20"/>
          <w:szCs w:val="20"/>
          <w:color w:val="auto"/>
        </w:rPr>
      </w:pPr>
      <w:r>
        <w:rPr>
          <w:rFonts w:ascii="Times New Roman" w:cs="Times New Roman" w:eastAsia="Times New Roman" w:hAnsi="Times New Roman"/>
          <w:sz w:val="18"/>
          <w:szCs w:val="18"/>
          <w:color w:val="auto"/>
        </w:rPr>
        <w:t xml:space="preserve">We continue to evaluate the impact, if any, of the imposition of sales tax on customer demand for our products and results of operations. Recent legislation, including legislation relating to the U.S. Supreme Court decision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has, and will continue to, significantly increase the effort, resources and costs associated with the collection and compliance burden for sales tax.</w:t>
      </w:r>
    </w:p>
    <w:p>
      <w:pPr>
        <w:spacing w:after="0" w:line="74"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The prospective taxation by multiple jurisdictions of e-commerce businesses could also subject us to exposure to withholding, sales, use, value added and other non-income taxes on our past and future transactions in jurisdictions in which we currently are, or in the future may be, required to report taxable transactions. A successful assertion by a jurisdiction that we failed to pay such taxes, or the adoption of new laws requiring the registration for, collection of, and/or payment of such taxes, could result in substantial tax liabilities related to past, current and future sales and other transactions, create increased administrative burdens and costs, discourage customers from purchasing content from us, or otherwise substantially harm our business and results of operations. We are currently subject to and in the future may become subject to additional compliance requirements for certain of those taxes. Where appropriate, we have made accruals for those taxes, which are reflected in our consolidated financial statements. Changes in the estimates or assumptions underlying those accruals could have an adverse effect on our financial condition.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which could cause our results to fall short of expectations and our stock price to decline.</w:t>
      </w:r>
    </w:p>
    <w:p>
      <w:pPr>
        <w:spacing w:after="0" w:line="114" w:lineRule="exact"/>
        <w:rPr>
          <w:sz w:val="20"/>
          <w:szCs w:val="20"/>
          <w:color w:val="auto"/>
        </w:rPr>
      </w:pPr>
    </w:p>
    <w:p>
      <w:pPr>
        <w:ind w:right="120" w:firstLine="396"/>
        <w:spacing w:after="0" w:line="269" w:lineRule="auto"/>
        <w:rPr>
          <w:sz w:val="20"/>
          <w:szCs w:val="20"/>
          <w:color w:val="auto"/>
        </w:rPr>
      </w:pPr>
      <w:r>
        <w:rPr>
          <w:rFonts w:ascii="Times New Roman" w:cs="Times New Roman" w:eastAsia="Times New Roman" w:hAnsi="Times New Roman"/>
          <w:sz w:val="18"/>
          <w:szCs w:val="18"/>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w:t>
      </w:r>
    </w:p>
    <w:p>
      <w:pPr>
        <w:spacing w:after="0" w:line="64" w:lineRule="exact"/>
        <w:rPr>
          <w:sz w:val="20"/>
          <w:szCs w:val="20"/>
          <w:color w:val="auto"/>
        </w:rPr>
      </w:pPr>
    </w:p>
    <w:p>
      <w:pPr>
        <w:ind w:right="520" w:firstLine="396"/>
        <w:spacing w:after="0" w:line="269" w:lineRule="auto"/>
        <w:rPr>
          <w:sz w:val="20"/>
          <w:szCs w:val="20"/>
          <w:color w:val="auto"/>
        </w:rPr>
      </w:pPr>
      <w:r>
        <w:rPr>
          <w:rFonts w:ascii="Times New Roman" w:cs="Times New Roman" w:eastAsia="Times New Roman" w:hAnsi="Times New Roman"/>
          <w:sz w:val="18"/>
          <w:szCs w:val="18"/>
          <w:color w:val="auto"/>
        </w:rPr>
        <w:t>Because of the risks described in this “Risk Factors” section and others, it is possible that our future results may be below our expectations and the expectations of analysts and investors. In such an event, the price of our common stock may decline significantly.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will likely continue to be volatile.</w:t>
      </w:r>
    </w:p>
    <w:p>
      <w:pPr>
        <w:spacing w:after="0" w:line="114" w:lineRule="exact"/>
        <w:rPr>
          <w:sz w:val="20"/>
          <w:szCs w:val="20"/>
          <w:color w:val="auto"/>
        </w:rPr>
      </w:pPr>
    </w:p>
    <w:p>
      <w:pPr>
        <w:jc w:val="both"/>
        <w:ind w:right="80" w:firstLine="396"/>
        <w:spacing w:after="0" w:line="257" w:lineRule="auto"/>
        <w:rPr>
          <w:sz w:val="20"/>
          <w:szCs w:val="20"/>
          <w:color w:val="auto"/>
        </w:rPr>
      </w:pPr>
      <w:r>
        <w:rPr>
          <w:rFonts w:ascii="Times New Roman" w:cs="Times New Roman" w:eastAsia="Times New Roman" w:hAnsi="Times New Roman"/>
          <w:sz w:val="18"/>
          <w:szCs w:val="18"/>
          <w:color w:val="auto"/>
        </w:rPr>
        <w:t>The trading price of our common stock has fluctuated and may continue to fluctuate substantially. Since 2015, the reported high and low sales prices per share of our common stock have ranged from $25.44 to $128.36 through February 10, 2023. These fluctuations could cause our stockholders to lose all or part of their investment in our common stock since they may be unable to sell their shares at or above the price at which they purchased such shares.</w:t>
      </w: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440" w:firstLine="396"/>
        <w:spacing w:after="0" w:line="257" w:lineRule="auto"/>
        <w:rPr>
          <w:sz w:val="20"/>
          <w:szCs w:val="20"/>
          <w:color w:val="auto"/>
        </w:rPr>
      </w:pPr>
      <w:r>
        <w:rPr>
          <w:rFonts w:ascii="Times New Roman" w:cs="Times New Roman" w:eastAsia="Times New Roman" w:hAnsi="Times New Roman"/>
          <w:sz w:val="18"/>
          <w:szCs w:val="18"/>
          <w:color w:val="auto"/>
        </w:rPr>
        <w:t>The trading price of our common stock depends on a number of factors, including those described in this “Risk Factors” section, many of which are beyond our control and may not be related to our operating performance. Factors that could cause fluctuations in the trading price of our common stock include, but are not limited to, the following:</w:t>
      </w:r>
    </w:p>
    <w:p>
      <w:pPr>
        <w:spacing w:after="0" w:line="74" w:lineRule="exact"/>
        <w:rPr>
          <w:sz w:val="20"/>
          <w:szCs w:val="20"/>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our share repurchase program, including purchases or the suspension of purchases under the program;</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actual performance;</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or analysts to be comparable to us;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guidance we may provide to the public, any changes in such guidance, or our failure to meet such guidance;</w:t>
      </w:r>
    </w:p>
    <w:p>
      <w:pPr>
        <w:spacing w:after="0" w:line="109" w:lineRule="exact"/>
        <w:rPr>
          <w:rFonts w:ascii="Times New Roman" w:cs="Times New Roman" w:eastAsia="Times New Roman" w:hAnsi="Times New Roman"/>
          <w:sz w:val="18"/>
          <w:szCs w:val="18"/>
          <w:color w:val="auto"/>
        </w:rPr>
      </w:pPr>
    </w:p>
    <w:p>
      <w:pPr>
        <w:ind w:left="1280" w:right="40" w:hanging="325"/>
        <w:spacing w:after="0" w:line="269" w:lineRule="auto"/>
        <w:tabs>
          <w:tab w:leader="none" w:pos="12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amount of cash dividends on our common stock, the suspension of those dividends or a failure to meet market expectations regarding dividends;</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senior management;</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common stock;</w:t>
      </w:r>
    </w:p>
    <w:p>
      <w:pPr>
        <w:spacing w:after="0" w:line="109" w:lineRule="exact"/>
        <w:rPr>
          <w:rFonts w:ascii="Times New Roman" w:cs="Times New Roman" w:eastAsia="Times New Roman" w:hAnsi="Times New Roman"/>
          <w:sz w:val="18"/>
          <w:szCs w:val="18"/>
          <w:color w:val="auto"/>
        </w:rPr>
      </w:pPr>
    </w:p>
    <w:p>
      <w:pPr>
        <w:ind w:left="1280" w:right="260" w:hanging="325"/>
        <w:spacing w:after="0" w:line="269" w:lineRule="auto"/>
        <w:tabs>
          <w:tab w:leader="none" w:pos="12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investors whose sales (or lack of sales) could result in positive or negative pricing pressure on the market price for our common stock; and</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10" w:lineRule="exact"/>
        <w:rPr>
          <w:sz w:val="20"/>
          <w:szCs w:val="20"/>
          <w:color w:val="auto"/>
        </w:rPr>
      </w:pPr>
    </w:p>
    <w:p>
      <w:pPr>
        <w:ind w:firstLine="396"/>
        <w:spacing w:after="0" w:line="286" w:lineRule="auto"/>
        <w:rPr>
          <w:sz w:val="20"/>
          <w:szCs w:val="20"/>
          <w:color w:val="auto"/>
        </w:rPr>
      </w:pPr>
      <w:r>
        <w:rPr>
          <w:rFonts w:ascii="Times New Roman" w:cs="Times New Roman" w:eastAsia="Times New Roman" w:hAnsi="Times New Roman"/>
          <w:sz w:val="16"/>
          <w:szCs w:val="16"/>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05"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Jonathan Oringer, our founder and Executive Chairman of the Board, owns and controls approximately 32.6% of our outstanding shares of common stock, and his ownership percentage may increase, including as a result of any share repurchases pursuant to our share repurchase program. This concentration of ownership may have an effect on matters requiring the approval of our stockholders, including elections to our board of directors and transactions that are otherwise favorable to our stockholders.</w:t>
      </w:r>
    </w:p>
    <w:p>
      <w:pPr>
        <w:spacing w:after="0" w:line="77" w:lineRule="exact"/>
        <w:rPr>
          <w:sz w:val="20"/>
          <w:szCs w:val="20"/>
          <w:color w:val="auto"/>
        </w:rPr>
      </w:pPr>
    </w:p>
    <w:p>
      <w:pPr>
        <w:ind w:right="160" w:firstLine="396"/>
        <w:spacing w:after="0" w:line="250" w:lineRule="auto"/>
        <w:rPr>
          <w:sz w:val="20"/>
          <w:szCs w:val="20"/>
          <w:color w:val="auto"/>
        </w:rPr>
      </w:pPr>
      <w:r>
        <w:rPr>
          <w:rFonts w:ascii="Times New Roman" w:cs="Times New Roman" w:eastAsia="Times New Roman" w:hAnsi="Times New Roman"/>
          <w:sz w:val="18"/>
          <w:szCs w:val="18"/>
          <w:color w:val="auto"/>
        </w:rPr>
        <w:t>As of February 10, 2023, Jonathan Oringer, our founder, Executive Chairman of the Board, and our largest stockholder, beneficially owned approximately 32.6% of our outstanding shares of common stock. This concentration of ownership may delay, deter or prevent a change in control, and may make some transactions more difficult or impossible to complete without the support of Mr. Oringer, regardless of the impact of such transaction on our other stockholders. Additionally, Mr. Oringer has significant influence over management and major strategic investments as a result of his position as Executive Chairman of the Board.</w:t>
      </w:r>
    </w:p>
    <w:p>
      <w:pPr>
        <w:spacing w:after="0" w:line="83" w:lineRule="exact"/>
        <w:rPr>
          <w:sz w:val="20"/>
          <w:szCs w:val="20"/>
          <w:color w:val="auto"/>
        </w:rPr>
      </w:pPr>
    </w:p>
    <w:p>
      <w:pPr>
        <w:ind w:right="400" w:firstLine="396"/>
        <w:spacing w:after="0" w:line="289" w:lineRule="auto"/>
        <w:rPr>
          <w:sz w:val="20"/>
          <w:szCs w:val="20"/>
          <w:color w:val="auto"/>
        </w:rPr>
      </w:pPr>
      <w:r>
        <w:rPr>
          <w:rFonts w:ascii="Times New Roman" w:cs="Times New Roman" w:eastAsia="Times New Roman" w:hAnsi="Times New Roman"/>
          <w:sz w:val="16"/>
          <w:szCs w:val="16"/>
          <w:color w:val="auto"/>
        </w:rPr>
        <w:t>Furthermore, if we purchase additional shares pursuant to our share repurchase program, Mr. Oringer’s ownership percentage would increase, and, depending on the magnitude of our repurchases and other factors impacting dilution, could result in his owning a majority of the outstanding shares of our common stock. If Mr. Oringer were to own a majority of the outstanding shares of our common stock, he would have the ability to control the outcome of certain matters requiring stockholder approval, including the election and removal of our directors and significant corporate transactions. This could also trigger certain change in control provisions in our employment agreements and agreements relating to certain outstanding equity awards.</w:t>
      </w: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common stock pursuant to our share repurchase program may affect the value of our common stock and diminish our cash reserves, and there can be no assurance that our share repurchase program will enhance stockholder value.</w:t>
      </w:r>
    </w:p>
    <w:p>
      <w:pPr>
        <w:spacing w:after="0" w:line="59"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Pursuant to our share repurchase program which was publicly announced in November 2015, we were authorized to repurchase up to $100 million of our outstanding common stock. In February 2017, our Board authorized us to repurchase up to an additional $100 million of our outstanding common stock. As of December 31, 2022, there was no remaining authorization for purchases under the share repurchase program. Our board may authorize additional purchases at any time. The timing and amount of any share repurchases will be determined based on market conditions, share price and other factors, and we are not obligated to repurchase any shares. Repurchases of our shares could increase (or reduce the size of any decrease in) the market price of our common stock at the time of such repurchases. Our board has the right to amend or suspend the share repurchase program at any time or terminate the share repurchase program upon a determination that termination would be in our best interests. Additionally, repurchases under our share repurchase program have diminished and would continue to diminish our cash reserves, which could impact our ability to pursue possible strategic opportunities and acquisitions and could result in lower overall returns on our cash balances. Further, under the Inflation Reduction Act of 2022, a 1% excise tax is imposed on the fair market value of certain net stock purchases, which could increase the cost of repurchasing shares of our common stock. There can be no assurance that any share repurchases will enhance stockholder value, as the market price of our common stock may nevertheless decline.</w:t>
      </w:r>
    </w:p>
    <w:p>
      <w:pPr>
        <w:spacing w:after="0" w:line="132"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59" w:lineRule="exact"/>
        <w:rPr>
          <w:sz w:val="20"/>
          <w:szCs w:val="20"/>
          <w:color w:val="auto"/>
        </w:rPr>
      </w:pPr>
    </w:p>
    <w:p>
      <w:pPr>
        <w:ind w:right="100" w:firstLine="396"/>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is likely to be influenced by the reports that industry or securities analysts publish about us, our business, our market or our competitors. If any of the analysts who cover us change their recommendation regarding our stock adversely, or provide more favorable relative recommendations about our competitors, our stock price would likely decline. If any analyst who covers us were to cease coverage of us or fail to regularly publish reports on us, we could lose visibility in the financial markets, which in turn could cause our stock price or trading volume to decline.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share price to decline.</w:t>
      </w:r>
    </w:p>
    <w:p>
      <w:pPr>
        <w:spacing w:after="0" w:line="114"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such sales could occur, could adversely affect the market price of our common stock and may make it more difficult for our stockholders to sell their common stock at a time and price that they deem appropriate.</w:t>
      </w:r>
    </w:p>
    <w:p>
      <w:pPr>
        <w:spacing w:after="0" w:line="74"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As of February 10, 2023, we had 35,841,933 shares of common stock outstanding. All shares of our common stock are freely transferable without restriction or registration under the Securities Act, except for shares held by our “affiliates,” which remain subject to the restrictions set forth in Rule 144 under the Securities Act.</w:t>
      </w:r>
    </w:p>
    <w:p>
      <w:pPr>
        <w:spacing w:after="0" w:line="74" w:lineRule="exact"/>
        <w:rPr>
          <w:sz w:val="20"/>
          <w:szCs w:val="20"/>
          <w:color w:val="auto"/>
        </w:rPr>
      </w:pPr>
    </w:p>
    <w:p>
      <w:pPr>
        <w:ind w:right="100" w:firstLine="396"/>
        <w:spacing w:after="0" w:line="253" w:lineRule="auto"/>
        <w:rPr>
          <w:sz w:val="20"/>
          <w:szCs w:val="20"/>
          <w:color w:val="auto"/>
        </w:rPr>
      </w:pPr>
      <w:r>
        <w:rPr>
          <w:rFonts w:ascii="Times New Roman" w:cs="Times New Roman" w:eastAsia="Times New Roman" w:hAnsi="Times New Roman"/>
          <w:sz w:val="18"/>
          <w:szCs w:val="18"/>
          <w:color w:val="auto"/>
        </w:rPr>
        <w:t>We filed registration statements on Form S-8 under the Securities Act covering shares of common stock issuable pursuant to options and shares reserved for future issuance under our 2022 Omnibus Equity Incentive Plan and our 2012 Omnibus Equity Incentive Plan. Shares issued pursuant to such options and plans can be freely sold in the public market upon issuance and vesting, subject to the terms of the award agreements delivered under such plans, unless they are held by “affiliates,” as that term is defined in Rule 144 of the Securities Act.</w:t>
      </w:r>
    </w:p>
    <w:p>
      <w:pPr>
        <w:spacing w:after="0" w:line="77" w:lineRule="exact"/>
        <w:rPr>
          <w:sz w:val="20"/>
          <w:szCs w:val="20"/>
          <w:color w:val="auto"/>
        </w:rPr>
      </w:pPr>
    </w:p>
    <w:p>
      <w:pPr>
        <w:ind w:right="440" w:firstLine="396"/>
        <w:spacing w:after="0" w:line="257" w:lineRule="auto"/>
        <w:rPr>
          <w:sz w:val="20"/>
          <w:szCs w:val="20"/>
          <w:color w:val="auto"/>
        </w:rPr>
      </w:pPr>
      <w:r>
        <w:rPr>
          <w:rFonts w:ascii="Times New Roman" w:cs="Times New Roman" w:eastAsia="Times New Roman" w:hAnsi="Times New Roman"/>
          <w:sz w:val="18"/>
          <w:szCs w:val="18"/>
          <w:color w:val="auto"/>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122"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59"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have the effect of rendering more difficult or discouraging an acquisition deemed undesirable by our board of directors. Our corporate governance documents include provisions that:</w:t>
      </w:r>
    </w:p>
    <w:p>
      <w:pPr>
        <w:spacing w:after="0" w:line="64" w:lineRule="exact"/>
        <w:rPr>
          <w:sz w:val="20"/>
          <w:szCs w:val="20"/>
          <w:color w:val="auto"/>
        </w:rPr>
      </w:pPr>
    </w:p>
    <w:p>
      <w:pPr>
        <w:ind w:left="1280" w:right="380" w:hanging="325"/>
        <w:spacing w:after="0" w:line="269" w:lineRule="auto"/>
        <w:tabs>
          <w:tab w:leader="none" w:pos="12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with voting, liquidation, dividend and other rights superior to our common stock;</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liability of, and provide indemnification to, our directors and officers;</w:t>
      </w:r>
    </w:p>
    <w:p>
      <w:pPr>
        <w:spacing w:after="0" w:line="109" w:lineRule="exact"/>
        <w:rPr>
          <w:rFonts w:ascii="Times New Roman" w:cs="Times New Roman" w:eastAsia="Times New Roman" w:hAnsi="Times New Roman"/>
          <w:sz w:val="18"/>
          <w:szCs w:val="18"/>
          <w:color w:val="auto"/>
        </w:rPr>
      </w:pPr>
    </w:p>
    <w:p>
      <w:pPr>
        <w:ind w:left="1280" w:right="500" w:hanging="325"/>
        <w:spacing w:after="0" w:line="269" w:lineRule="auto"/>
        <w:tabs>
          <w:tab w:leader="none" w:pos="12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our stockholders to call and bring business before special meetings and to take action by written consent in lieu of a meeting;</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1260" w:hanging="305"/>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notice of stockholder proposals and the nomination of candidates for election to our board of directors;</w:t>
      </w:r>
    </w:p>
    <w:p>
      <w:pPr>
        <w:spacing w:after="0" w:line="109" w:lineRule="exact"/>
        <w:rPr>
          <w:rFonts w:ascii="Times New Roman" w:cs="Times New Roman" w:eastAsia="Times New Roman" w:hAnsi="Times New Roman"/>
          <w:sz w:val="18"/>
          <w:szCs w:val="18"/>
          <w:color w:val="auto"/>
        </w:rPr>
      </w:pPr>
    </w:p>
    <w:p>
      <w:pPr>
        <w:ind w:left="1280" w:right="60" w:hanging="325"/>
        <w:spacing w:after="0" w:line="269" w:lineRule="auto"/>
        <w:tabs>
          <w:tab w:leader="none" w:pos="12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w:t>
      </w:r>
    </w:p>
    <w:p>
      <w:pPr>
        <w:spacing w:after="0" w:line="109" w:lineRule="exact"/>
        <w:rPr>
          <w:rFonts w:ascii="Times New Roman" w:cs="Times New Roman" w:eastAsia="Times New Roman" w:hAnsi="Times New Roman"/>
          <w:sz w:val="18"/>
          <w:szCs w:val="18"/>
          <w:color w:val="auto"/>
        </w:rPr>
      </w:pPr>
    </w:p>
    <w:p>
      <w:pPr>
        <w:ind w:left="1280" w:right="120" w:hanging="325"/>
        <w:spacing w:after="0" w:line="269" w:lineRule="auto"/>
        <w:tabs>
          <w:tab w:leader="none" w:pos="12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determination of the number of directors on our board and the filling of vacancies or newly created seats on the board to our board of directors then in office.</w:t>
      </w:r>
    </w:p>
    <w:p>
      <w:pPr>
        <w:spacing w:after="0" w:line="64" w:lineRule="exact"/>
        <w:rPr>
          <w:sz w:val="20"/>
          <w:szCs w:val="20"/>
          <w:color w:val="auto"/>
        </w:rPr>
      </w:pPr>
    </w:p>
    <w:p>
      <w:pPr>
        <w:ind w:right="180" w:firstLine="396"/>
        <w:spacing w:after="0" w:line="257"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and, in certain cases, the vote of two-thirds of the shares not held by such stockholder.</w:t>
      </w:r>
    </w:p>
    <w:p>
      <w:pPr>
        <w:spacing w:after="0" w:line="74"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as discouraging takeover attempts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declare dividends in the future.</w:t>
      </w:r>
    </w:p>
    <w:p>
      <w:pPr>
        <w:spacing w:after="0" w:line="114" w:lineRule="exact"/>
        <w:rPr>
          <w:sz w:val="20"/>
          <w:szCs w:val="20"/>
          <w:color w:val="auto"/>
        </w:rPr>
      </w:pPr>
    </w:p>
    <w:p>
      <w:pPr>
        <w:ind w:right="120" w:firstLine="396"/>
        <w:spacing w:after="0" w:line="248" w:lineRule="auto"/>
        <w:rPr>
          <w:sz w:val="20"/>
          <w:szCs w:val="20"/>
          <w:color w:val="auto"/>
        </w:rPr>
      </w:pPr>
      <w:r>
        <w:rPr>
          <w:rFonts w:ascii="Times New Roman" w:cs="Times New Roman" w:eastAsia="Times New Roman" w:hAnsi="Times New Roman"/>
          <w:sz w:val="18"/>
          <w:szCs w:val="18"/>
          <w:color w:val="auto"/>
        </w:rPr>
        <w:t>Beginning in 2020, we have paid a quarterly dividend and currently expect to declare and pay cash dividends on a quarterly basis in the future. Any future dividend payments, however, will be within the discretion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that our Board of Directors may deem relevant. We may not have sufficient liquidity in the future to pay dividends on our common stock. As a result, in the future, we may not choose to, or be able to, declare or pay a cash dividend, and we may not achieve an annual dividend rate in any particular amount. In such event, the return, if any, on any investment in our common stock could depend solely on an increase, if any, in the market value of our common stock.</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reduction or elimination of our cash dividend program could adversely affect the market price of our common stock.</w:t>
      </w:r>
    </w:p>
    <w:p>
      <w:pPr>
        <w:spacing w:after="0" w:line="15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increased costs and our management will continue to face increased demands as a result of continuously improving our operations as a public company.</w:t>
      </w:r>
    </w:p>
    <w:p>
      <w:pPr>
        <w:spacing w:after="0" w:line="59" w:lineRule="exact"/>
        <w:rPr>
          <w:sz w:val="20"/>
          <w:szCs w:val="20"/>
          <w:color w:val="auto"/>
        </w:rPr>
      </w:pPr>
    </w:p>
    <w:p>
      <w:pPr>
        <w:ind w:right="60" w:firstLine="396"/>
        <w:spacing w:after="0" w:line="250"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legal, tax, insurance, accounting and other expenses as a result of conducting our operations as a public company. For example, we have continued to upgrade our financial and business processing applications to accommodate the increased volume of products and transactions resulting from our growth to date. If we experience delays or difficulties in implementing these systems, or if we otherwise do not effectively manage our growth, we may not be able to execute on our business plan, respond to competitive pressures, take advantage of market opportunities, or satisfy customer requirements, among other things.</w:t>
      </w:r>
    </w:p>
    <w:p>
      <w:pPr>
        <w:spacing w:after="0" w:line="83" w:lineRule="exact"/>
        <w:rPr>
          <w:sz w:val="20"/>
          <w:szCs w:val="20"/>
          <w:color w:val="auto"/>
        </w:rPr>
      </w:pPr>
    </w:p>
    <w:p>
      <w:pPr>
        <w:ind w:right="60" w:firstLine="396"/>
        <w:spacing w:after="0" w:line="247"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including the Sarbanes-Oxley Act of 2002, or the Sarbanes-Oxley Act, the Dodd-Frank Act and related regulations implemented by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 guidance is provided by regulatory and governing bodies. Further, there may be uncertainty regarding the implementation of these laws due to changes in the political climate and other factors. Our compliance with Section 404 of the Sarbanes-Oxley Act has required and will continue to require that we incur substantial accounting expense and expend significant management efforts. We have incurred and expect to continue to incur costs to obtain directors’ and officers’ insurance as a result of operating as a public company, as well as additional costs necessitated by compliance matters and ongoing revisions to disclosure and governance standards.</w:t>
      </w:r>
    </w:p>
    <w:p>
      <w:pPr>
        <w:spacing w:after="0" w:line="86" w:lineRule="exact"/>
        <w:rPr>
          <w:sz w:val="20"/>
          <w:szCs w:val="20"/>
          <w:color w:val="auto"/>
        </w:rPr>
      </w:pPr>
    </w:p>
    <w:p>
      <w:pPr>
        <w:ind w:right="260" w:firstLine="396"/>
        <w:spacing w:after="0" w:line="253" w:lineRule="auto"/>
        <w:rPr>
          <w:sz w:val="20"/>
          <w:szCs w:val="20"/>
          <w:color w:val="auto"/>
        </w:rPr>
      </w:pPr>
      <w:r>
        <w:rPr>
          <w:rFonts w:ascii="Times New Roman" w:cs="Times New Roman" w:eastAsia="Times New Roman" w:hAnsi="Times New Roman"/>
          <w:sz w:val="18"/>
          <w:szCs w:val="18"/>
          <w:color w:val="auto"/>
        </w:rPr>
        <w:t>Also, the TCJA amended Section 162(m) of the U.S. Internal Revenue Code, which denies a publicly held corporation a deduction for U.S. federal income tax purposes for compensation paid to certain covered employees to the extent that the compensation for a taxable year exceeds $1 million per employee. Before that amendment, Section 162(m) provided an exception for “performance-based compensation” that met certain requirements. The TCJA eliminated the exception for</w:t>
      </w: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performance-based compensation, other than for certain arrangements in place before November 2, 2017, and expanded the group of employees covered by the limitation under Section 162(m). The American Rescue Plan Act, enacted on March 11, 2021, further expanded the group of covered employees to include an additional five most highly compensated employees, effective for taxable years beginning after December 31, 2026.</w:t>
      </w:r>
    </w:p>
    <w:p>
      <w:pPr>
        <w:spacing w:after="0" w:line="74" w:lineRule="exact"/>
        <w:rPr>
          <w:sz w:val="20"/>
          <w:szCs w:val="20"/>
          <w:color w:val="auto"/>
        </w:rPr>
      </w:pPr>
    </w:p>
    <w:p>
      <w:pPr>
        <w:ind w:right="60" w:firstLine="396"/>
        <w:spacing w:after="0" w:line="253" w:lineRule="auto"/>
        <w:rPr>
          <w:sz w:val="20"/>
          <w:szCs w:val="20"/>
          <w:color w:val="auto"/>
        </w:rPr>
      </w:pPr>
      <w:r>
        <w:rPr>
          <w:rFonts w:ascii="Times New Roman" w:cs="Times New Roman" w:eastAsia="Times New Roman" w:hAnsi="Times New Roman"/>
          <w:sz w:val="18"/>
          <w:szCs w:val="18"/>
          <w:color w:val="auto"/>
        </w:rPr>
        <w:t>These and other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12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72"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 is necessary for us to provide reliable, timely financial reports and prevent fraud.</w:t>
      </w:r>
    </w:p>
    <w:p>
      <w:pPr>
        <w:spacing w:after="0" w:line="83" w:lineRule="exact"/>
        <w:rPr>
          <w:sz w:val="20"/>
          <w:szCs w:val="20"/>
          <w:color w:val="auto"/>
        </w:rPr>
      </w:pPr>
    </w:p>
    <w:p>
      <w:pPr>
        <w:ind w:right="80" w:firstLine="396"/>
        <w:spacing w:after="0" w:line="286" w:lineRule="auto"/>
        <w:rPr>
          <w:sz w:val="20"/>
          <w:szCs w:val="20"/>
          <w:color w:val="auto"/>
        </w:rPr>
      </w:pPr>
      <w:r>
        <w:rPr>
          <w:rFonts w:ascii="Times New Roman" w:cs="Times New Roman" w:eastAsia="Times New Roman" w:hAnsi="Times New Roman"/>
          <w:sz w:val="16"/>
          <w:szCs w:val="16"/>
          <w:color w:val="auto"/>
        </w:rPr>
        <w:t>Our testing of our internal controls, or the testing by our independent registered public accounting firm, may reveal deficiencies in our internal control over financial reporting that we would be required to remediate in a timely manner to be able to comply with the requirements of Section 404 of the Sarbanes-Oxley Act each year. If we are not able to comply with the requirements of Section 404 of the Sarbanes-Oxley Act in a timely manner each year, we could be subject to sanctions or investigations by the SEC, the New York Stock Exchange or other regulatory authorities which would require additional financial and management resources and could adversely affect the market price of our common stock. Furthermore, if we cannot provide reliable financial reports or prevent fraud, our business and results of operations could be harmed and investors could lose confidence in our reported financial information.</w:t>
      </w:r>
    </w:p>
    <w:p>
      <w:pPr>
        <w:spacing w:after="0" w:line="39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51" w:lineRule="exact"/>
        <w:rPr>
          <w:sz w:val="20"/>
          <w:szCs w:val="20"/>
          <w:color w:val="auto"/>
        </w:rPr>
      </w:pPr>
    </w:p>
    <w:p>
      <w:pPr>
        <w:ind w:right="80" w:firstLine="396"/>
        <w:spacing w:after="0" w:line="294" w:lineRule="auto"/>
        <w:rPr>
          <w:sz w:val="20"/>
          <w:szCs w:val="20"/>
          <w:color w:val="auto"/>
        </w:rPr>
      </w:pPr>
      <w:r>
        <w:rPr>
          <w:rFonts w:ascii="Times New Roman" w:cs="Times New Roman" w:eastAsia="Times New Roman" w:hAnsi="Times New Roman"/>
          <w:sz w:val="16"/>
          <w:szCs w:val="16"/>
          <w:color w:val="auto"/>
        </w:rPr>
        <w:t>Our corporate headquarters and principal office is located in New York, New York, where we lease approximately 103,000 square feet of office space under a lease agreement, as amended, that expires in 2029. Additionally, we have other office facilities in the United States and abroad related to, among other things, sales and marketing support, technology services and customer service under operating lease agreements that expire on various dates during the period from 2023 through 2029. We do not have any material capital lease obligations, and our property, equipment and software have been purchased with cash.</w:t>
      </w:r>
    </w:p>
    <w:p>
      <w:pPr>
        <w:spacing w:after="0" w:line="74" w:lineRule="exact"/>
        <w:rPr>
          <w:sz w:val="20"/>
          <w:szCs w:val="20"/>
          <w:color w:val="auto"/>
        </w:rPr>
      </w:pPr>
    </w:p>
    <w:p>
      <w:pPr>
        <w:ind w:right="980" w:firstLine="396"/>
        <w:spacing w:after="0" w:line="269"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current needs and that suitable additional or alternative space will be available on commercially reasonable terms to meet our future needs.</w:t>
      </w:r>
    </w:p>
    <w:p>
      <w:pPr>
        <w:spacing w:after="0" w:line="103" w:lineRule="exact"/>
        <w:rPr>
          <w:sz w:val="20"/>
          <w:szCs w:val="20"/>
          <w:color w:val="auto"/>
        </w:rPr>
      </w:pPr>
    </w:p>
    <w:p>
      <w:pPr>
        <w:ind w:right="480" w:firstLine="396"/>
        <w:spacing w:after="0" w:line="269" w:lineRule="auto"/>
        <w:rPr>
          <w:sz w:val="20"/>
          <w:szCs w:val="20"/>
          <w:color w:val="auto"/>
        </w:rPr>
      </w:pPr>
      <w:r>
        <w:rPr>
          <w:rFonts w:ascii="Times New Roman" w:cs="Times New Roman" w:eastAsia="Times New Roman" w:hAnsi="Times New Roman"/>
          <w:sz w:val="18"/>
          <w:szCs w:val="18"/>
          <w:color w:val="auto"/>
        </w:rPr>
        <w:t>For additional information regarding obligations under operating leases, see Note 15 of the Notes to Consolidated Financial Statements included in Part II, Item 8 of this Annual Report on Form 10-K.</w:t>
      </w:r>
    </w:p>
    <w:p>
      <w:pPr>
        <w:spacing w:after="0" w:line="200" w:lineRule="exact"/>
        <w:rPr>
          <w:sz w:val="20"/>
          <w:szCs w:val="20"/>
          <w:color w:val="auto"/>
        </w:rPr>
      </w:pPr>
    </w:p>
    <w:p>
      <w:pPr>
        <w:spacing w:after="0" w:line="27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1" w:lineRule="exact"/>
        <w:rPr>
          <w:sz w:val="20"/>
          <w:szCs w:val="20"/>
          <w:color w:val="auto"/>
        </w:rPr>
      </w:pPr>
    </w:p>
    <w:p>
      <w:pPr>
        <w:ind w:right="200" w:firstLine="396"/>
        <w:spacing w:after="0" w:line="249" w:lineRule="auto"/>
        <w:rPr>
          <w:sz w:val="20"/>
          <w:szCs w:val="20"/>
          <w:color w:val="auto"/>
        </w:rPr>
      </w:pPr>
      <w:r>
        <w:rPr>
          <w:rFonts w:ascii="Times New Roman" w:cs="Times New Roman" w:eastAsia="Times New Roman" w:hAnsi="Times New Roman"/>
          <w:sz w:val="18"/>
          <w:szCs w:val="18"/>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52" w:lineRule="exact"/>
        <w:rPr>
          <w:sz w:val="20"/>
          <w:szCs w:val="20"/>
          <w:color w:val="auto"/>
        </w:rPr>
      </w:pPr>
    </w:p>
    <w:p>
      <w:pPr>
        <w:ind w:right="1940"/>
        <w:spacing w:after="0" w:line="421"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w:t>
      </w:r>
    </w:p>
    <w:p>
      <w:pPr>
        <w:spacing w:after="0" w:line="1" w:lineRule="exact"/>
        <w:rPr>
          <w:sz w:val="20"/>
          <w:szCs w:val="20"/>
          <w:color w:val="auto"/>
        </w:rPr>
      </w:pPr>
    </w:p>
    <w:p>
      <w:pPr>
        <w:ind w:right="3420" w:firstLine="396"/>
        <w:spacing w:after="0" w:line="412" w:lineRule="auto"/>
        <w:rPr>
          <w:sz w:val="20"/>
          <w:szCs w:val="20"/>
          <w:color w:val="auto"/>
        </w:rPr>
      </w:pPr>
      <w:r>
        <w:rPr>
          <w:rFonts w:ascii="Times New Roman" w:cs="Times New Roman" w:eastAsia="Times New Roman" w:hAnsi="Times New Roman"/>
          <w:sz w:val="18"/>
          <w:szCs w:val="18"/>
          <w:color w:val="auto"/>
        </w:rPr>
        <w:t xml:space="preserve">Our common stock is listed on the New York Stock Exchange, or the NYSE, under the symbol “SSTK.” </w:t>
      </w:r>
      <w:r>
        <w:rPr>
          <w:rFonts w:ascii="Times New Roman" w:cs="Times New Roman" w:eastAsia="Times New Roman" w:hAnsi="Times New Roman"/>
          <w:sz w:val="18"/>
          <w:szCs w:val="18"/>
          <w:b w:val="1"/>
          <w:bCs w:val="1"/>
          <w:i w:val="1"/>
          <w:iCs w:val="1"/>
          <w:color w:val="auto"/>
        </w:rPr>
        <w:t>Stockholders</w:t>
      </w:r>
    </w:p>
    <w:p>
      <w:pPr>
        <w:spacing w:after="0" w:line="2" w:lineRule="exact"/>
        <w:rPr>
          <w:sz w:val="20"/>
          <w:szCs w:val="20"/>
          <w:color w:val="auto"/>
        </w:rPr>
      </w:pPr>
    </w:p>
    <w:p>
      <w:pPr>
        <w:ind w:right="280" w:firstLine="396"/>
        <w:spacing w:after="0" w:line="333" w:lineRule="auto"/>
        <w:rPr>
          <w:sz w:val="20"/>
          <w:szCs w:val="20"/>
          <w:color w:val="auto"/>
        </w:rPr>
      </w:pPr>
      <w:r>
        <w:rPr>
          <w:rFonts w:ascii="Times New Roman" w:cs="Times New Roman" w:eastAsia="Times New Roman" w:hAnsi="Times New Roman"/>
          <w:sz w:val="16"/>
          <w:szCs w:val="16"/>
          <w:color w:val="auto"/>
        </w:rPr>
        <w:t>As of February 10, 2023, there were 3 holders of record of our common stock. Because many of our shares of common stock are held by brokers and other institutions on behalf of stockholders, this number is not indicative of the total number of stockholders represented by these stockholders of record.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did not sell any unregistered equity securities during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53"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On February 11, 2020, our Board of Directors approved the initiation of a quarterly cash dividend. We currently expect to continue to pay cash dividends on a quarterly basis in the future. Future declaration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 The dividend policy may be suspended or canceled at the discretion of our Board of Directors at any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did not acquire any shares of our common stock during the three months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14" w:lineRule="exact"/>
        <w:rPr>
          <w:sz w:val="20"/>
          <w:szCs w:val="20"/>
          <w:color w:val="auto"/>
        </w:rPr>
      </w:pPr>
    </w:p>
    <w:p>
      <w:pPr>
        <w:ind w:right="60"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after the end of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00"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The graph below matches Shutterstock, Inc.'s cumulative 5-Year total shareholder return on common stock with the cumulative total returns of the NYSE Composite index and the S&amp;P Internet Software &amp; Services Select index. The graph tracks the performance of a $100 investment in our common stock and in each index (with the reinvestment of all dividends) from 12/31/2017 to 12/31/2022.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142875</wp:posOffset>
            </wp:positionV>
            <wp:extent cx="4606290" cy="41541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06290" cy="415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0" w:type="dxa"/>
        <w:tblCellMar>
          <w:top w:w="0" w:type="dxa"/>
          <w:left w:w="0" w:type="dxa"/>
          <w:bottom w:w="0" w:type="dxa"/>
          <w:right w:w="0" w:type="dxa"/>
        </w:tblCellMar>
      </w:tblPr>
      <w:tr>
        <w:trPr>
          <w:trHeight w:val="217"/>
        </w:trPr>
        <w:tc>
          <w:tcPr>
            <w:tcW w:w="3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12/2017</w:t>
            </w:r>
          </w:p>
        </w:tc>
        <w:tc>
          <w:tcPr>
            <w:tcW w:w="108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12/2018</w:t>
            </w:r>
          </w:p>
        </w:tc>
        <w:tc>
          <w:tcPr>
            <w:tcW w:w="10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12/2019</w:t>
            </w:r>
          </w:p>
        </w:tc>
        <w:tc>
          <w:tcPr>
            <w:tcW w:w="108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12/2020</w:t>
            </w:r>
          </w:p>
        </w:tc>
        <w:tc>
          <w:tcPr>
            <w:tcW w:w="10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12/2021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12/2022</w:t>
            </w:r>
          </w:p>
        </w:tc>
      </w:tr>
      <w:tr>
        <w:trPr>
          <w:trHeight w:val="365"/>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Shutterstock, Inc.</w:t>
            </w:r>
          </w:p>
        </w:tc>
        <w:tc>
          <w:tcPr>
            <w:tcW w:w="1440" w:type="dxa"/>
            <w:vAlign w:val="bottom"/>
          </w:tcPr>
          <w:p>
            <w:pPr>
              <w:jc w:val="right"/>
              <w:ind w:right="210"/>
              <w:spacing w:after="0"/>
              <w:rPr>
                <w:sz w:val="20"/>
                <w:szCs w:val="20"/>
                <w:color w:val="auto"/>
              </w:rPr>
            </w:pPr>
            <w:r>
              <w:rPr>
                <w:rFonts w:ascii="Arial" w:cs="Arial" w:eastAsia="Arial" w:hAnsi="Arial"/>
                <w:sz w:val="14"/>
                <w:szCs w:val="14"/>
                <w:b w:val="1"/>
                <w:bCs w:val="1"/>
                <w:color w:val="auto"/>
              </w:rPr>
              <w:t>100.00</w:t>
            </w:r>
          </w:p>
        </w:tc>
        <w:tc>
          <w:tcPr>
            <w:tcW w:w="108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88.58</w:t>
            </w:r>
          </w:p>
        </w:tc>
        <w:tc>
          <w:tcPr>
            <w:tcW w:w="106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105.48</w:t>
            </w:r>
          </w:p>
        </w:tc>
        <w:tc>
          <w:tcPr>
            <w:tcW w:w="108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179.00</w:t>
            </w:r>
          </w:p>
        </w:tc>
        <w:tc>
          <w:tcPr>
            <w:tcW w:w="106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279.18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134.81</w:t>
            </w:r>
          </w:p>
        </w:tc>
      </w:tr>
      <w:tr>
        <w:trPr>
          <w:trHeight w:val="224"/>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NYSE Composite</w:t>
            </w:r>
          </w:p>
        </w:tc>
        <w:tc>
          <w:tcPr>
            <w:tcW w:w="1440" w:type="dxa"/>
            <w:vAlign w:val="bottom"/>
          </w:tcPr>
          <w:p>
            <w:pPr>
              <w:jc w:val="right"/>
              <w:ind w:right="210"/>
              <w:spacing w:after="0"/>
              <w:rPr>
                <w:sz w:val="20"/>
                <w:szCs w:val="20"/>
                <w:color w:val="auto"/>
              </w:rPr>
            </w:pPr>
            <w:r>
              <w:rPr>
                <w:rFonts w:ascii="Arial" w:cs="Arial" w:eastAsia="Arial" w:hAnsi="Arial"/>
                <w:sz w:val="14"/>
                <w:szCs w:val="14"/>
                <w:b w:val="1"/>
                <w:bCs w:val="1"/>
                <w:color w:val="auto"/>
              </w:rPr>
              <w:t>100.00</w:t>
            </w:r>
          </w:p>
        </w:tc>
        <w:tc>
          <w:tcPr>
            <w:tcW w:w="108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91.05</w:t>
            </w:r>
          </w:p>
        </w:tc>
        <w:tc>
          <w:tcPr>
            <w:tcW w:w="106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114.28</w:t>
            </w:r>
          </w:p>
        </w:tc>
        <w:tc>
          <w:tcPr>
            <w:tcW w:w="108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122.26</w:t>
            </w:r>
          </w:p>
        </w:tc>
        <w:tc>
          <w:tcPr>
            <w:tcW w:w="106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147.54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133.75</w:t>
            </w:r>
          </w:p>
        </w:tc>
      </w:tr>
      <w:tr>
        <w:trPr>
          <w:trHeight w:val="224"/>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S&amp;P Software &amp; Services Select Industry</w:t>
            </w:r>
          </w:p>
        </w:tc>
        <w:tc>
          <w:tcPr>
            <w:tcW w:w="1440" w:type="dxa"/>
            <w:vAlign w:val="bottom"/>
          </w:tcPr>
          <w:p>
            <w:pPr>
              <w:jc w:val="right"/>
              <w:ind w:right="210"/>
              <w:spacing w:after="0"/>
              <w:rPr>
                <w:sz w:val="20"/>
                <w:szCs w:val="20"/>
                <w:color w:val="auto"/>
              </w:rPr>
            </w:pPr>
            <w:r>
              <w:rPr>
                <w:rFonts w:ascii="Arial" w:cs="Arial" w:eastAsia="Arial" w:hAnsi="Arial"/>
                <w:sz w:val="14"/>
                <w:szCs w:val="14"/>
                <w:b w:val="1"/>
                <w:bCs w:val="1"/>
                <w:color w:val="auto"/>
              </w:rPr>
              <w:t>100.00</w:t>
            </w:r>
          </w:p>
        </w:tc>
        <w:tc>
          <w:tcPr>
            <w:tcW w:w="108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95.62</w:t>
            </w:r>
          </w:p>
        </w:tc>
        <w:tc>
          <w:tcPr>
            <w:tcW w:w="106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125.72</w:t>
            </w:r>
          </w:p>
        </w:tc>
        <w:tc>
          <w:tcPr>
            <w:tcW w:w="108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148.85</w:t>
            </w:r>
          </w:p>
        </w:tc>
        <w:tc>
          <w:tcPr>
            <w:tcW w:w="106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191.58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156.89</w:t>
            </w:r>
          </w:p>
        </w:tc>
      </w:tr>
    </w:tbl>
    <w:p>
      <w:pPr>
        <w:spacing w:after="0" w:line="200" w:lineRule="exact"/>
        <w:rPr>
          <w:sz w:val="20"/>
          <w:szCs w:val="20"/>
          <w:color w:val="auto"/>
        </w:rPr>
      </w:pPr>
    </w:p>
    <w:p>
      <w:pPr>
        <w:spacing w:after="0" w:line="3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31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10" w:lineRule="exact"/>
        <w:rPr>
          <w:sz w:val="20"/>
          <w:szCs w:val="20"/>
          <w:color w:val="auto"/>
        </w:rPr>
      </w:pPr>
    </w:p>
    <w:p>
      <w:pPr>
        <w:ind w:right="40"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filing. 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 in Item 1A above for additional discussion of the risks and uncertainties that could cause our actual results to differ materially from those expressed or implied in our forward-looking statements.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51"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Shutterstock is a global creative platform for transformative brands and media companies. Our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key content offerings include:</w:t>
      </w:r>
    </w:p>
    <w:p>
      <w:pPr>
        <w:spacing w:after="0" w:line="149" w:lineRule="exact"/>
        <w:rPr>
          <w:sz w:val="20"/>
          <w:szCs w:val="20"/>
          <w:color w:val="auto"/>
        </w:rPr>
      </w:pPr>
    </w:p>
    <w:p>
      <w:pPr>
        <w:ind w:left="800" w:right="20" w:hanging="320"/>
        <w:spacing w:after="0" w:line="269" w:lineRule="auto"/>
        <w:tabs>
          <w:tab w:leader="none" w:pos="7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800" w:right="220" w:hanging="399"/>
        <w:spacing w:after="0" w:line="269" w:lineRule="auto"/>
        <w:tabs>
          <w:tab w:leader="none" w:pos="7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89" w:lineRule="exact"/>
        <w:rPr>
          <w:rFonts w:ascii="Times New Roman" w:cs="Times New Roman" w:eastAsia="Times New Roman" w:hAnsi="Times New Roman"/>
          <w:sz w:val="18"/>
          <w:szCs w:val="18"/>
          <w:color w:val="auto"/>
        </w:rPr>
      </w:pPr>
    </w:p>
    <w:p>
      <w:pPr>
        <w:ind w:left="800" w:hanging="399"/>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9" w:lineRule="exact"/>
        <w:rPr>
          <w:rFonts w:ascii="Times New Roman" w:cs="Times New Roman" w:eastAsia="Times New Roman" w:hAnsi="Times New Roman"/>
          <w:sz w:val="18"/>
          <w:szCs w:val="18"/>
          <w:color w:val="auto"/>
        </w:rPr>
      </w:pPr>
    </w:p>
    <w:p>
      <w:pPr>
        <w:ind w:left="800" w:right="200" w:hanging="399"/>
        <w:spacing w:after="0" w:line="269" w:lineRule="auto"/>
        <w:tabs>
          <w:tab w:leader="none" w:pos="7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200" w:lineRule="exact"/>
        <w:rPr>
          <w:sz w:val="20"/>
          <w:szCs w:val="20"/>
          <w:color w:val="auto"/>
        </w:rPr>
      </w:pPr>
    </w:p>
    <w:p>
      <w:pPr>
        <w:spacing w:after="0" w:line="272" w:lineRule="exact"/>
        <w:rPr>
          <w:sz w:val="20"/>
          <w:szCs w:val="20"/>
          <w:color w:val="auto"/>
        </w:rPr>
      </w:pPr>
    </w:p>
    <w:p>
      <w:pPr>
        <w:ind w:right="260" w:firstLine="396"/>
        <w:spacing w:after="0" w:line="269" w:lineRule="auto"/>
        <w:rPr>
          <w:sz w:val="20"/>
          <w:szCs w:val="20"/>
          <w:color w:val="auto"/>
        </w:rPr>
      </w:pPr>
      <w:r>
        <w:rPr>
          <w:rFonts w:ascii="Times New Roman" w:cs="Times New Roman" w:eastAsia="Times New Roman" w:hAnsi="Times New Roman"/>
          <w:sz w:val="18"/>
          <w:szCs w:val="18"/>
          <w:color w:val="auto"/>
        </w:rPr>
        <w:t>Our offerings are distributed to customers under the following brands: Shutterstock; Pond5; TurboSquid; Offset; PremiumBeat; Bigstock; PicMonkey; and Splash News.</w:t>
      </w:r>
    </w:p>
    <w:p>
      <w:pPr>
        <w:spacing w:after="0" w:line="103"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Shutterstock, our flagship brand, includes various content types such as image, footage, music and editorial. For customers seeking specialized solutions, Shutterstock Studios extends our offerings by providing custom, high-quality content matched with production tools and services at scale. In addition, our collection of images, footage clips, music tracks and 3D models is also distributed through our Computer Vision offering which is used by large technology companies to train AI models.</w:t>
      </w:r>
    </w:p>
    <w:p>
      <w:pPr>
        <w:spacing w:after="0" w:line="116" w:lineRule="exact"/>
        <w:rPr>
          <w:sz w:val="20"/>
          <w:szCs w:val="20"/>
          <w:color w:val="auto"/>
        </w:rPr>
      </w:pPr>
    </w:p>
    <w:p>
      <w:pPr>
        <w:ind w:right="20" w:firstLine="396"/>
        <w:spacing w:after="0" w:line="249" w:lineRule="auto"/>
        <w:rPr>
          <w:sz w:val="20"/>
          <w:szCs w:val="20"/>
          <w:color w:val="auto"/>
        </w:rPr>
      </w:pPr>
      <w:r>
        <w:rPr>
          <w:rFonts w:ascii="Times New Roman" w:cs="Times New Roman" w:eastAsia="Times New Roman" w:hAnsi="Times New Roman"/>
          <w:sz w:val="18"/>
          <w:szCs w:val="18"/>
          <w:color w:val="auto"/>
        </w:rPr>
        <w:t>Pond5 is a video-first content marketplace which expands the Company’s content offerings across footage, image and music. PicMonkey is a leading online graphic design and image editing platform. TurboSquid operates a marketplace that offers more than one million 3D models and a 2 dimensional (“2D”) marketplace derived from 3D objects. Our Offset brand provides authentic and exceptional content for high-impact use cases that require extraordinary images, featuring work from top assignment photographers and illustrators from around the world. PremiumBeat offers exclusive high-quality music tracks and provides producers, filmmakers and marketers the ability to search handpicked production music from the world’s leading composers. Bigstock maintains a separate content library tailored for creators seeking to incorporate cost-effective imagery into their projects.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Over 2.3 million active, paying customers contributed to our revenue in 2022. As of December 31, 2022, more than 2.3 million approved contributors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their images, footage and music tracks available in our collection, which has grown to 600 million images and 45 million footage clips as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2022. This makes our collection of content one of the largest of its kind, and we delivered 173.3 million paid downloads to our customers across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brands during the year ended December 31, 2022.</w:t>
      </w:r>
    </w:p>
    <w:p>
      <w:pPr>
        <w:spacing w:after="0" w:line="13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 Royalties represent the largest component of our operating expenses, are</w:t>
      </w: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within cost of revenue, tend to fluctuate proportionately with revenue and paid downloads and may be impacted by the mix of products sold.</w:t>
      </w:r>
    </w:p>
    <w:p>
      <w:pPr>
        <w:spacing w:after="0" w:line="136" w:lineRule="exact"/>
        <w:rPr>
          <w:sz w:val="20"/>
          <w:szCs w:val="20"/>
          <w:color w:val="auto"/>
        </w:rPr>
      </w:pPr>
    </w:p>
    <w:p>
      <w:pPr>
        <w:ind w:right="360" w:firstLine="396"/>
        <w:spacing w:after="0" w:line="257" w:lineRule="auto"/>
        <w:rPr>
          <w:sz w:val="20"/>
          <w:szCs w:val="20"/>
          <w:color w:val="auto"/>
        </w:rPr>
      </w:pPr>
      <w:r>
        <w:rPr>
          <w:rFonts w:ascii="Times New Roman" w:cs="Times New Roman" w:eastAsia="Times New Roman" w:hAnsi="Times New Roman"/>
          <w:sz w:val="18"/>
          <w:szCs w:val="18"/>
          <w:color w:val="auto"/>
        </w:rPr>
        <w:t>In October 2022, Shutterstock announced our strategic partnership with OpenAI, an AI research and deployment company. In 2023, Shutterstock integrated Dall-E 2, OpenAI’s tool for AI-generated content into the Shutterstock platform to enable our customers to input keywords and generate unique images based on their specific criteria.</w:t>
      </w:r>
    </w:p>
    <w:p>
      <w:pPr>
        <w:spacing w:after="0" w:line="113" w:lineRule="exact"/>
        <w:rPr>
          <w:sz w:val="20"/>
          <w:szCs w:val="20"/>
          <w:color w:val="auto"/>
        </w:rPr>
      </w:pPr>
    </w:p>
    <w:p>
      <w:pPr>
        <w:ind w:right="60" w:firstLine="396"/>
        <w:spacing w:after="0" w:line="289" w:lineRule="auto"/>
        <w:rPr>
          <w:sz w:val="20"/>
          <w:szCs w:val="20"/>
          <w:color w:val="auto"/>
        </w:rPr>
      </w:pPr>
      <w:r>
        <w:rPr>
          <w:rFonts w:ascii="Times New Roman" w:cs="Times New Roman" w:eastAsia="Times New Roman" w:hAnsi="Times New Roman"/>
          <w:sz w:val="16"/>
          <w:szCs w:val="16"/>
          <w:color w:val="auto"/>
        </w:rPr>
        <w:t>Through our platform, we primarily generate revenue by licensing content to our customers. During the year ended December 31, 2022, 61% of our revenue and the majority of our content licenses came from our E-commerce sales channel. The majority of our customers license content directly through our self-service web properties which include Shutterstock.com, pond5.com, premiumbeat.com, turbosquid.com and bigstock.com. E-commerce customers have the ability to purchase plans that are paid on either a monthly or annual basis or to license content on a transactional basis. E-commerce customers generally license content under our standard or enhanced licenses, with additional licensing options available to meet customers’ individual needs.</w:t>
      </w:r>
    </w:p>
    <w:p>
      <w:pPr>
        <w:spacing w:after="0" w:line="92" w:lineRule="exact"/>
        <w:rPr>
          <w:sz w:val="20"/>
          <w:szCs w:val="20"/>
          <w:color w:val="auto"/>
        </w:rPr>
      </w:pPr>
    </w:p>
    <w:p>
      <w:pPr>
        <w:ind w:right="20" w:firstLine="396"/>
        <w:spacing w:after="0" w:line="247" w:lineRule="auto"/>
        <w:rPr>
          <w:sz w:val="20"/>
          <w:szCs w:val="20"/>
          <w:color w:val="auto"/>
        </w:rPr>
      </w:pPr>
      <w:r>
        <w:rPr>
          <w:rFonts w:ascii="Times New Roman" w:cs="Times New Roman" w:eastAsia="Times New Roman" w:hAnsi="Times New Roman"/>
          <w:sz w:val="18"/>
          <w:szCs w:val="18"/>
          <w:color w:val="auto"/>
        </w:rPr>
        <w:t>Customers in our Enterprise sales channel generally have unique content, licensing and workflow needs. These customers benefit from communication with our dedicated sales, service and research teams which provide a number of personalized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 Customers in our enterprise sales channel may also benefit from access to (i) Shutterstock Editorial, which includes our library of editorial images and videos, (ii) Shutterstock Studios, our offering which provides custom, high-quality content matched with production tools and services at scale, and (iii) Computer Vision, our offering which provides metadata associated with our content collection, used to train AI models. Our range of solutions, including the depth of our API platform integrations, appeals to a broad and diverse customer base and enables us to adapt and evolve with the needs of our more high touch clients to deliver capabilities that embed deep within their workflows. Our Enterprise sales channel provided approximately 39% of our revenue in 2022.</w:t>
      </w:r>
    </w:p>
    <w:p>
      <w:pPr>
        <w:spacing w:after="0" w:line="114" w:lineRule="exact"/>
        <w:rPr>
          <w:sz w:val="20"/>
          <w:szCs w:val="20"/>
          <w:color w:val="auto"/>
        </w:rPr>
      </w:pPr>
    </w:p>
    <w:p>
      <w:pPr>
        <w:ind w:firstLine="396"/>
        <w:spacing w:after="0" w:line="283" w:lineRule="auto"/>
        <w:rPr>
          <w:sz w:val="20"/>
          <w:szCs w:val="20"/>
          <w:color w:val="auto"/>
        </w:rPr>
      </w:pPr>
      <w:r>
        <w:rPr>
          <w:rFonts w:ascii="Times New Roman" w:cs="Times New Roman" w:eastAsia="Times New Roman" w:hAnsi="Times New Roman"/>
          <w:sz w:val="16"/>
          <w:szCs w:val="16"/>
          <w:color w:val="auto"/>
        </w:rPr>
        <w:t>As the use cases for our creative solutions expand, we believe our customers are seeking alternative means to consume our offerings. As a result, we have seen continued demand for our monthly subscription products, including our suite of multi-asset subscriptions, launched during 2021. These multi-asset products are credit-based and enable customers to license images, footage and music in a single subscription. Our monthly subscriptions provide for either a fixed number of content licenses or credits that may be used to download content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51" w:lineRule="exact"/>
        <w:rPr>
          <w:sz w:val="20"/>
          <w:szCs w:val="20"/>
          <w:color w:val="auto"/>
        </w:rPr>
      </w:pPr>
    </w:p>
    <w:p>
      <w:pPr>
        <w:ind w:firstLine="396"/>
        <w:spacing w:after="0" w:line="333" w:lineRule="auto"/>
        <w:rPr>
          <w:sz w:val="20"/>
          <w:szCs w:val="20"/>
          <w:color w:val="auto"/>
        </w:rPr>
      </w:pPr>
      <w:r>
        <w:rPr>
          <w:rFonts w:ascii="Times New Roman" w:cs="Times New Roman" w:eastAsia="Times New Roman" w:hAnsi="Times New Roman"/>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43"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and from PicMonkey beginning September 2022. These metrics exclude the respective customer counts and revenues from our acquisitions of Pond5 and Splash News.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14" w:lineRule="exact"/>
        <w:rPr>
          <w:sz w:val="20"/>
          <w:szCs w:val="20"/>
          <w:color w:val="auto"/>
        </w:rPr>
      </w:pPr>
    </w:p>
    <w:p>
      <w:pPr>
        <w:ind w:right="40" w:firstLine="396"/>
        <w:spacing w:after="0" w:line="304"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and its growth. We believe that an increase in our number of subscribers is an indicator of engagement in our platform and potential for future growth.</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14" w:lineRule="exact"/>
        <w:rPr>
          <w:sz w:val="20"/>
          <w:szCs w:val="20"/>
          <w:color w:val="auto"/>
        </w:rPr>
      </w:pPr>
    </w:p>
    <w:p>
      <w:pPr>
        <w:ind w:right="200" w:firstLine="396"/>
        <w:spacing w:after="0" w:line="269"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and growth driven by our monthly recurring products.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14" w:lineRule="exact"/>
        <w:rPr>
          <w:sz w:val="20"/>
          <w:szCs w:val="20"/>
          <w:color w:val="auto"/>
        </w:rPr>
      </w:pPr>
    </w:p>
    <w:p>
      <w:pPr>
        <w:jc w:val="both"/>
        <w:ind w:right="80" w:firstLine="396"/>
        <w:spacing w:after="0" w:line="257"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products and the pricing in our transactional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14" w:lineRule="exact"/>
        <w:rPr>
          <w:sz w:val="20"/>
          <w:szCs w:val="20"/>
          <w:color w:val="auto"/>
        </w:rPr>
      </w:pPr>
    </w:p>
    <w:p>
      <w:pPr>
        <w:ind w:right="40" w:firstLine="396"/>
        <w:spacing w:after="0" w:line="253"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custom content, downloads of content that are offered to customers for no charge, including our free image of the week, and downloads associated with our Computer Vision offering. Measuring the number of paid downloads that our customers make in a given period is important because they are the primary method of delivering licensed content, which drives a significant portion of the Company’s revenue and contributor royalties.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per Download</w:t>
      </w:r>
    </w:p>
    <w:p>
      <w:pPr>
        <w:spacing w:after="0" w:line="114" w:lineRule="exact"/>
        <w:rPr>
          <w:sz w:val="20"/>
          <w:szCs w:val="20"/>
          <w:color w:val="auto"/>
        </w:rPr>
      </w:pPr>
    </w:p>
    <w:p>
      <w:pPr>
        <w:ind w:right="60" w:firstLine="396"/>
        <w:spacing w:after="0" w:line="249" w:lineRule="auto"/>
        <w:rPr>
          <w:sz w:val="20"/>
          <w:szCs w:val="20"/>
          <w:color w:val="auto"/>
        </w:rPr>
      </w:pPr>
      <w:r>
        <w:rPr>
          <w:rFonts w:ascii="Times New Roman" w:cs="Times New Roman" w:eastAsia="Times New Roman" w:hAnsi="Times New Roman"/>
          <w:sz w:val="18"/>
          <w:szCs w:val="18"/>
          <w:color w:val="auto"/>
        </w:rPr>
        <w:t>We define revenue per download as the amount of revenue recognized in a given period divided by the number of paid downloads in that period excluding revenue from custom content, revenue that is not derived from or associated with content licenses and revenue associated with our Computer Vision offering.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mix and customer utilization of our products.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in our Collection</w:t>
      </w:r>
    </w:p>
    <w:p>
      <w:pPr>
        <w:spacing w:after="0" w:line="114" w:lineRule="exact"/>
        <w:rPr>
          <w:sz w:val="20"/>
          <w:szCs w:val="20"/>
          <w:color w:val="auto"/>
        </w:rPr>
      </w:pPr>
    </w:p>
    <w:p>
      <w:pPr>
        <w:ind w:right="260" w:firstLine="396"/>
        <w:spacing w:after="0" w:line="250" w:lineRule="auto"/>
        <w:rPr>
          <w:sz w:val="20"/>
          <w:szCs w:val="20"/>
          <w:color w:val="auto"/>
        </w:rPr>
      </w:pPr>
      <w:r>
        <w:rPr>
          <w:rFonts w:ascii="Times New Roman" w:cs="Times New Roman" w:eastAsia="Times New Roman" w:hAnsi="Times New Roman"/>
          <w:sz w:val="18"/>
          <w:szCs w:val="18"/>
          <w:color w:val="auto"/>
        </w:rPr>
        <w:t>We define content in our collection as the total number of approved images (photographs, vectors and illustrations) and footage (in number of clips) in our library at the end of the period. We exclude content from this collection metric that is not uploaded directly to our site but is available for license by our customers through an application program interface, custom content and certain content that may be licensed for editorial use only. Prior to December 31, 2022, this metric only included approved images and footage clips on shutterstock.com at the end of the period. We believe that our large selection of high-quality content enables us to attract and retain customers and drives our network effect.</w:t>
      </w: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key operating metrics, which are unaudited, for the years ended December 31, 2022, 2021 and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7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9"/>
        </w:trPr>
        <w:tc>
          <w:tcPr>
            <w:tcW w:w="7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11"/>
        </w:trPr>
        <w:tc>
          <w:tcPr>
            <w:tcW w:w="738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281,000</w:t>
            </w:r>
          </w:p>
        </w:tc>
      </w:tr>
      <w:tr>
        <w:trPr>
          <w:trHeight w:val="26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1</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00" w:type="dxa"/>
            <w:vAlign w:val="bottom"/>
          </w:tcPr>
          <w:p>
            <w:pPr>
              <w:spacing w:after="0"/>
              <w:rPr>
                <w:sz w:val="22"/>
                <w:szCs w:val="22"/>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00" w:type="dxa"/>
            <w:vAlign w:val="bottom"/>
          </w:tcPr>
          <w:p>
            <w:pPr>
              <w:spacing w:after="0"/>
              <w:rPr>
                <w:sz w:val="22"/>
                <w:szCs w:val="22"/>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w:t>
            </w:r>
          </w:p>
        </w:tc>
      </w:tr>
      <w:tr>
        <w:trPr>
          <w:trHeight w:val="211"/>
        </w:trPr>
        <w:tc>
          <w:tcPr>
            <w:tcW w:w="738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per download</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Content in our collection (end of period, in millions)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07"/>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___________________________________________________</w:t>
      </w:r>
    </w:p>
    <w:p>
      <w:pPr>
        <w:spacing w:after="0" w:line="149" w:lineRule="exact"/>
        <w:rPr>
          <w:sz w:val="20"/>
          <w:szCs w:val="20"/>
          <w:color w:val="auto"/>
        </w:rPr>
      </w:pPr>
    </w:p>
    <w:p>
      <w:pPr>
        <w:ind w:right="440" w:firstLine="6"/>
        <w:spacing w:after="0" w:line="238" w:lineRule="auto"/>
        <w:tabs>
          <w:tab w:leader="none" w:pos="81"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and from PicMonkey beginning September 2022. These metrics exclude the respective customer counts and revenues from our acquisitions of Pond5 and Splash News.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4" w:lineRule="exact"/>
        <w:rPr>
          <w:sz w:val="20"/>
          <w:szCs w:val="20"/>
          <w:color w:val="auto"/>
        </w:rPr>
      </w:pPr>
    </w:p>
    <w:p>
      <w:pPr>
        <w:ind w:right="300" w:firstLine="396"/>
        <w:spacing w:after="0" w:line="253" w:lineRule="auto"/>
        <w:rPr>
          <w:sz w:val="20"/>
          <w:szCs w:val="20"/>
          <w:color w:val="auto"/>
        </w:rPr>
      </w:pPr>
      <w:r>
        <w:rPr>
          <w:rFonts w:ascii="Times New Roman" w:cs="Times New Roman" w:eastAsia="Times New Roman" w:hAnsi="Times New Roman"/>
          <w:sz w:val="18"/>
          <w:szCs w:val="18"/>
          <w:color w:val="auto"/>
        </w:rPr>
        <w:t>The majority of our revenues are earned from licensing content. Content licenses are generally purchased by our customers on a monthly or annual subscription basis, whereby a customer pays for a predetermined quantity of content that may be downloaded over a specific period of time, or, on a transactional basis, whereby a customer pays for individual content licenses at the time of download. Subsequent to the acquisition of PicMonkey, we also generate revenue from the license of tools available through our platform.</w:t>
      </w:r>
    </w:p>
    <w:p>
      <w:pPr>
        <w:spacing w:after="0" w:line="77" w:lineRule="exact"/>
        <w:rPr>
          <w:sz w:val="20"/>
          <w:szCs w:val="20"/>
          <w:color w:val="auto"/>
        </w:rPr>
      </w:pPr>
    </w:p>
    <w:p>
      <w:pPr>
        <w:ind w:right="500" w:firstLine="396"/>
        <w:spacing w:after="0" w:line="253"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we allocate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7"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We recognize revenue upon the satisfaction of performance obligations. For content licenses, we recognize revenue on both our subscription-based and transaction-based products when content is downloaded by a customer, at which time the license is provided. In addition, management estimates expected unused licenses for subscription-based products and recognizes the estimated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our subscription products. For revenue associated with the license of tools available through our platform, the Company recognizes revenue on a straight-line basis over the subscription period. We expense contract acquisition costs as incurred, to the extent that the amortization period would otherwise be one year or less.</w:t>
      </w:r>
    </w:p>
    <w:p>
      <w:pPr>
        <w:spacing w:after="0" w:line="85" w:lineRule="exact"/>
        <w:rPr>
          <w:sz w:val="20"/>
          <w:szCs w:val="20"/>
          <w:color w:val="auto"/>
        </w:rPr>
      </w:pPr>
    </w:p>
    <w:p>
      <w:pPr>
        <w:jc w:val="both"/>
        <w:ind w:right="40" w:firstLine="396"/>
        <w:spacing w:after="0" w:line="282" w:lineRule="auto"/>
        <w:rPr>
          <w:sz w:val="20"/>
          <w:szCs w:val="20"/>
          <w:color w:val="auto"/>
        </w:rPr>
      </w:pPr>
      <w:r>
        <w:rPr>
          <w:rFonts w:ascii="Times New Roman" w:cs="Times New Roman" w:eastAsia="Times New Roman" w:hAnsi="Times New Roman"/>
          <w:sz w:val="16"/>
          <w:szCs w:val="16"/>
          <w:color w:val="auto"/>
        </w:rPr>
        <w:t>Collectability is reasonably assured at the time the electronic order or contract is entered. The majority of our customers purchase products by making an electronic payment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w:t>
      </w:r>
    </w:p>
    <w:p>
      <w:pPr>
        <w:spacing w:after="0" w:line="2"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18"/>
          <w:szCs w:val="18"/>
          <w:color w:val="auto"/>
        </w:rPr>
        <w:t>Collectability for customers who pay on credit terms allowing for payment beyond the date at which service commences, is based on a credit evaluation for certain new customers and transaction history with existing customers.</w:t>
      </w:r>
    </w:p>
    <w:p>
      <w:pPr>
        <w:spacing w:after="0" w:line="80" w:lineRule="exact"/>
        <w:rPr>
          <w:sz w:val="20"/>
          <w:szCs w:val="20"/>
          <w:color w:val="auto"/>
        </w:rPr>
      </w:pPr>
    </w:p>
    <w:p>
      <w:pPr>
        <w:jc w:val="both"/>
        <w:ind w:right="220" w:firstLine="396"/>
        <w:spacing w:after="0" w:line="304" w:lineRule="auto"/>
        <w:rPr>
          <w:sz w:val="20"/>
          <w:szCs w:val="20"/>
          <w:color w:val="auto"/>
        </w:rPr>
      </w:pPr>
      <w:r>
        <w:rPr>
          <w:rFonts w:ascii="Times New Roman" w:cs="Times New Roman" w:eastAsia="Times New Roman" w:hAnsi="Times New Roman"/>
          <w:sz w:val="16"/>
          <w:szCs w:val="16"/>
          <w:color w:val="auto"/>
        </w:rPr>
        <w:t>We recognize revenue gross of contributor royalties because we are the principal in the transaction as we are the party responsible for the performance obligation and control the product or service before transferring it to the customer. We also license content to customers through third-party resellers. Third-party resellers sell our products directly to customers as the principal in those transactions. Accordingly, we recognize revenue net of costs paid to resellers.</w:t>
      </w: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51" w:lineRule="exact"/>
        <w:rPr>
          <w:sz w:val="20"/>
          <w:szCs w:val="20"/>
          <w:color w:val="auto"/>
        </w:rPr>
      </w:pPr>
    </w:p>
    <w:p>
      <w:pPr>
        <w:ind w:right="20"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5"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jc w:val="both"/>
        <w:ind w:right="20"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111" w:lineRule="exact"/>
        <w:rPr>
          <w:sz w:val="20"/>
          <w:szCs w:val="20"/>
          <w:color w:val="auto"/>
        </w:rPr>
      </w:pPr>
    </w:p>
    <w:p>
      <w:pPr>
        <w:ind w:right="260" w:firstLine="3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103" w:lineRule="exact"/>
        <w:rPr>
          <w:sz w:val="20"/>
          <w:szCs w:val="20"/>
          <w:color w:val="auto"/>
        </w:rPr>
      </w:pPr>
    </w:p>
    <w:p>
      <w:pPr>
        <w:ind w:right="8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Impairment of Lease and Related Assets</w:t>
      </w:r>
      <w:r>
        <w:rPr>
          <w:rFonts w:ascii="Times New Roman" w:cs="Times New Roman" w:eastAsia="Times New Roman" w:hAnsi="Times New Roman"/>
          <w:sz w:val="18"/>
          <w:szCs w:val="18"/>
          <w:color w:val="auto"/>
        </w:rPr>
        <w:t>. Impairment of lease and related assets includes impairment charges related to a portion of the Company’s right-of-use assets and property and equipment triggered by the decision to cease using certain office spaces.</w:t>
      </w:r>
    </w:p>
    <w:p>
      <w:pPr>
        <w:spacing w:after="0" w:line="98" w:lineRule="exact"/>
        <w:rPr>
          <w:sz w:val="20"/>
          <w:szCs w:val="20"/>
          <w:color w:val="auto"/>
        </w:rPr>
      </w:pPr>
    </w:p>
    <w:p>
      <w:pPr>
        <w:ind w:right="28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Other (expense) / income, net consists of non-operating costs such as foreign currency transaction gains and losses,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interest income and expense.</w:t>
      </w:r>
    </w:p>
    <w:p>
      <w:pPr>
        <w:spacing w:after="0" w:line="98" w:lineRule="exact"/>
        <w:rPr>
          <w:sz w:val="20"/>
          <w:szCs w:val="20"/>
          <w:color w:val="auto"/>
        </w:rPr>
      </w:pPr>
    </w:p>
    <w:p>
      <w:pPr>
        <w:ind w:firstLine="3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compute income taxes using the asset and liability method, under which deferred tax assets and liabilities are determined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1"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2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3"/>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773,415</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666,686</w:t>
            </w:r>
          </w:p>
        </w:tc>
      </w:tr>
      <w:tr>
        <w:trPr>
          <w:trHeight w:val="21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259,573</w:t>
            </w:r>
          </w:p>
        </w:tc>
      </w:tr>
      <w:tr>
        <w:trPr>
          <w:trHeight w:val="213"/>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159,241</w:t>
            </w:r>
          </w:p>
        </w:tc>
      </w:tr>
      <w:tr>
        <w:trPr>
          <w:trHeight w:val="209"/>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46,038</w:t>
            </w:r>
          </w:p>
        </w:tc>
      </w:tr>
      <w:tr>
        <w:trPr>
          <w:trHeight w:val="213"/>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116,568</w:t>
            </w:r>
          </w:p>
        </w:tc>
      </w:tr>
      <w:tr>
        <w:trPr>
          <w:trHeight w:val="209"/>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665,309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581,420</w:t>
            </w:r>
          </w:p>
        </w:tc>
      </w:tr>
      <w:tr>
        <w:trPr>
          <w:trHeight w:val="20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85,266</w:t>
            </w:r>
          </w:p>
        </w:tc>
      </w:tr>
      <w:tr>
        <w:trPr>
          <w:trHeight w:val="21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r>
      <w:tr>
        <w:trPr>
          <w:trHeight w:val="20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89,523</w:t>
            </w:r>
          </w:p>
        </w:tc>
      </w:tr>
      <w:tr>
        <w:trPr>
          <w:trHeight w:val="211"/>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17,757</w:t>
            </w:r>
          </w:p>
        </w:tc>
      </w:tr>
      <w:tr>
        <w:trPr>
          <w:trHeight w:val="206"/>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76,103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91,883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71,766</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5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9"/>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13"/>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0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3"/>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6"/>
        </w:trPr>
        <w:tc>
          <w:tcPr>
            <w:tcW w:w="7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0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0"/>
        </w:trPr>
        <w:tc>
          <w:tcPr>
            <w:tcW w:w="7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7" w:name="page48"/>
    <w:bookmarkEnd w:id="4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December 31, 2021</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320" w:type="dxa"/>
            <w:vAlign w:val="bottom"/>
          </w:tcPr>
          <w:p>
            <w:pPr>
              <w:spacing w:after="0"/>
              <w:rPr>
                <w:sz w:val="16"/>
                <w:szCs w:val="16"/>
                <w:color w:val="auto"/>
              </w:rPr>
            </w:pPr>
          </w:p>
        </w:tc>
      </w:tr>
      <w:tr>
        <w:trPr>
          <w:trHeight w:val="24"/>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5"/>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3"/>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320" w:type="dxa"/>
            <w:vAlign w:val="bottom"/>
          </w:tcPr>
          <w:p>
            <w:pPr>
              <w:spacing w:after="0"/>
              <w:rPr>
                <w:sz w:val="18"/>
                <w:szCs w:val="18"/>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773,415</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54,411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36,647</w:t>
            </w:r>
          </w:p>
        </w:tc>
        <w:tc>
          <w:tcPr>
            <w:tcW w:w="100" w:type="dxa"/>
            <w:vAlign w:val="bottom"/>
          </w:tcPr>
          <w:p>
            <w:pPr>
              <w:spacing w:after="0"/>
              <w:rPr>
                <w:sz w:val="18"/>
                <w:szCs w:val="18"/>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13,420</w:t>
            </w:r>
          </w:p>
        </w:tc>
        <w:tc>
          <w:tcPr>
            <w:tcW w:w="100" w:type="dxa"/>
            <w:vAlign w:val="bottom"/>
          </w:tcPr>
          <w:p>
            <w:pPr>
              <w:spacing w:after="0"/>
              <w:rPr>
                <w:sz w:val="18"/>
                <w:szCs w:val="18"/>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59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734,202</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665,309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68,893</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r>
      <w:tr>
        <w:trPr>
          <w:trHeight w:val="202"/>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(14,482)</w:t>
            </w:r>
          </w:p>
        </w:tc>
        <w:tc>
          <w:tcPr>
            <w:tcW w:w="100" w:type="dxa"/>
            <w:vAlign w:val="bottom"/>
          </w:tcPr>
          <w:p>
            <w:pPr>
              <w:spacing w:after="0"/>
              <w:rPr>
                <w:sz w:val="17"/>
                <w:szCs w:val="17"/>
                <w:color w:val="auto"/>
              </w:rPr>
            </w:pP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(23)</w:t>
            </w:r>
          </w:p>
        </w:tc>
      </w:tr>
      <w:tr>
        <w:trPr>
          <w:trHeight w:val="202"/>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(13,699)</w:t>
            </w:r>
          </w:p>
        </w:tc>
        <w:tc>
          <w:tcPr>
            <w:tcW w:w="100" w:type="dxa"/>
            <w:vAlign w:val="bottom"/>
          </w:tcPr>
          <w:p>
            <w:pPr>
              <w:spacing w:after="0"/>
              <w:rPr>
                <w:sz w:val="17"/>
                <w:szCs w:val="17"/>
                <w:color w:val="auto"/>
              </w:rPr>
            </w:pP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w:t>
            </w:r>
          </w:p>
        </w:tc>
      </w:tr>
      <w:tr>
        <w:trPr>
          <w:trHeight w:val="21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2,081</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w:t>
            </w:r>
          </w:p>
        </w:tc>
      </w:tr>
      <w:tr>
        <w:trPr>
          <w:trHeight w:val="206"/>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76,103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91,883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(15,780)</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Not meaningful</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 increased by $54.4 million, or 7%, to $827.8 million in 2022 as compared to 2021. On a constant currency basis, revenue</w:t>
      </w:r>
    </w:p>
    <w:p>
      <w:pPr>
        <w:spacing w:after="0" w:line="22"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8"/>
          <w:szCs w:val="18"/>
          <w:color w:val="auto"/>
        </w:rPr>
        <w:t>increased approximately 11% in the year ended December 31, 2022, as compared to 2021. Approximately 18% and 7% of the Company’s revenues were denominated in Euro and Pounds Sterling, respectively. These currencies have depreciated to historically low values compared to the U.S. dollar during the twelve months ended December 31, 2022. Other currencies we transact in, including the Japanese Yen and Australian Dollar also depreciated significantly during the period.</w:t>
      </w:r>
    </w:p>
    <w:p>
      <w:pPr>
        <w:spacing w:after="0" w:line="110" w:lineRule="exact"/>
        <w:rPr>
          <w:sz w:val="20"/>
          <w:szCs w:val="20"/>
          <w:color w:val="auto"/>
        </w:rPr>
      </w:pPr>
    </w:p>
    <w:p>
      <w:pPr>
        <w:ind w:right="100" w:firstLine="396"/>
        <w:spacing w:after="0" w:line="253" w:lineRule="auto"/>
        <w:rPr>
          <w:sz w:val="20"/>
          <w:szCs w:val="20"/>
          <w:color w:val="auto"/>
        </w:rPr>
      </w:pPr>
      <w:r>
        <w:rPr>
          <w:rFonts w:ascii="Times New Roman" w:cs="Times New Roman" w:eastAsia="Times New Roman" w:hAnsi="Times New Roman"/>
          <w:sz w:val="18"/>
          <w:szCs w:val="18"/>
          <w:color w:val="auto"/>
        </w:rPr>
        <w:t>E-commerce revenues increased by 2%, to $501.4 million in 2022, as compared to 2021. On a constant currency basis, E-commerce revenues increased by 5% in 2022, as compared to 2021. During 2022, growth in our E-commerce sales channel was driven by revenue generated from our acquisitions of PicMonkey and Pond5 which were completed on September 3, 2021 and May 11, 2022, respectively. E-commerce revenue also benefited from higher subscriber revenue, which was offset by a reduction in revenue generated from our transactional products.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Enterprise revenues increased by 15%, to $326.4 million in 2022, as compared to 2021. On a constant currency basis, Enterprise revenues increased by</w:t>
      </w:r>
    </w:p>
    <w:p>
      <w:pPr>
        <w:spacing w:after="0" w:line="45" w:lineRule="exact"/>
        <w:rPr>
          <w:sz w:val="20"/>
          <w:szCs w:val="20"/>
          <w:color w:val="auto"/>
        </w:rPr>
      </w:pPr>
    </w:p>
    <w:p>
      <w:pPr>
        <w:jc w:val="both"/>
        <w:ind w:right="420"/>
        <w:spacing w:after="0" w:line="247" w:lineRule="auto"/>
        <w:rPr>
          <w:sz w:val="20"/>
          <w:szCs w:val="20"/>
          <w:color w:val="auto"/>
        </w:rPr>
      </w:pPr>
      <w:r>
        <w:rPr>
          <w:rFonts w:ascii="Times New Roman" w:cs="Times New Roman" w:eastAsia="Times New Roman" w:hAnsi="Times New Roman"/>
          <w:sz w:val="18"/>
          <w:szCs w:val="18"/>
          <w:color w:val="auto"/>
        </w:rPr>
        <w:t>20% in 2022, as compared to 2021. The increase in Enterprise revenues was primarily driven by growth in our Computer Vision and multi-asset product offerings, in addition to revenue generated from our acquisitions of Pond5 and Splash News, which were completed on May 11, 2022 and May 28, 2022, respectively. Enterprise revenue growth also benefited from continued momentum in Shutterstock Studios and Shutterstock Editorial.</w:t>
      </w:r>
    </w:p>
    <w:p>
      <w:pPr>
        <w:spacing w:after="0" w:line="121" w:lineRule="exact"/>
        <w:rPr>
          <w:sz w:val="20"/>
          <w:szCs w:val="20"/>
          <w:color w:val="auto"/>
        </w:rPr>
      </w:pPr>
    </w:p>
    <w:p>
      <w:pPr>
        <w:ind w:right="180" w:firstLine="396"/>
        <w:spacing w:after="0" w:line="257" w:lineRule="auto"/>
        <w:rPr>
          <w:sz w:val="20"/>
          <w:szCs w:val="20"/>
          <w:color w:val="auto"/>
        </w:rPr>
      </w:pPr>
      <w:r>
        <w:rPr>
          <w:rFonts w:ascii="Times New Roman" w:cs="Times New Roman" w:eastAsia="Times New Roman" w:hAnsi="Times New Roman"/>
          <w:sz w:val="18"/>
          <w:szCs w:val="18"/>
          <w:color w:val="auto"/>
        </w:rPr>
        <w:t>In the years ended December 31, 2022 and 2021, we delivered 173.3 million and 180.0 million paid downloads, respectively, and our revenue per download was $4.40 in 2022 compared to $4.16 in 2021. During 2022, the 6% increase in revenue per download, is primarily due to changes in product mix coupled with a reduction in paid download volumes.</w:t>
      </w:r>
    </w:p>
    <w:p>
      <w:pPr>
        <w:spacing w:after="0" w:line="74" w:lineRule="exact"/>
        <w:rPr>
          <w:sz w:val="20"/>
          <w:szCs w:val="20"/>
          <w:color w:val="auto"/>
        </w:rPr>
      </w:pPr>
    </w:p>
    <w:p>
      <w:pPr>
        <w:ind w:right="20" w:firstLine="396"/>
        <w:spacing w:after="0" w:line="257"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$62.2 million, or 21%, to $353.2 million, revenue from Europe decreased by $10.5 million, or 4%, to $243.0 million and revenue from outside Europe and North America increased by $2.6 million, or 1%, to $231.6 million, in the year ended December 31, 2022 compared to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151"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$36.6 million, or 13%, to $314.3 million in 2022 as compared to 2021. As a percent of revenue,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increased to 38% for the year ended December 31, 2022, from 36% for 2021. This increase was primarily driven by: (i) increased depreciation and amortization expense driven by our recent acquisitions; (ii) increased royalty, content and reviewer costs; and (iii) higher costs associated with website hosting, hardware and software licenses. We expect that our cost of revenue will continue to fluctuate in line with changes in revenue and paid downloads.</w:t>
      </w:r>
    </w:p>
    <w:p>
      <w:pPr>
        <w:spacing w:after="0" w:line="103"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$1.7 million, or 1%, to $203.2 million in 2022 as compared to 2021. As a percent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sales and marketing expenses decreased to 25% for the year ended December 31, 2022, from 26% for 2021. The decrease in sales and marketing expenses was primarily driven by $15.7 million in lower marketing spend, partially offset by $5.2 million in higher employee-related costs and $2.6 million in higher non-cash compensation expense. In addition, the Company has incurred additional marketing expenses associated with second quarter live events and festivals. We expect sales and marketing expenses to continue to fluctuate as we optimize our sales channels and invest in new customer acquisition, products and geographies.</w:t>
      </w:r>
    </w:p>
    <w:p>
      <w:pPr>
        <w:spacing w:after="0" w:line="118" w:lineRule="exact"/>
        <w:rPr>
          <w:sz w:val="20"/>
          <w:szCs w:val="20"/>
          <w:color w:val="auto"/>
        </w:rPr>
      </w:pPr>
    </w:p>
    <w:p>
      <w:pPr>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by $13.4 million, or 26%, to $65.4 million in 2022 as compared to 2021. This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(i) $6.3 million in higher employee and third-party contractor related costs, net of capitalized labor for the twelve months ended December 31, 2022, (ii) $3.7 million in higher non-cash compensation expense and (iii) increased software and other IT-related costs for the twelve months ended December 31, 2022.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118" w:lineRule="exact"/>
        <w:rPr>
          <w:sz w:val="20"/>
          <w:szCs w:val="20"/>
          <w:color w:val="auto"/>
        </w:rPr>
      </w:pPr>
    </w:p>
    <w:p>
      <w:pPr>
        <w:ind w:right="200" w:firstLine="396"/>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w:t>
      </w:r>
      <w:r>
        <w:rPr>
          <w:rFonts w:ascii="Times New Roman" w:cs="Times New Roman" w:eastAsia="Times New Roman" w:hAnsi="Times New Roman"/>
          <w:sz w:val="16"/>
          <w:szCs w:val="16"/>
          <w:color w:val="auto"/>
        </w:rPr>
        <w:t>General and administrative expenses increased by $1.9 million, or 1%, to $132.6 million in 2022 as compared to 2021.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This increase was primarily driven by (i) $4.3 million in professional fees related to our acquisitions of Pond5 and Splash News, (ii) $3.6 million increase in bad debt expense; (iii) $1.8 million related to realized foreign currency losses, (iii) $1.6 million in severance costs associated with a strategic workforce optimization initiative; and (iv) $1 million related to a donation to provide direct assistance to Shutterstock’s contributors in Ukraine. These increases were partially offset by (i) $6.9 million in lower non-cash compensation expense related to the departure of certain executives and expense associated with certain performance based awards, (ii) $1.9 million in lower depreciation and amortization expense and (iii) $1.2 million in lower employee-related costs.</w:t>
      </w:r>
    </w:p>
    <w:p>
      <w:pPr>
        <w:spacing w:after="0" w:line="78" w:lineRule="exact"/>
        <w:rPr>
          <w:sz w:val="20"/>
          <w:szCs w:val="20"/>
          <w:color w:val="auto"/>
        </w:rPr>
      </w:pPr>
    </w:p>
    <w:p>
      <w:pPr>
        <w:jc w:val="both"/>
        <w:ind w:right="140" w:firstLine="396"/>
        <w:spacing w:after="0" w:line="253" w:lineRule="auto"/>
        <w:rPr>
          <w:sz w:val="20"/>
          <w:szCs w:val="20"/>
          <w:color w:val="auto"/>
        </w:rPr>
      </w:pPr>
      <w:r>
        <w:rPr>
          <w:rFonts w:ascii="Times New Roman" w:cs="Times New Roman" w:eastAsia="Times New Roman" w:hAnsi="Times New Roman"/>
          <w:sz w:val="18"/>
          <w:szCs w:val="18"/>
          <w:i w:val="1"/>
          <w:iCs w:val="1"/>
          <w:color w:val="auto"/>
        </w:rPr>
        <w:t>Impairment of Lease and Related Assets</w:t>
      </w:r>
      <w:r>
        <w:rPr>
          <w:rFonts w:ascii="Times New Roman" w:cs="Times New Roman" w:eastAsia="Times New Roman" w:hAnsi="Times New Roman"/>
          <w:sz w:val="18"/>
          <w:szCs w:val="18"/>
          <w:color w:val="auto"/>
        </w:rPr>
        <w:t>. Impairment of lease and related assets was $18.7 million in 2022. In the fourth quarter of 2022,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an analysis of leased-office usage and (i) ceased using certain of its office space, including two floors of its headquarters in New York City as well as (ii) abandoned certain other smaller office spaces. This resulted in an $18.7 million impairment charge, of which $15.9 million and $2.8 million relates to right-of-use assets and property and equipment, respectively.</w:t>
      </w:r>
    </w:p>
    <w:p>
      <w:pPr>
        <w:spacing w:after="0" w:line="116" w:lineRule="exact"/>
        <w:rPr>
          <w:sz w:val="20"/>
          <w:szCs w:val="20"/>
          <w:color w:val="auto"/>
        </w:rPr>
      </w:pPr>
    </w:p>
    <w:p>
      <w:pPr>
        <w:ind w:right="640"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During 2022, other expense, net substantially consisted of $1.3 million of expense due to foreign currency fluctuations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million of interest expense related to the Credit Facility. As we increase the volume of business transacted in foreign currencies resulting from international expansion and as currency rates fluctuate, we expect foreign currency gains and losses to continue to fluctuate.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2021, other expense, net substantially consisted of $3.3 million of expense due to foreign currency fluctuations.</w:t>
      </w:r>
    </w:p>
    <w:p>
      <w:pPr>
        <w:spacing w:after="0" w:line="134" w:lineRule="exact"/>
        <w:rPr>
          <w:sz w:val="20"/>
          <w:szCs w:val="20"/>
          <w:color w:val="auto"/>
        </w:rPr>
      </w:pPr>
    </w:p>
    <w:p>
      <w:pPr>
        <w:ind w:right="8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increased by $2.1 million, to $14.9 million in 2022 as compared to 2021. Our effective tax rates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and 2021 were approximately 16.4% and 12.3%, respectively.</w:t>
      </w:r>
    </w:p>
    <w:p>
      <w:pPr>
        <w:spacing w:after="0" w:line="100" w:lineRule="exact"/>
        <w:rPr>
          <w:sz w:val="20"/>
          <w:szCs w:val="20"/>
          <w:color w:val="auto"/>
        </w:rPr>
      </w:pPr>
    </w:p>
    <w:p>
      <w:pPr>
        <w:ind w:right="200" w:firstLine="396"/>
        <w:spacing w:after="0" w:line="257" w:lineRule="auto"/>
        <w:rPr>
          <w:sz w:val="20"/>
          <w:szCs w:val="20"/>
          <w:color w:val="auto"/>
        </w:rPr>
      </w:pPr>
      <w:r>
        <w:rPr>
          <w:rFonts w:ascii="Times New Roman" w:cs="Times New Roman" w:eastAsia="Times New Roman" w:hAnsi="Times New Roman"/>
          <w:sz w:val="18"/>
          <w:szCs w:val="18"/>
          <w:color w:val="auto"/>
        </w:rPr>
        <w:t>The 2022 effective tax rate differs from the U.S. federal statutory tax rate primarily due to the foreign-derived intangible income deduction. The 2021 effective tax rate differs from the U.S. federal statutory rate primarily due to the foreign-derived intangible income deduction and the impact of a capital loss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2021 and December 31, 2020</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320" w:type="dxa"/>
            <w:vAlign w:val="bottom"/>
          </w:tcPr>
          <w:p>
            <w:pPr>
              <w:spacing w:after="0"/>
              <w:rPr>
                <w:sz w:val="16"/>
                <w:szCs w:val="16"/>
                <w:color w:val="auto"/>
              </w:rPr>
            </w:pPr>
          </w:p>
        </w:tc>
      </w:tr>
      <w:tr>
        <w:trPr>
          <w:trHeight w:val="24"/>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5"/>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3"/>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320" w:type="dxa"/>
            <w:vAlign w:val="bottom"/>
          </w:tcPr>
          <w:p>
            <w:pPr>
              <w:spacing w:after="0"/>
              <w:rPr>
                <w:sz w:val="18"/>
                <w:szCs w:val="18"/>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773,415</w:t>
            </w:r>
          </w:p>
        </w:tc>
        <w:tc>
          <w:tcPr>
            <w:tcW w:w="1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666,686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106,729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1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18,086</w:t>
            </w:r>
          </w:p>
        </w:tc>
        <w:tc>
          <w:tcPr>
            <w:tcW w:w="100" w:type="dxa"/>
            <w:vAlign w:val="bottom"/>
          </w:tcPr>
          <w:p>
            <w:pPr>
              <w:spacing w:after="0"/>
              <w:rPr>
                <w:sz w:val="18"/>
                <w:szCs w:val="18"/>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45,637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29</w:t>
            </w:r>
          </w:p>
        </w:tc>
      </w:tr>
      <w:tr>
        <w:trPr>
          <w:trHeight w:val="209"/>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5,976</w:t>
            </w:r>
          </w:p>
        </w:tc>
        <w:tc>
          <w:tcPr>
            <w:tcW w:w="100" w:type="dxa"/>
            <w:vAlign w:val="bottom"/>
          </w:tcPr>
          <w:p>
            <w:pPr>
              <w:spacing w:after="0"/>
              <w:rPr>
                <w:sz w:val="18"/>
                <w:szCs w:val="18"/>
                <w:color w:val="auto"/>
              </w:rPr>
            </w:pP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14,190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r>
      <w:tr>
        <w:trPr>
          <w:trHeight w:val="209"/>
        </w:trPr>
        <w:tc>
          <w:tcPr>
            <w:tcW w:w="5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665,309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581,420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83,889</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14</w:t>
            </w:r>
          </w:p>
        </w:tc>
      </w:tr>
      <w:tr>
        <w:trPr>
          <w:trHeight w:val="20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108,106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22,840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27</w:t>
            </w:r>
          </w:p>
        </w:tc>
      </w:tr>
      <w:tr>
        <w:trPr>
          <w:trHeight w:val="209"/>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(179)</w:t>
            </w:r>
          </w:p>
        </w:tc>
      </w:tr>
      <w:tr>
        <w:trPr>
          <w:trHeight w:val="20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15,213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w:t>
            </w:r>
          </w:p>
        </w:tc>
      </w:tr>
      <w:tr>
        <w:trPr>
          <w:trHeight w:val="209"/>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(4,904)</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(28)</w:t>
            </w:r>
          </w:p>
        </w:tc>
      </w:tr>
      <w:tr>
        <w:trPr>
          <w:trHeight w:val="231"/>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91,883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20,117</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3" w:lineRule="exact"/>
        <w:rPr>
          <w:sz w:val="20"/>
          <w:szCs w:val="20"/>
          <w:color w:val="auto"/>
        </w:rPr>
      </w:pPr>
    </w:p>
    <w:p>
      <w:pPr>
        <w:ind w:right="140" w:firstLine="396"/>
        <w:spacing w:after="0" w:line="253" w:lineRule="auto"/>
        <w:rPr>
          <w:sz w:val="20"/>
          <w:szCs w:val="20"/>
          <w:color w:val="auto"/>
        </w:rPr>
      </w:pPr>
      <w:r>
        <w:rPr>
          <w:rFonts w:ascii="Times New Roman" w:cs="Times New Roman" w:eastAsia="Times New Roman" w:hAnsi="Times New Roman"/>
          <w:sz w:val="18"/>
          <w:szCs w:val="18"/>
          <w:color w:val="auto"/>
        </w:rPr>
        <w:t>Revenue increased by $106.7 million, or 16%, to $773.4 million in 2021 as compared to 2020. On a constant currency basis, revenue increased approximately 15% in the year ended December 31, 2021, as compared to 2020. Our revenue growth in 2021 is primarily driven by revenue generated from our 2021 acquisitions and the increase in our subscription business. From 2020 to 2021, subscribers grew by 22% to 343,000 and subscriber revenue grew by 20% to $317.5 million.</w:t>
      </w:r>
    </w:p>
    <w:p>
      <w:pPr>
        <w:spacing w:after="0" w:line="103" w:lineRule="exact"/>
        <w:rPr>
          <w:sz w:val="20"/>
          <w:szCs w:val="20"/>
          <w:color w:val="auto"/>
        </w:rPr>
      </w:pPr>
    </w:p>
    <w:p>
      <w:pPr>
        <w:ind w:right="100" w:firstLine="396"/>
        <w:spacing w:after="0" w:line="304" w:lineRule="auto"/>
        <w:rPr>
          <w:sz w:val="20"/>
          <w:szCs w:val="20"/>
          <w:color w:val="auto"/>
        </w:rPr>
      </w:pPr>
      <w:r>
        <w:rPr>
          <w:rFonts w:ascii="Times New Roman" w:cs="Times New Roman" w:eastAsia="Times New Roman" w:hAnsi="Times New Roman"/>
          <w:sz w:val="16"/>
          <w:szCs w:val="16"/>
          <w:color w:val="auto"/>
        </w:rPr>
        <w:t>E-commerce revenues increased by 19%, to $490.2 million in 2021 as compared to 2020. On a constant currency basis, E-commerce revenues increased by 16% in 2021, as compared to 2020. During 2021, growth in our E-commerce sales channel was primarily driven by increased subscriber revenue and revenue generated by our acquisitions of TurboSquid and PicMonkey, which were completed on February 1, 2021 and September 3, 2021, respectively.</w:t>
      </w:r>
    </w:p>
    <w:p>
      <w:pPr>
        <w:spacing w:after="0" w:line="79"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Enterprise revenues increased by 11%, to $283.2 million in 2021 as compared to 2020. On a constant currency basis, Enterprise revenues increased by 10% in 2021, as compared to 2020 . We have continued to execute on our strategy to respond to market trends including making updates to product offerings and continuously improving our platform. We believe these enhancements impacted our Enterprise sales operations during the period and were one of the drivers of the increased deferred revenue balance as of December 31, 2021.</w:t>
      </w:r>
    </w:p>
    <w:p>
      <w:pPr>
        <w:spacing w:after="0" w:line="116" w:lineRule="exact"/>
        <w:rPr>
          <w:sz w:val="20"/>
          <w:szCs w:val="20"/>
          <w:color w:val="auto"/>
        </w:rPr>
      </w:pPr>
    </w:p>
    <w:p>
      <w:pPr>
        <w:ind w:right="100" w:firstLine="396"/>
        <w:spacing w:after="0" w:line="269" w:lineRule="auto"/>
        <w:rPr>
          <w:sz w:val="20"/>
          <w:szCs w:val="20"/>
          <w:color w:val="auto"/>
        </w:rPr>
      </w:pPr>
      <w:r>
        <w:rPr>
          <w:rFonts w:ascii="Times New Roman" w:cs="Times New Roman" w:eastAsia="Times New Roman" w:hAnsi="Times New Roman"/>
          <w:sz w:val="18"/>
          <w:szCs w:val="18"/>
          <w:color w:val="auto"/>
        </w:rPr>
        <w:t>In the years ended December 31, 2021 and 2020, we delivered 180.0 million paid downloads, and our revenue per download increased to $4.16 in 2021, as compared to $3.68 in 2020. During 2021, the 13% increase in revenue per download, is primarily due to changes in product mix.</w:t>
      </w:r>
    </w:p>
    <w:p>
      <w:pPr>
        <w:spacing w:after="0" w:line="90" w:lineRule="exact"/>
        <w:rPr>
          <w:sz w:val="20"/>
          <w:szCs w:val="20"/>
          <w:color w:val="auto"/>
        </w:rPr>
      </w:pPr>
    </w:p>
    <w:p>
      <w:pPr>
        <w:ind w:right="300" w:firstLine="396"/>
        <w:spacing w:after="0" w:line="257"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$54.4 million, or 23%, to $291.0 million, revenue from Europe increased by $32.8 million, or 15%, to $253.5 million and revenue from outside Europe and North America increased by $19.5 million, or 9%, to $229.0 million, in the year ended December 31, 2021 compared to 2020.</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151" w:lineRule="exact"/>
        <w:rPr>
          <w:sz w:val="20"/>
          <w:szCs w:val="20"/>
          <w:color w:val="auto"/>
        </w:rPr>
      </w:pPr>
    </w:p>
    <w:p>
      <w:pPr>
        <w:ind w:left="400"/>
        <w:spacing w:after="0"/>
        <w:tabs>
          <w:tab w:leader="none" w:pos="1740" w:val="left"/>
        </w:tabs>
        <w:rPr>
          <w:sz w:val="20"/>
          <w:szCs w:val="20"/>
          <w:color w:val="auto"/>
        </w:rPr>
      </w:pPr>
      <w:r>
        <w:rPr>
          <w:rFonts w:ascii="Times New Roman" w:cs="Times New Roman" w:eastAsia="Times New Roman" w:hAnsi="Times New Roman"/>
          <w:sz w:val="18"/>
          <w:szCs w:val="18"/>
          <w:i w:val="1"/>
          <w:iCs w:val="1"/>
          <w:color w:val="auto"/>
        </w:rPr>
        <w:t>Cost of Revenue.</w:t>
      </w:r>
      <w:r>
        <w:rPr>
          <w:sz w:val="20"/>
          <w:szCs w:val="20"/>
          <w:color w:val="auto"/>
        </w:rPr>
        <w:tab/>
      </w:r>
      <w:r>
        <w:rPr>
          <w:rFonts w:ascii="Times New Roman" w:cs="Times New Roman" w:eastAsia="Times New Roman" w:hAnsi="Times New Roman"/>
          <w:sz w:val="16"/>
          <w:szCs w:val="16"/>
          <w:color w:val="auto"/>
        </w:rPr>
        <w:t>Cost of revenue increased by $18.1 million, or 7%, to $277.7 million in 2021 as compared to 2020. This increase was primarily driven</w:t>
      </w:r>
    </w:p>
    <w:p>
      <w:pPr>
        <w:spacing w:after="0" w:line="24"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8"/>
          <w:szCs w:val="18"/>
          <w:color w:val="auto"/>
        </w:rPr>
        <w:t>by: (i) higher royalty expense, content procurement costs and credit card fees, associated with our increased revenue and (ii) increased depreciation and amortization expense driven by our recent acquisitions. In addition, in 2020, cost of revenue includes severance charges of $1.2 million. We expect that our cost of revenue will fluctuate in line with changes in revenue and paid downloads.</w:t>
      </w: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$45.6 million, or 29%, to $204.9 million in 2021 as compared to 2020. As a percent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sales and marketing expenses increased to 26% for the year ended December 31, 2021, from 24% for 2020. This increase was primarily driven by (i) $31.7 million in higher marketing spend which includes performance marketing, brand marketing and television ad spend, and (ii) $11.3 million in higher employee-related costs, primarily related to commissions associated with increased enterprise billings. In addition, for the year ended December 31, 2021 and 2020, sales and marketing expense includes severance charges of $2.2 million and $1.7 million, respectively. We expect sales and marketing expenses to fluctuate as we optimize our sales channels and invest in new customer acquisition, products and geographies.</w:t>
      </w:r>
    </w:p>
    <w:p>
      <w:pPr>
        <w:spacing w:after="0" w:line="104" w:lineRule="exact"/>
        <w:rPr>
          <w:sz w:val="20"/>
          <w:szCs w:val="20"/>
          <w:color w:val="auto"/>
        </w:rPr>
      </w:pPr>
    </w:p>
    <w:p>
      <w:pPr>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by $6.0 million, or 13%, to $52.0 million in 2021 as compared to 2020. This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higher personnel costs and higher non-cash compensation expense. These increases were partially offset by a reduction in software and other IT-related costs, for the year ended December 31, 2021, as compared to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118" w:lineRule="exact"/>
        <w:rPr>
          <w:sz w:val="20"/>
          <w:szCs w:val="20"/>
          <w:color w:val="auto"/>
        </w:rPr>
      </w:pPr>
    </w:p>
    <w:p>
      <w:pPr>
        <w:ind w:right="120"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$14.2 million, or 12%, to $130.8 million in 2021 as compared to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increase was primarily driven by (i) $5.9 million in higher employee-related costs in 2021 as compared to 2020, (ii) $4.7 million in higher non-cash compensation expense; and (iii) $4.3 million in higher professional fees, which were impacted by transaction costs associated with our acquisitions of TurboSquid and PicMonkey. These increases were partially offset by a $2.4 million decline in bad debt expense, and other reductions associated with ongoing vendor management initiatives. For the years ended December 31, 2021 and 2020, general and administrative expenses include severance charges of $0.5 million and $1.4 million, respectively.</w:t>
      </w:r>
    </w:p>
    <w:p>
      <w:pPr>
        <w:spacing w:after="0" w:line="118" w:lineRule="exact"/>
        <w:rPr>
          <w:sz w:val="20"/>
          <w:szCs w:val="20"/>
          <w:color w:val="auto"/>
        </w:rPr>
      </w:pPr>
    </w:p>
    <w:p>
      <w:pPr>
        <w:ind w:right="160" w:firstLine="396"/>
        <w:spacing w:after="0" w:line="336" w:lineRule="auto"/>
        <w:rPr>
          <w:sz w:val="20"/>
          <w:szCs w:val="20"/>
          <w:color w:val="auto"/>
        </w:rPr>
      </w:pPr>
      <w:r>
        <w:rPr>
          <w:rFonts w:ascii="Times New Roman" w:cs="Times New Roman" w:eastAsia="Times New Roman" w:hAnsi="Times New Roman"/>
          <w:sz w:val="16"/>
          <w:szCs w:val="16"/>
          <w:i w:val="1"/>
          <w:iCs w:val="1"/>
          <w:color w:val="auto"/>
        </w:rPr>
        <w:t xml:space="preserve">Other (expense) / income, net. </w:t>
      </w:r>
      <w:r>
        <w:rPr>
          <w:rFonts w:ascii="Times New Roman" w:cs="Times New Roman" w:eastAsia="Times New Roman" w:hAnsi="Times New Roman"/>
          <w:sz w:val="16"/>
          <w:szCs w:val="16"/>
          <w:color w:val="auto"/>
        </w:rPr>
        <w:t>During 2021, other (expense) / income, net substantially consisted of $3.3 million of expense due to foreign currency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fluctuations. We expect to experience future foreign currency gains and losses as the US Dollar fluctuates relative to non-US currencies in which we transact.</w:t>
      </w:r>
    </w:p>
    <w:p>
      <w:pPr>
        <w:spacing w:after="0" w:line="41" w:lineRule="exact"/>
        <w:rPr>
          <w:sz w:val="20"/>
          <w:szCs w:val="20"/>
          <w:color w:val="auto"/>
        </w:rPr>
      </w:pPr>
    </w:p>
    <w:p>
      <w:pPr>
        <w:ind w:right="40" w:firstLine="396"/>
        <w:spacing w:after="0" w:line="269" w:lineRule="auto"/>
        <w:rPr>
          <w:sz w:val="20"/>
          <w:szCs w:val="20"/>
          <w:color w:val="auto"/>
        </w:rPr>
      </w:pPr>
      <w:r>
        <w:rPr>
          <w:rFonts w:ascii="Times New Roman" w:cs="Times New Roman" w:eastAsia="Times New Roman" w:hAnsi="Times New Roman"/>
          <w:sz w:val="18"/>
          <w:szCs w:val="18"/>
          <w:color w:val="auto"/>
        </w:rPr>
        <w:t>During 2020, approximately $3.1 million of other (expense) / income, net related to favorable foreign currency fluctuations, in addition to $1.2 million of interest income.</w:t>
      </w:r>
    </w:p>
    <w:p>
      <w:pPr>
        <w:spacing w:after="0" w:line="101" w:lineRule="exact"/>
        <w:rPr>
          <w:sz w:val="20"/>
          <w:szCs w:val="20"/>
          <w:color w:val="auto"/>
        </w:rPr>
      </w:pPr>
    </w:p>
    <w:p>
      <w:pPr>
        <w:ind w:right="12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decreased by $4.9 million to $12.9 million in 2021 as compared to 2020. Our effective tax rates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 and 2020 were approximately 12.3% and 19.8%, respectively.</w:t>
      </w:r>
    </w:p>
    <w:p>
      <w:pPr>
        <w:spacing w:after="0" w:line="100" w:lineRule="exact"/>
        <w:rPr>
          <w:sz w:val="20"/>
          <w:szCs w:val="20"/>
          <w:color w:val="auto"/>
        </w:rPr>
      </w:pPr>
    </w:p>
    <w:p>
      <w:pPr>
        <w:ind w:right="60" w:firstLine="396"/>
        <w:spacing w:after="0" w:line="257" w:lineRule="auto"/>
        <w:rPr>
          <w:sz w:val="20"/>
          <w:szCs w:val="20"/>
          <w:color w:val="auto"/>
        </w:rPr>
      </w:pPr>
      <w:r>
        <w:rPr>
          <w:rFonts w:ascii="Times New Roman" w:cs="Times New Roman" w:eastAsia="Times New Roman" w:hAnsi="Times New Roman"/>
          <w:sz w:val="18"/>
          <w:szCs w:val="18"/>
          <w:color w:val="auto"/>
        </w:rPr>
        <w:t>The 2021 effective tax rate differs from the U.S. federal statutory rate primarily due to the foreign-derived intangible income deduction and the impact of a capital loss transaction. The 2020 effective tax rate differs from the U.S. federal statutory rate primarily due to the foreign-derived intangible income deduction partially offset by other items.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1" w:lineRule="exact"/>
        <w:rPr>
          <w:sz w:val="20"/>
          <w:szCs w:val="20"/>
          <w:color w:val="auto"/>
        </w:rPr>
      </w:pPr>
    </w:p>
    <w:p>
      <w:pPr>
        <w:ind w:right="320"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2022, we had cash and cash equivalents totaling $115.2 million, which primarily consisted of bank balances. Since inception, we have financed our operations primarily through cash flows generated from operations. In addition, if necessary, we have the ability to draw on our credit facility, which was obtained on May 6, 2022.</w:t>
      </w:r>
    </w:p>
    <w:p>
      <w:pPr>
        <w:spacing w:after="0" w:line="100" w:lineRule="exact"/>
        <w:rPr>
          <w:sz w:val="20"/>
          <w:szCs w:val="20"/>
          <w:color w:val="auto"/>
        </w:rPr>
      </w:pPr>
    </w:p>
    <w:p>
      <w:pPr>
        <w:ind w:right="120" w:firstLine="396"/>
        <w:spacing w:after="0" w:line="253"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content acquisitions, business combinations and asset acquisitions that enhance our strategic position, cash dividend payments and share purchases under our share repurchase program.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declared and paid cash dividends of $0.96 per share of common stock, or $34.6 million during the year ended December 31, 2022.</w:t>
      </w:r>
    </w:p>
    <w:p>
      <w:pPr>
        <w:spacing w:after="0" w:line="149"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color w:val="auto"/>
        </w:rPr>
        <w:t>On January 30, 2023, our Board of Directors declared a quarterly cash dividend of $0.27 per share of outstanding common stock payable on March 16, 2023 to stockholders of record at the close of business on March 2, 2023. The Company currently expects to continue to pay comparable cash dividends on a quarterly basis in the future.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9" w:lineRule="exact"/>
        <w:rPr>
          <w:sz w:val="20"/>
          <w:szCs w:val="20"/>
          <w:color w:val="auto"/>
        </w:rPr>
      </w:pPr>
    </w:p>
    <w:p>
      <w:pPr>
        <w:ind w:right="80" w:firstLine="396"/>
        <w:spacing w:after="0" w:line="286" w:lineRule="auto"/>
        <w:rPr>
          <w:sz w:val="20"/>
          <w:szCs w:val="20"/>
          <w:color w:val="auto"/>
        </w:rPr>
      </w:pPr>
      <w:r>
        <w:rPr>
          <w:rFonts w:ascii="Times New Roman" w:cs="Times New Roman" w:eastAsia="Times New Roman" w:hAnsi="Times New Roman"/>
          <w:sz w:val="16"/>
          <w:szCs w:val="16"/>
          <w:color w:val="auto"/>
        </w:rPr>
        <w:t>In October 2015, our board of directors approved a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56"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2022, we have repurchased approximately 3.8 million shares of our common stock under the share repurchase program at an average per-share cost of $52.97. During the year ended December 31, 2022, we repurchased approximately 984,000 shares of our common stock at an average per share cost of $74.02. As of December 31, 2022, we have fully utilized our authorization for purchases under the share repurchase program.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Offering</w:t>
      </w:r>
    </w:p>
    <w:p>
      <w:pPr>
        <w:spacing w:after="0" w:line="59" w:lineRule="exact"/>
        <w:rPr>
          <w:sz w:val="20"/>
          <w:szCs w:val="20"/>
          <w:color w:val="auto"/>
        </w:rPr>
      </w:pPr>
    </w:p>
    <w:p>
      <w:pPr>
        <w:ind w:right="60" w:firstLine="396"/>
        <w:spacing w:after="0" w:line="250" w:lineRule="auto"/>
        <w:rPr>
          <w:sz w:val="20"/>
          <w:szCs w:val="20"/>
          <w:color w:val="auto"/>
        </w:rPr>
      </w:pPr>
      <w:r>
        <w:rPr>
          <w:rFonts w:ascii="Times New Roman" w:cs="Times New Roman" w:eastAsia="Times New Roman" w:hAnsi="Times New Roman"/>
          <w:sz w:val="18"/>
          <w:szCs w:val="18"/>
          <w:color w:val="auto"/>
        </w:rPr>
        <w:t>On August 14, 2020, we completed an offering (the “Stock Offering”), whereby 2,580,000 shares of our common stock were sold to the public at a price to the public of $48.50 per share. We sold 516,000 shares of common stock in the Stock Offering and our Founder and Executive Chairman of the Board sold 2,064,000 shares of common stock in the Stock Offering. We received net proceeds from the shares sold, of approximately $23.2 million, after deducting underwriting discounts and commissions and offering expenses payable. We did not receive any proceeds from the shares sold by the Company’s Founder and Executive Chairman of the Board.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59" w:lineRule="exact"/>
        <w:rPr>
          <w:sz w:val="20"/>
          <w:szCs w:val="20"/>
          <w:color w:val="auto"/>
        </w:rPr>
      </w:pPr>
    </w:p>
    <w:p>
      <w:pPr>
        <w:ind w:right="300" w:firstLine="396"/>
        <w:spacing w:after="0" w:line="304" w:lineRule="auto"/>
        <w:rPr>
          <w:sz w:val="20"/>
          <w:szCs w:val="20"/>
          <w:color w:val="auto"/>
        </w:rPr>
      </w:pPr>
      <w:r>
        <w:rPr>
          <w:rFonts w:ascii="Times New Roman" w:cs="Times New Roman" w:eastAsia="Times New Roman" w:hAnsi="Times New Roman"/>
          <w:sz w:val="16"/>
          <w:szCs w:val="16"/>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39"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At our option, revolving loans accrue interest at a per annum rate based on either (i) the base rate plus a margin ranging from 0.125% to 0.500%, determined based on the Company’s consolidated leverage ratio or (ii) the Term Secured Overnight Financing Rate (“SOFR”) (for interest periods of 1, 3 or 6 months) plus a margin ranging from 1.125% to 1.5%, determined based on our consolidated leverage ratio. We are also required to pay an unused commitment fee ranging from 0.150% to 0.225%, determined based on the Company’s consolidated leverage ratio. In connection with the execution of this agreement, we paid debt issuance costs of approximately $0.6 million.</w:t>
      </w:r>
    </w:p>
    <w:p>
      <w:pPr>
        <w:spacing w:after="0" w:line="83" w:lineRule="exact"/>
        <w:rPr>
          <w:sz w:val="20"/>
          <w:szCs w:val="20"/>
          <w:color w:val="auto"/>
        </w:rPr>
      </w:pPr>
    </w:p>
    <w:p>
      <w:pPr>
        <w:ind w:right="40" w:firstLine="396"/>
        <w:spacing w:after="0" w:line="257" w:lineRule="auto"/>
        <w:rPr>
          <w:sz w:val="20"/>
          <w:szCs w:val="20"/>
          <w:color w:val="auto"/>
        </w:rPr>
      </w:pPr>
      <w:r>
        <w:rPr>
          <w:rFonts w:ascii="Times New Roman" w:cs="Times New Roman" w:eastAsia="Times New Roman" w:hAnsi="Times New Roman"/>
          <w:sz w:val="18"/>
          <w:szCs w:val="18"/>
          <w:color w:val="auto"/>
        </w:rPr>
        <w:t>On May 9, 2022, we borrowed $50 million for use in connection with the acquisition of Pond5 and for general corporate purposes. As of December 31, 2022, we had outstanding borrowings under the Credit Facility of $50 million. As of December 31, 2021, we had no outstanding debt obligations. For the year ended December 31, 2022, the Company paid cash interest totaling $1.0 million and our annualized interest rate was 3.8%.</w:t>
      </w:r>
    </w:p>
    <w:p>
      <w:pPr>
        <w:spacing w:after="0" w:line="74" w:lineRule="exact"/>
        <w:rPr>
          <w:sz w:val="20"/>
          <w:szCs w:val="20"/>
          <w:color w:val="auto"/>
        </w:rPr>
      </w:pPr>
    </w:p>
    <w:p>
      <w:pPr>
        <w:ind w:right="280" w:firstLine="396"/>
        <w:spacing w:after="0" w:line="269" w:lineRule="auto"/>
        <w:rPr>
          <w:sz w:val="20"/>
          <w:szCs w:val="20"/>
          <w:color w:val="auto"/>
        </w:rPr>
      </w:pPr>
      <w:r>
        <w:rPr>
          <w:rFonts w:ascii="Times New Roman" w:cs="Times New Roman" w:eastAsia="Times New Roman" w:hAnsi="Times New Roman"/>
          <w:sz w:val="18"/>
          <w:szCs w:val="18"/>
          <w:color w:val="auto"/>
        </w:rPr>
        <w:t>On January 27, 2023, we fully repaid our borrowings under the Credit Facility and had a remaining borrowing capacity of $98 million, net of standby letters of credit.</w:t>
      </w:r>
    </w:p>
    <w:p>
      <w:pPr>
        <w:spacing w:after="0" w:line="64"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The Credit Facility contains financial covenants and requirements restricting certain of our activities, which are usual and customary for this type of loan. We are also required to maintain compliance with a consolidated leverage ratio and a consolidated interest coverage ratio, in each case, determined in accordance with the terms of the Credit Facility. As of December 31, 2022, we are in compliance with these covenants.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4" w:lineRule="exact"/>
        <w:rPr>
          <w:sz w:val="20"/>
          <w:szCs w:val="20"/>
          <w:color w:val="auto"/>
        </w:rPr>
      </w:pPr>
    </w:p>
    <w:p>
      <w:pPr>
        <w:ind w:right="160" w:firstLine="396"/>
        <w:spacing w:after="0" w:line="250"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83" w:lineRule="exact"/>
        <w:rPr>
          <w:sz w:val="20"/>
          <w:szCs w:val="20"/>
          <w:color w:val="auto"/>
        </w:rPr>
      </w:pPr>
    </w:p>
    <w:p>
      <w:pPr>
        <w:ind w:right="220" w:firstLine="396"/>
        <w:spacing w:after="0" w:line="269" w:lineRule="auto"/>
        <w:rPr>
          <w:sz w:val="20"/>
          <w:szCs w:val="20"/>
          <w:color w:val="auto"/>
        </w:rPr>
      </w:pPr>
      <w:r>
        <w:rPr>
          <w:rFonts w:ascii="Times New Roman" w:cs="Times New Roman" w:eastAsia="Times New Roman" w:hAnsi="Times New Roman"/>
          <w:sz w:val="18"/>
          <w:szCs w:val="18"/>
          <w:color w:val="auto"/>
        </w:rPr>
        <w:t>As of December 31, 2022, we had approximately $93 million in unconditional cash obligations, consisting primarily of purchase obligations related to contracts for cloud-based services, infrastructure and other business services as well as minimum</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940"/>
        <w:spacing w:after="0" w:line="269" w:lineRule="auto"/>
        <w:rPr>
          <w:sz w:val="20"/>
          <w:szCs w:val="20"/>
          <w:color w:val="auto"/>
        </w:rPr>
      </w:pPr>
      <w:r>
        <w:rPr>
          <w:rFonts w:ascii="Times New Roman" w:cs="Times New Roman" w:eastAsia="Times New Roman" w:hAnsi="Times New Roman"/>
          <w:sz w:val="18"/>
          <w:szCs w:val="18"/>
          <w:color w:val="auto"/>
        </w:rPr>
        <w:t>royalty guarantees in connection with certain content licenses, of which the majority is due to be paid within the next two years. In addition, as of December 31, 2022, we had approximately $54 million in operating lease obligations with lease payments extending through 2029.</w:t>
      </w:r>
    </w:p>
    <w:p>
      <w:pPr>
        <w:spacing w:after="0" w:line="64"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18"/>
          <w:szCs w:val="18"/>
          <w:color w:val="auto"/>
        </w:rPr>
        <w:t>See Notes 15 and 16 of the Notes to Consolidated Financial Statements included in Part II, Item 8 of this Annual Report on Form 10-K for information regarding our lease and other non-lease commitments, respectively, as of December 31, 2022.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2022, 2021 and 2020, respectively.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2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1"/>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165,072</w:t>
            </w: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(250,438)</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(35,310)</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9" w:lineRule="exact"/>
        <w:rPr>
          <w:sz w:val="20"/>
          <w:szCs w:val="20"/>
          <w:color w:val="auto"/>
        </w:rPr>
      </w:pPr>
    </w:p>
    <w:p>
      <w:pPr>
        <w:ind w:right="200" w:firstLine="396"/>
        <w:spacing w:after="0" w:line="304" w:lineRule="auto"/>
        <w:rPr>
          <w:sz w:val="20"/>
          <w:szCs w:val="20"/>
          <w:color w:val="auto"/>
        </w:rPr>
      </w:pPr>
      <w:r>
        <w:rPr>
          <w:rFonts w:ascii="Times New Roman" w:cs="Times New Roman" w:eastAsia="Times New Roman" w:hAnsi="Times New Roman"/>
          <w:sz w:val="16"/>
          <w:szCs w:val="16"/>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79" w:lineRule="exact"/>
        <w:rPr>
          <w:sz w:val="20"/>
          <w:szCs w:val="20"/>
          <w:color w:val="auto"/>
        </w:rPr>
      </w:pPr>
    </w:p>
    <w:p>
      <w:pPr>
        <w:ind w:right="140" w:firstLine="396"/>
        <w:spacing w:after="0" w:line="257" w:lineRule="auto"/>
        <w:rPr>
          <w:sz w:val="20"/>
          <w:szCs w:val="20"/>
          <w:color w:val="auto"/>
        </w:rPr>
      </w:pPr>
      <w:r>
        <w:rPr>
          <w:rFonts w:ascii="Times New Roman" w:cs="Times New Roman" w:eastAsia="Times New Roman" w:hAnsi="Times New Roman"/>
          <w:sz w:val="18"/>
          <w:szCs w:val="18"/>
          <w:color w:val="auto"/>
        </w:rPr>
        <w:t>Net cash provided by operating activities was $158.5 million for the year ended December 31, 2022, compared to $216.4 million for the year ended December 31, 2021. The decline in cash provided by operating activities for the year ended December 31, 2022 was impacted by the timing of payments and cash receipts in the ordinary course of business which can cause operating cash flow to fluctuate from period to period.</w:t>
      </w:r>
    </w:p>
    <w:p>
      <w:pPr>
        <w:spacing w:after="0" w:line="113"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$216.4 million for the year ended December 31, 2021, compared to $165.1 million for the year ended December 31, 2020. In the year ended December 31, 2021, operating cash flows were favorably impacted from our increased operating income and changes in the timing of payments pertaining to operating expenses, which can cause operating cash flow to fluctuate from period to period. In addition, in the year ended December 31, 2020, operating cash flows were impacted by $7.8 million in one-time payments associated with long-term incentives related to our 2017 acquisition of Flashstock.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38" w:lineRule="exact"/>
        <w:rPr>
          <w:sz w:val="20"/>
          <w:szCs w:val="20"/>
          <w:color w:val="auto"/>
        </w:rPr>
      </w:pPr>
    </w:p>
    <w:p>
      <w:pPr>
        <w:ind w:right="20" w:firstLine="396"/>
        <w:spacing w:after="0" w:line="289" w:lineRule="auto"/>
        <w:rPr>
          <w:sz w:val="20"/>
          <w:szCs w:val="20"/>
          <w:color w:val="auto"/>
        </w:rPr>
      </w:pPr>
      <w:r>
        <w:rPr>
          <w:rFonts w:ascii="Times New Roman" w:cs="Times New Roman" w:eastAsia="Times New Roman" w:hAnsi="Times New Roman"/>
          <w:sz w:val="16"/>
          <w:szCs w:val="16"/>
          <w:color w:val="auto"/>
        </w:rPr>
        <w:t>Our investing activities have consisted primarily of capital expenditures, business combinations, asset acquisitions, investments and content acquisitions. Capital expenditures include internal-use software and website development costs, purchases of software equipment, and capitalization of leasehold improvements. Capital expenditures are primarily attributable to investments in internally developed software. We continue to invest significantly in product development to enhance our customer experience and increase the efficiency with which we deploy new products and features. Cash used in investing activities totaled $275.6 million, $250.4 million and $35.3 million for the years ended December 31, 2022, 2021 and 2020, respectively.</w:t>
      </w:r>
    </w:p>
    <w:p>
      <w:pPr>
        <w:spacing w:after="0" w:line="92" w:lineRule="exact"/>
        <w:rPr>
          <w:sz w:val="20"/>
          <w:szCs w:val="20"/>
          <w:color w:val="auto"/>
        </w:rPr>
      </w:pPr>
    </w:p>
    <w:p>
      <w:pPr>
        <w:ind w:right="240" w:firstLine="396"/>
        <w:spacing w:after="0" w:line="304" w:lineRule="auto"/>
        <w:rPr>
          <w:sz w:val="20"/>
          <w:szCs w:val="20"/>
          <w:color w:val="auto"/>
        </w:rPr>
      </w:pPr>
      <w:r>
        <w:rPr>
          <w:rFonts w:ascii="Times New Roman" w:cs="Times New Roman" w:eastAsia="Times New Roman" w:hAnsi="Times New Roman"/>
          <w:sz w:val="16"/>
          <w:szCs w:val="16"/>
          <w:color w:val="auto"/>
        </w:rPr>
        <w:t>Cash used in investing activities for the year ended December 31, 2022 was $275.6 million, consisting primarily of (i) $211.8 million cash used in the acquisitions of Pond5 and Splash News, net of cash acquired; (ii) capital expenditures of $43.3 million for internal-use software and website development costs, and purchases of software and equipment, and (iii) $16.8 million paid to acquire the rights to distribute certain digital content in perpetuity.</w:t>
      </w:r>
    </w:p>
    <w:p>
      <w:pPr>
        <w:spacing w:after="0" w:line="79" w:lineRule="exact"/>
        <w:rPr>
          <w:sz w:val="20"/>
          <w:szCs w:val="20"/>
          <w:color w:val="auto"/>
        </w:rPr>
      </w:pPr>
    </w:p>
    <w:p>
      <w:pPr>
        <w:ind w:right="40" w:firstLine="396"/>
        <w:spacing w:after="0" w:line="253"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2021 was $250.4 million, consisting primarily (i) $181.6 million cash used in the acquisitions of TurboSquid and PicMonkey, net of cash acquired; (ii) $31.6 million cash used in the asset acquisitions of Pattern89, Inc., Datasine Limited and assets from Shotzr, Inc.; (iii) capital expenditures of $28.1 million for internal-use software and website development costs, and purchase of software and equipment, and (iv) $8.9 million to acquire the rights to distribute certain digital content in perpetuity.</w:t>
      </w:r>
    </w:p>
    <w:p>
      <w:pPr>
        <w:spacing w:after="0" w:line="103" w:lineRule="exact"/>
        <w:rPr>
          <w:sz w:val="20"/>
          <w:szCs w:val="20"/>
          <w:color w:val="auto"/>
        </w:rPr>
      </w:pPr>
    </w:p>
    <w:p>
      <w:pPr>
        <w:ind w:right="120" w:firstLine="396"/>
        <w:spacing w:after="0" w:line="253"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2020 was $35.3 million, consisting primarily of capital expenditures of $25.6 million for internal-use software and website development costs, and purchase of software and equipment, an investment of $5.0 million in a creative production and analytics platform, $3.0 million to acquire the rights to distribute certain digital content in perpetuity and $1.9 million associated with the acquisition of AI driven music technology.</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51" w:lineRule="exact"/>
        <w:rPr>
          <w:sz w:val="20"/>
          <w:szCs w:val="20"/>
          <w:color w:val="auto"/>
        </w:rPr>
      </w:pPr>
    </w:p>
    <w:p>
      <w:pPr>
        <w:ind w:right="380" w:firstLine="396"/>
        <w:spacing w:after="0" w:line="294" w:lineRule="auto"/>
        <w:rPr>
          <w:sz w:val="20"/>
          <w:szCs w:val="20"/>
          <w:color w:val="auto"/>
        </w:rPr>
      </w:pPr>
      <w:r>
        <w:rPr>
          <w:rFonts w:ascii="Times New Roman" w:cs="Times New Roman" w:eastAsia="Times New Roman" w:hAnsi="Times New Roman"/>
          <w:sz w:val="16"/>
          <w:szCs w:val="16"/>
          <w:color w:val="auto"/>
        </w:rPr>
        <w:t>Our financing activities have consisted primarily of payments associated with cash dividends, settlements of tax withholding obligations related to employee stock-based compensation awards and repurchases of common stock under our share repurchase program. Our financing activities also includes proceeds from our Credit Facility, proceeds from our Stock Offering and proceeds received in connection with the exercise of stock options. Cash used in financing activities totaled $79.5 million, $77.7 million and $4.6 million for the years ended December 31, 2022, 2021 and 2020, respectively.</w:t>
      </w:r>
    </w:p>
    <w:p>
      <w:pPr>
        <w:spacing w:after="0" w:line="74"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color w:val="auto"/>
        </w:rPr>
        <w:t>Cash used in financing activities during 2022 primarily consisted of (i) $73.5 million in connection with the repurchase of common stock under our share repurchase program; (ii) $34.6 million, related to the payment of the quarterly cash dividend, and (iii) $22.6 million paid in settlement of tax withholding obligations related to employee stock-based compensation awards. These amounts were partially offset by approximately $50.0 million in proceeds received from our Credit Facility.</w:t>
      </w:r>
    </w:p>
    <w:p>
      <w:pPr>
        <w:spacing w:after="0" w:line="116" w:lineRule="exact"/>
        <w:rPr>
          <w:sz w:val="20"/>
          <w:szCs w:val="20"/>
          <w:color w:val="auto"/>
        </w:rPr>
      </w:pPr>
    </w:p>
    <w:p>
      <w:pPr>
        <w:ind w:right="40" w:firstLine="396"/>
        <w:spacing w:after="0" w:line="253" w:lineRule="auto"/>
        <w:rPr>
          <w:sz w:val="20"/>
          <w:szCs w:val="20"/>
          <w:color w:val="auto"/>
        </w:rPr>
      </w:pPr>
      <w:r>
        <w:rPr>
          <w:rFonts w:ascii="Times New Roman" w:cs="Times New Roman" w:eastAsia="Times New Roman" w:hAnsi="Times New Roman"/>
          <w:sz w:val="18"/>
          <w:szCs w:val="18"/>
          <w:color w:val="auto"/>
        </w:rPr>
        <w:t>Cash used in financing activities during 2021 primarily consisted of (i) $30.7 million, related to the payment of the quarterly cash dividend; (ii) $26.5 million in connection with the repurchase of common stock under our share repurchase program, and (iii) $22.7 million, paid in settlement of tax withholding obligations related to employee stock-based compensation awards. These amounts were partially offset by approximately $2.1 million in proceeds received in connection with the exercise of stock options.</w:t>
      </w:r>
    </w:p>
    <w:p>
      <w:pPr>
        <w:spacing w:after="0" w:line="116" w:lineRule="exact"/>
        <w:rPr>
          <w:sz w:val="20"/>
          <w:szCs w:val="20"/>
          <w:color w:val="auto"/>
        </w:rPr>
      </w:pPr>
    </w:p>
    <w:p>
      <w:pPr>
        <w:ind w:firstLine="396"/>
        <w:spacing w:after="0" w:line="253" w:lineRule="auto"/>
        <w:rPr>
          <w:sz w:val="20"/>
          <w:szCs w:val="20"/>
          <w:color w:val="auto"/>
        </w:rPr>
      </w:pPr>
      <w:r>
        <w:rPr>
          <w:rFonts w:ascii="Times New Roman" w:cs="Times New Roman" w:eastAsia="Times New Roman" w:hAnsi="Times New Roman"/>
          <w:sz w:val="18"/>
          <w:szCs w:val="18"/>
          <w:color w:val="auto"/>
        </w:rPr>
        <w:t>Cash used in financing activities during 2020 primarily consisted of $24.4 million related to the payment of the quarterly cash dividends and $4.5 million, paid in settlement of tax withholding obligations related to employee stock-based compensation awards. These amounts were partially offset by $23.2 million of proceeds from our Stock Offering, after deducting underwriting discounts, commissions and offering expenses paid and $1.2 million of proceeds received in connection with the exercise of stock options.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2" w:lineRule="exact"/>
        <w:rPr>
          <w:sz w:val="20"/>
          <w:szCs w:val="20"/>
          <w:color w:val="auto"/>
        </w:rPr>
      </w:pPr>
    </w:p>
    <w:p>
      <w:pPr>
        <w:ind w:right="100" w:firstLine="396"/>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83" w:lineRule="exact"/>
        <w:rPr>
          <w:sz w:val="20"/>
          <w:szCs w:val="20"/>
          <w:color w:val="auto"/>
        </w:rPr>
      </w:pPr>
    </w:p>
    <w:p>
      <w:pPr>
        <w:ind w:right="20" w:firstLine="396"/>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and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(expressed as a percentage)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5" w:lineRule="exact"/>
        <w:rPr>
          <w:sz w:val="20"/>
          <w:szCs w:val="20"/>
          <w:color w:val="auto"/>
        </w:rPr>
      </w:pPr>
    </w:p>
    <w:p>
      <w:pPr>
        <w:ind w:right="60" w:firstLine="396"/>
        <w:spacing w:after="0" w:line="248" w:lineRule="auto"/>
        <w:rPr>
          <w:sz w:val="20"/>
          <w:szCs w:val="20"/>
          <w:color w:val="auto"/>
        </w:rPr>
      </w:pPr>
      <w:r>
        <w:rPr>
          <w:rFonts w:ascii="Times New Roman" w:cs="Times New Roman" w:eastAsia="Times New Roman" w:hAnsi="Times New Roman"/>
          <w:sz w:val="18"/>
          <w:szCs w:val="18"/>
          <w:color w:val="auto"/>
        </w:rPr>
        <w:t>Shutterstock’s management uses these non-GAAP financial measures,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85" w:lineRule="exact"/>
        <w:rPr>
          <w:sz w:val="20"/>
          <w:szCs w:val="20"/>
          <w:color w:val="auto"/>
        </w:rPr>
      </w:pPr>
    </w:p>
    <w:p>
      <w:pPr>
        <w:ind w:right="180" w:firstLine="396"/>
        <w:spacing w:after="0" w:line="294" w:lineRule="auto"/>
        <w:rPr>
          <w:sz w:val="20"/>
          <w:szCs w:val="20"/>
          <w:color w:val="auto"/>
        </w:rPr>
      </w:pPr>
      <w:r>
        <w:rPr>
          <w:rFonts w:ascii="Times New Roman" w:cs="Times New Roman" w:eastAsia="Times New Roman" w:hAnsi="Times New Roman"/>
          <w:sz w:val="16"/>
          <w:szCs w:val="16"/>
          <w:color w:val="auto"/>
        </w:rPr>
        <w:t>Management believes that adjusted EBITDA, adjusted EBITDA margin, adjusted net income, adjusted net income per diluted common share, revenue growth (including by distribution channel) on a constant currency basis (expressed as a percentage) and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common share provide useful information</w:t>
      </w:r>
    </w:p>
    <w:p>
      <w:pPr>
        <w:spacing w:after="0" w:line="200" w:lineRule="exact"/>
        <w:rPr>
          <w:sz w:val="20"/>
          <w:szCs w:val="20"/>
          <w:color w:val="auto"/>
        </w:rPr>
      </w:pP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6"/>
          <w:szCs w:val="16"/>
          <w:color w:val="auto"/>
        </w:rPr>
        <w:t>to investors about the performance of the Company’s overall business because such measures eliminate the effects of unusual or other infrequent charges that are not directly attributable to Shutterstock’s underlying operating performance and revenue growth (including by distribution channel) on a constant currency basis,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after excluding the impact of nonrecurring payments associated with long-term incentives related to our 2017 acquisition of Flashstock, and provides them with the same measures that management uses as the basis for making resource allocation decisions.</w:t>
      </w:r>
    </w:p>
    <w:p>
      <w:pPr>
        <w:spacing w:after="0" w:line="98"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09" w:lineRule="exact"/>
        <w:rPr>
          <w:sz w:val="20"/>
          <w:szCs w:val="20"/>
          <w:color w:val="auto"/>
        </w:rPr>
      </w:pPr>
    </w:p>
    <w:p>
      <w:pPr>
        <w:ind w:right="200" w:firstLine="396"/>
        <w:spacing w:after="0" w:line="253" w:lineRule="auto"/>
        <w:rPr>
          <w:sz w:val="20"/>
          <w:szCs w:val="20"/>
          <w:color w:val="auto"/>
        </w:rPr>
      </w:pPr>
      <w:r>
        <w:rPr>
          <w:rFonts w:ascii="Times New Roman" w:cs="Times New Roman" w:eastAsia="Times New Roman" w:hAnsi="Times New Roman"/>
          <w:sz w:val="18"/>
          <w:szCs w:val="18"/>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 distribution channel) on a constant currency basis and free cash flow, and the most comparable financial measures calculated and presented in accordance with GAAP, is presented below.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59" w:lineRule="exact"/>
        <w:rPr>
          <w:sz w:val="20"/>
          <w:szCs w:val="20"/>
          <w:color w:val="auto"/>
        </w:rPr>
      </w:pPr>
    </w:p>
    <w:p>
      <w:pPr>
        <w:jc w:val="both"/>
        <w:ind w:right="280" w:firstLine="396"/>
        <w:spacing w:after="0" w:line="257" w:lineRule="auto"/>
        <w:rPr>
          <w:sz w:val="20"/>
          <w:szCs w:val="20"/>
          <w:color w:val="auto"/>
        </w:rPr>
      </w:pPr>
      <w:r>
        <w:rPr>
          <w:rFonts w:ascii="Times New Roman" w:cs="Times New Roman" w:eastAsia="Times New Roman" w:hAnsi="Times New Roman"/>
          <w:sz w:val="18"/>
          <w:szCs w:val="18"/>
          <w:color w:val="auto"/>
        </w:rPr>
        <w:t>We define adjusted EBITDA as net income adjusted for depreciation and amortization, non-cash equity-based compensation, impairment of lease and related assets, foreign currency transaction gains and losses, severance costs associated with strategic workforce optimizations, interest income and expense and income taxes. We define adjusted EBITDA margin as the ratio of adjusted EBITDA to revenue.</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20" w:type="dxa"/>
            <w:vAlign w:val="bottom"/>
            <w:gridSpan w:val="6"/>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0" w:type="dxa"/>
            <w:vAlign w:val="bottom"/>
          </w:tcPr>
          <w:p>
            <w:pPr>
              <w:spacing w:after="0"/>
              <w:rPr>
                <w:sz w:val="16"/>
                <w:szCs w:val="16"/>
                <w:color w:val="auto"/>
              </w:rPr>
            </w:pPr>
          </w:p>
        </w:tc>
      </w:tr>
      <w:tr>
        <w:trPr>
          <w:trHeight w:val="24"/>
        </w:trPr>
        <w:tc>
          <w:tcPr>
            <w:tcW w:w="7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3"/>
        </w:trPr>
        <w:tc>
          <w:tcPr>
            <w:tcW w:w="7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76,103</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91,883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71,766</w:t>
            </w:r>
          </w:p>
        </w:tc>
      </w:tr>
      <w:tr>
        <w:trPr>
          <w:trHeight w:val="209"/>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68,470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48,771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41,359</w:t>
            </w:r>
          </w:p>
        </w:tc>
      </w:tr>
      <w:tr>
        <w:trPr>
          <w:trHeight w:val="209"/>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0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35,740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36,179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28,309</w:t>
            </w:r>
          </w:p>
        </w:tc>
      </w:tr>
      <w:tr>
        <w:trPr>
          <w:trHeight w:val="21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2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Other adjustments, net</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(4,257)</w:t>
            </w:r>
          </w:p>
        </w:tc>
      </w:tr>
      <w:tr>
        <w:trPr>
          <w:trHeight w:val="211"/>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14,934</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12,853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17,757</w:t>
            </w:r>
          </w:p>
        </w:tc>
      </w:tr>
      <w:tr>
        <w:trPr>
          <w:trHeight w:val="204"/>
        </w:trPr>
        <w:tc>
          <w:tcPr>
            <w:tcW w:w="7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Adjusted EBITDA</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218,074</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193,056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154,934</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4"/>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Adjusted EBITDA margin</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23.2 %</w:t>
            </w: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left="640" w:hanging="31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adjustments, net is foreign currency transaction gains and losses, severance associated with strategic workforce optimizations and interest income and expense.</w:t>
      </w:r>
    </w:p>
    <w:p>
      <w:pPr>
        <w:spacing w:after="0" w:line="200" w:lineRule="exact"/>
        <w:rPr>
          <w:sz w:val="20"/>
          <w:szCs w:val="20"/>
          <w:color w:val="auto"/>
        </w:rPr>
      </w:pPr>
    </w:p>
    <w:p>
      <w:pPr>
        <w:spacing w:after="0" w:line="3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w:t>
      </w:r>
    </w:p>
    <w:p>
      <w:pPr>
        <w:spacing w:after="0" w:line="59"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We define adjusted net income as net income adjusted for the impact of non-cash equity-based compensation, the amortization of acquisition-related intangible assets, impairment of lease and related assets, severance costs associated with strategic workforce optimizations and the estimated tax impact of such adjustments. We define adjusted net income per diluted common share as adjusted net income divided by weighted average diluted shares.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20" w:type="dxa"/>
            <w:vAlign w:val="bottom"/>
          </w:tcPr>
          <w:p>
            <w:pPr>
              <w:spacing w:after="0"/>
              <w:rPr>
                <w:sz w:val="16"/>
                <w:szCs w:val="16"/>
                <w:color w:val="auto"/>
              </w:rPr>
            </w:pPr>
          </w:p>
        </w:tc>
      </w:tr>
      <w:tr>
        <w:trPr>
          <w:trHeight w:val="2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3"/>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1"/>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76,103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71,766</w:t>
            </w: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3"/>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35,740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28,309</w:t>
            </w:r>
          </w:p>
        </w:tc>
      </w:tr>
      <w:tr>
        <w:trPr>
          <w:trHeight w:val="211"/>
        </w:trPr>
        <w:tc>
          <w:tcPr>
            <w:tcW w:w="744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(6,653)</w:t>
            </w:r>
          </w:p>
        </w:tc>
      </w:tr>
      <w:tr>
        <w:trPr>
          <w:trHeight w:val="211"/>
        </w:trPr>
        <w:tc>
          <w:tcPr>
            <w:tcW w:w="7440" w:type="dxa"/>
            <w:vAlign w:val="bottom"/>
            <w:shd w:val="clear" w:color="auto" w:fill="CCEEFF"/>
          </w:tcPr>
          <w:p>
            <w:pPr>
              <w:ind w:left="140"/>
              <w:spacing w:after="0" w:line="211" w:lineRule="exact"/>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0"/>
                <w:szCs w:val="20"/>
                <w:color w:val="auto"/>
                <w:vertAlign w:val="superscript"/>
              </w:rPr>
              <w:t>(2)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29,302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r>
      <w:tr>
        <w:trPr>
          <w:trHeight w:val="211"/>
        </w:trPr>
        <w:tc>
          <w:tcPr>
            <w:tcW w:w="744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11"/>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44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Tax effect of impairment of lease and related assets</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440" w:type="dxa"/>
            <w:vAlign w:val="bottom"/>
          </w:tcPr>
          <w:p>
            <w:pPr>
              <w:ind w:left="120"/>
              <w:spacing w:after="0" w:line="211"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0"/>
                <w:szCs w:val="20"/>
                <w:color w:val="auto"/>
                <w:vertAlign w:val="superscript"/>
              </w:rPr>
              <w:t>(1)</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95,152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39"/>
        </w:trPr>
        <w:tc>
          <w:tcPr>
            <w:tcW w:w="74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1"/>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36,546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36,369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40" w:hanging="31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102" w:lineRule="exact"/>
        <w:rPr>
          <w:rFonts w:ascii="Times New Roman" w:cs="Times New Roman" w:eastAsia="Times New Roman" w:hAnsi="Times New Roman"/>
          <w:sz w:val="14"/>
          <w:szCs w:val="14"/>
          <w:color w:val="auto"/>
        </w:rPr>
      </w:pPr>
    </w:p>
    <w:p>
      <w:pPr>
        <w:ind w:left="320" w:right="80" w:firstLine="2"/>
        <w:spacing w:after="0" w:line="272" w:lineRule="auto"/>
        <w:tabs>
          <w:tab w:leader="none" w:pos="62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amounts, $7.5 million and $5.3 million are included in cost of revenue for the three months ended December 31, 2022 and 2021, respectively, and $27.0 million and $10.2 million are included in cost of revenue for the years ended December 31, 2022 and 2021, respectively. The remainder of acquisition-related amortization expense is included in general and administrative expense in the Statement of Operations.</w:t>
      </w: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Revenue Growth (including by distribution channel) on a Constant Currency Basis</w:t>
      </w:r>
    </w:p>
    <w:p>
      <w:pPr>
        <w:spacing w:after="0" w:line="59" w:lineRule="exact"/>
        <w:rPr>
          <w:sz w:val="20"/>
          <w:szCs w:val="20"/>
          <w:color w:val="auto"/>
        </w:rPr>
      </w:pPr>
    </w:p>
    <w:p>
      <w:pPr>
        <w:ind w:right="220" w:firstLine="396"/>
        <w:spacing w:after="0" w:line="269" w:lineRule="auto"/>
        <w:rPr>
          <w:sz w:val="20"/>
          <w:szCs w:val="20"/>
          <w:color w:val="auto"/>
        </w:rPr>
      </w:pPr>
      <w:r>
        <w:rPr>
          <w:rFonts w:ascii="Times New Roman" w:cs="Times New Roman" w:eastAsia="Times New Roman" w:hAnsi="Times New Roman"/>
          <w:sz w:val="18"/>
          <w:szCs w:val="18"/>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7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9"/>
        </w:trPr>
        <w:tc>
          <w:tcPr>
            <w:tcW w:w="7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827,826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773,415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666,686</w:t>
            </w:r>
          </w:p>
        </w:tc>
      </w:tr>
      <w:tr>
        <w:trPr>
          <w:trHeight w:val="210"/>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2 %</w:t>
            </w:r>
          </w:p>
        </w:tc>
      </w:tr>
      <w:tr>
        <w:trPr>
          <w:trHeight w:val="21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2 %</w:t>
            </w:r>
          </w:p>
        </w:tc>
      </w:tr>
      <w:tr>
        <w:trPr>
          <w:trHeight w:val="261"/>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E-commerce reported revenue (in thousands)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501,384</w:t>
            </w:r>
          </w:p>
        </w:tc>
        <w:tc>
          <w:tcPr>
            <w:tcW w:w="100" w:type="dxa"/>
            <w:vAlign w:val="bottom"/>
          </w:tcPr>
          <w:p>
            <w:pPr>
              <w:spacing w:after="0"/>
              <w:rPr>
                <w:sz w:val="22"/>
                <w:szCs w:val="22"/>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490,212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412,521</w:t>
            </w:r>
          </w:p>
        </w:tc>
      </w:tr>
      <w:tr>
        <w:trPr>
          <w:trHeight w:val="213"/>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E-commerce revenue growth</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r>
      <w:tr>
        <w:trPr>
          <w:trHeight w:val="210"/>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E-commerce revenue growth on a constant currency basis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r>
      <w:tr>
        <w:trPr>
          <w:trHeight w:val="93"/>
        </w:trPr>
        <w:tc>
          <w:tcPr>
            <w:tcW w:w="7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r>
      <w:tr>
        <w:trPr>
          <w:trHeight w:val="209"/>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 reported revenue (in thousands)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326,442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283,203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254,165</w:t>
            </w:r>
          </w:p>
        </w:tc>
      </w:tr>
      <w:tr>
        <w:trPr>
          <w:trHeight w:val="213"/>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Enterprise revenue growth</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w:t>
            </w:r>
          </w:p>
        </w:tc>
      </w:tr>
      <w:tr>
        <w:trPr>
          <w:trHeight w:val="209"/>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Enterprise revenue growth on a constant currency basis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151" w:lineRule="exact"/>
        <w:rPr>
          <w:sz w:val="20"/>
          <w:szCs w:val="20"/>
          <w:color w:val="auto"/>
        </w:rPr>
      </w:pPr>
    </w:p>
    <w:p>
      <w:pPr>
        <w:ind w:right="220" w:firstLine="396"/>
        <w:spacing w:after="0" w:line="269" w:lineRule="auto"/>
        <w:rPr>
          <w:sz w:val="20"/>
          <w:szCs w:val="20"/>
          <w:color w:val="auto"/>
        </w:rPr>
      </w:pPr>
      <w:r>
        <w:rPr>
          <w:rFonts w:ascii="Times New Roman" w:cs="Times New Roman" w:eastAsia="Times New Roman" w:hAnsi="Times New Roman"/>
          <w:sz w:val="18"/>
          <w:szCs w:val="18"/>
          <w:color w:val="auto"/>
        </w:rPr>
        <w:t>We define free cash flow as our cash provided by operating activities, adjusted for capital expenditures and content acquisition, and, with respect to the twelve months ended December 31, 2020, a payment associated with long-term incentives related to our 2017 acquisition of Flashstock.</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each of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center"/>
              <w:ind w:left="583"/>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20" w:type="dxa"/>
            <w:vAlign w:val="bottom"/>
          </w:tcPr>
          <w:p>
            <w:pPr>
              <w:spacing w:after="0"/>
              <w:rPr>
                <w:sz w:val="16"/>
                <w:szCs w:val="16"/>
                <w:color w:val="auto"/>
              </w:rPr>
            </w:pPr>
          </w:p>
        </w:tc>
      </w:tr>
      <w:tr>
        <w:trPr>
          <w:trHeight w:val="24"/>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3"/>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1"/>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158,451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165,072</w:t>
            </w:r>
          </w:p>
        </w:tc>
      </w:tr>
      <w:tr>
        <w:trPr>
          <w:trHeight w:val="209"/>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(25,630)</w:t>
            </w:r>
          </w:p>
        </w:tc>
      </w:tr>
      <w:tr>
        <w:trPr>
          <w:trHeight w:val="213"/>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w:t>
            </w:r>
          </w:p>
        </w:tc>
      </w:tr>
      <w:tr>
        <w:trPr>
          <w:trHeight w:val="209"/>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related to long-term incentives related to acquisitions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w:t>
            </w:r>
          </w:p>
        </w:tc>
      </w:tr>
      <w:tr>
        <w:trPr>
          <w:trHeight w:val="23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w:t>
            </w: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98,334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144,231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38"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or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22" w:lineRule="exact"/>
        <w:rPr>
          <w:sz w:val="20"/>
          <w:szCs w:val="20"/>
          <w:color w:val="auto"/>
        </w:rPr>
      </w:pPr>
    </w:p>
    <w:p>
      <w:pPr>
        <w:ind w:right="140" w:firstLine="396"/>
        <w:spacing w:after="0" w:line="257"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revenue recognition, allowance for doubtful accounts, valuation of acquired goodwill and intangible assets, and accounting for income taxes have the greatest potential impact on our financial statements. Therefore, we consider these to be our critical accounting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4" w:lineRule="exact"/>
        <w:rPr>
          <w:sz w:val="20"/>
          <w:szCs w:val="20"/>
          <w:color w:val="auto"/>
        </w:rPr>
      </w:pPr>
    </w:p>
    <w:p>
      <w:pPr>
        <w:ind w:right="100" w:firstLine="396"/>
        <w:spacing w:after="0" w:line="257" w:lineRule="auto"/>
        <w:rPr>
          <w:sz w:val="20"/>
          <w:szCs w:val="20"/>
          <w:color w:val="auto"/>
        </w:rPr>
      </w:pPr>
      <w:r>
        <w:rPr>
          <w:rFonts w:ascii="Times New Roman" w:cs="Times New Roman" w:eastAsia="Times New Roman" w:hAnsi="Times New Roman"/>
          <w:sz w:val="18"/>
          <w:szCs w:val="18"/>
          <w:color w:val="auto"/>
        </w:rPr>
        <w:t>The majority of our revenues are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We also generate revenue from tools available through our platform.</w:t>
      </w:r>
    </w:p>
    <w:p>
      <w:pPr>
        <w:spacing w:after="0" w:line="74" w:lineRule="exact"/>
        <w:rPr>
          <w:sz w:val="20"/>
          <w:szCs w:val="20"/>
          <w:color w:val="auto"/>
        </w:rPr>
      </w:pPr>
    </w:p>
    <w:p>
      <w:pPr>
        <w:ind w:right="540" w:firstLine="396"/>
        <w:spacing w:after="0" w:line="253"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we allocate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7" w:lineRule="exact"/>
        <w:rPr>
          <w:sz w:val="20"/>
          <w:szCs w:val="20"/>
          <w:color w:val="auto"/>
        </w:rPr>
      </w:pPr>
    </w:p>
    <w:p>
      <w:pPr>
        <w:ind w:right="20" w:firstLine="396"/>
        <w:spacing w:after="0" w:line="248" w:lineRule="auto"/>
        <w:rPr>
          <w:sz w:val="20"/>
          <w:szCs w:val="20"/>
          <w:color w:val="auto"/>
        </w:rPr>
      </w:pPr>
      <w:r>
        <w:rPr>
          <w:rFonts w:ascii="Times New Roman" w:cs="Times New Roman" w:eastAsia="Times New Roman" w:hAnsi="Times New Roman"/>
          <w:sz w:val="18"/>
          <w:szCs w:val="18"/>
          <w:color w:val="auto"/>
        </w:rPr>
        <w:t>We recognize revenues upon the satisfaction of performance obligations. For content licenses, we recognize revenues on both a subscription-based and transaction-based products when content is downloaded by a customer, at which time the license is provided. In addition, we estimate expected unused licenses for subscription-based products and recognize the estimated revenue associated with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our subscription products. For revenue associated with tools available through our platform, the Company recognizes revenue on a straight-line basis over the subscription period. We expense contract acquisition costs as incurred, to the extent that the amortization period would otherwise be one year or less.</w:t>
      </w:r>
    </w:p>
    <w:p>
      <w:pPr>
        <w:spacing w:after="0" w:line="125" w:lineRule="exact"/>
        <w:rPr>
          <w:sz w:val="20"/>
          <w:szCs w:val="20"/>
          <w:color w:val="auto"/>
        </w:rPr>
      </w:pPr>
    </w:p>
    <w:p>
      <w:pPr>
        <w:ind w:right="300" w:firstLine="396"/>
        <w:spacing w:after="0" w:line="269" w:lineRule="auto"/>
        <w:rPr>
          <w:sz w:val="20"/>
          <w:szCs w:val="20"/>
          <w:color w:val="auto"/>
        </w:rPr>
      </w:pPr>
      <w:r>
        <w:rPr>
          <w:rFonts w:ascii="Times New Roman" w:cs="Times New Roman" w:eastAsia="Times New Roman" w:hAnsi="Times New Roman"/>
          <w:sz w:val="18"/>
          <w:szCs w:val="18"/>
          <w:color w:val="auto"/>
        </w:rPr>
        <w:t>Collectability is reasonably assured at the time the electronic order or contract is entered. The majority of our customers purchase products by making electronic payments with a credit card at the time of the transaction. Customer payments received</w:t>
      </w:r>
    </w:p>
    <w:p>
      <w:pPr>
        <w:spacing w:after="0" w:line="200" w:lineRule="exact"/>
        <w:rPr>
          <w:sz w:val="20"/>
          <w:szCs w:val="20"/>
          <w:color w:val="auto"/>
        </w:rPr>
      </w:pPr>
    </w:p>
    <w:p>
      <w:pPr>
        <w:spacing w:after="0" w:line="3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13" w:lineRule="exact"/>
        <w:rPr>
          <w:sz w:val="20"/>
          <w:szCs w:val="20"/>
          <w:color w:val="auto"/>
        </w:rPr>
      </w:pPr>
    </w:p>
    <w:p>
      <w:pPr>
        <w:ind w:firstLine="396"/>
        <w:spacing w:after="0" w:line="304" w:lineRule="auto"/>
        <w:rPr>
          <w:sz w:val="20"/>
          <w:szCs w:val="20"/>
          <w:color w:val="auto"/>
        </w:rPr>
      </w:pPr>
      <w:r>
        <w:rPr>
          <w:rFonts w:ascii="Times New Roman" w:cs="Times New Roman" w:eastAsia="Times New Roman" w:hAnsi="Times New Roman"/>
          <w:sz w:val="16"/>
          <w:szCs w:val="16"/>
          <w:color w:val="auto"/>
        </w:rPr>
        <w:t>We recognize revenue gross of contributor royalties because we are the principal in the transaction as we are the party responsible for the performance obligation and we control the product or service before transferring it to the customer. We also license content to customers through third-party resellers. Third-party resellers sell our products directly to customers as the principal in those transactions. Accordingly, we recognize revenue net of costs paid to resellers.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40"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color w:val="auto"/>
        </w:rPr>
        <w:t>Our accounts receivable consists of customer obligations due under normal trade terms, carried at their fair value less an allowance for doubtful accounts, if required. We determine our allowance for doubtful accounts based on an evaluation of the aging of our accounts receivable and on a customer-by-customer basis where appropriate. Our reserve analysis contemplates our historical loss rate on receivables, specific customer situations and the economic environments in which we operate.</w:t>
      </w:r>
    </w:p>
    <w:p>
      <w:pPr>
        <w:spacing w:after="0" w:line="114" w:lineRule="exact"/>
        <w:rPr>
          <w:sz w:val="20"/>
          <w:szCs w:val="20"/>
          <w:color w:val="auto"/>
        </w:rPr>
      </w:pPr>
    </w:p>
    <w:p>
      <w:pPr>
        <w:ind w:firstLine="396"/>
        <w:spacing w:after="0" w:line="258" w:lineRule="auto"/>
        <w:rPr>
          <w:sz w:val="20"/>
          <w:szCs w:val="20"/>
          <w:color w:val="auto"/>
        </w:rPr>
      </w:pPr>
      <w:r>
        <w:rPr>
          <w:rFonts w:ascii="Times New Roman" w:cs="Times New Roman" w:eastAsia="Times New Roman" w:hAnsi="Times New Roman"/>
          <w:sz w:val="18"/>
          <w:szCs w:val="18"/>
          <w:color w:val="auto"/>
        </w:rPr>
        <w:t xml:space="preserve">Historically, the Company used an incurred loss model to calculate its allowance for doubtful accounts. Upon the adoption of ASU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 Credit Losses (Topic 326): Measurement of Credit Losses of Financial Instruments </w:t>
      </w:r>
      <w:r>
        <w:rPr>
          <w:rFonts w:ascii="Times New Roman" w:cs="Times New Roman" w:eastAsia="Times New Roman" w:hAnsi="Times New Roman"/>
          <w:sz w:val="18"/>
          <w:szCs w:val="18"/>
          <w:color w:val="auto"/>
        </w:rPr>
        <w:t>(“ASU 2016-13”) on January 1, 2020, the Company shifted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current expected credit loss model.</w:t>
      </w:r>
    </w:p>
    <w:p>
      <w:pPr>
        <w:spacing w:after="0" w:line="113" w:lineRule="exact"/>
        <w:rPr>
          <w:sz w:val="20"/>
          <w:szCs w:val="20"/>
          <w:color w:val="auto"/>
        </w:rPr>
      </w:pPr>
    </w:p>
    <w:p>
      <w:pPr>
        <w:ind w:right="440"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2022 and 2021, we had an allowance for doubtful accounts of $5.8 million and $1.9 million, respectively. Fluctuations in our allowance for doubtful accounts are primarily attributable to changes in the aging profile of our gross accounts receivable balances and specific customer situations arising during the year.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53" w:lineRule="exact"/>
        <w:rPr>
          <w:sz w:val="20"/>
          <w:szCs w:val="20"/>
          <w:color w:val="auto"/>
        </w:rPr>
      </w:pPr>
    </w:p>
    <w:p>
      <w:pPr>
        <w:ind w:right="120" w:firstLine="396"/>
        <w:spacing w:after="0" w:line="257" w:lineRule="auto"/>
        <w:rPr>
          <w:sz w:val="20"/>
          <w:szCs w:val="20"/>
          <w:color w:val="auto"/>
        </w:rPr>
      </w:pPr>
      <w:r>
        <w:rPr>
          <w:rFonts w:ascii="Times New Roman" w:cs="Times New Roman" w:eastAsia="Times New Roman" w:hAnsi="Times New Roman"/>
          <w:sz w:val="18"/>
          <w:szCs w:val="18"/>
          <w:color w:val="auto"/>
        </w:rPr>
        <w:t>Our income tax expense includes U.S. (federal and state) and foreign income taxes. Deferred income tax balances reflect the effects of temporary differences between the carrying amounts of assets and liabilities and their tax basis, and are stated at enacted tax rates expected to be in effect when taxes are actually paid or recovered.</w:t>
      </w:r>
    </w:p>
    <w:p>
      <w:pPr>
        <w:spacing w:after="0" w:line="113" w:lineRule="exact"/>
        <w:rPr>
          <w:sz w:val="20"/>
          <w:szCs w:val="20"/>
          <w:color w:val="auto"/>
        </w:rPr>
      </w:pPr>
    </w:p>
    <w:p>
      <w:pPr>
        <w:ind w:right="80" w:firstLine="396"/>
        <w:spacing w:after="0" w:line="286" w:lineRule="auto"/>
        <w:rPr>
          <w:sz w:val="20"/>
          <w:szCs w:val="20"/>
          <w:color w:val="auto"/>
        </w:rPr>
      </w:pPr>
      <w:r>
        <w:rPr>
          <w:rFonts w:ascii="Times New Roman" w:cs="Times New Roman" w:eastAsia="Times New Roman" w:hAnsi="Times New Roman"/>
          <w:sz w:val="16"/>
          <w:szCs w:val="16"/>
          <w:color w:val="auto"/>
        </w:rPr>
        <w:t>We account for unrecognized tax benefits using a more-likely-than-not threshold for financial statement recognition and measurement of tax positions taken or expected to be taken in a tax return. We establish reserves for tax-related uncertainties based on estimates of whether, and the extent to which, additional taxes may be due. We record an income tax liability for the difference, if any, between the benefit recognized and measured and the tax position taken or expected to be taken on our tax returns. To the extent that the assessment of such tax positions changes, the change in estimate is recorded in the period in which the determination is made. The reserves are adjusted in light of changing facts and circumstances, such as the outcomes of tax audits or lapses in statutes of limitations. Any reserve for uncertain tax provisions and related penalties and interest is included in the income tax provision.</w:t>
      </w:r>
    </w:p>
    <w:p>
      <w:pPr>
        <w:spacing w:after="0" w:line="83"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On a quarterly basis, we assess the realizability of deferred tax assets, based on the available evidence including a history of taxable income, estimates of future taxable income and planning strategies and a valuation allowance is recorded to the extent that it is not more likely than not that the deferred tax assets will be realized. Significant management judgment is required in determining the provision for income taxes and deferred tax assets and liabilities. In the event that actual results differ from these estimates, we will adjust these estimates in future periods which may result in a change in the effective tax rate in a future period.</w:t>
      </w:r>
    </w:p>
    <w:p>
      <w:pPr>
        <w:spacing w:after="0" w:line="122" w:lineRule="exact"/>
        <w:rPr>
          <w:sz w:val="20"/>
          <w:szCs w:val="20"/>
          <w:color w:val="auto"/>
        </w:rPr>
      </w:pPr>
    </w:p>
    <w:p>
      <w:pPr>
        <w:ind w:right="420" w:firstLine="396"/>
        <w:spacing w:after="0" w:line="269" w:lineRule="auto"/>
        <w:rPr>
          <w:sz w:val="20"/>
          <w:szCs w:val="20"/>
          <w:color w:val="auto"/>
        </w:rPr>
      </w:pPr>
      <w:r>
        <w:rPr>
          <w:rFonts w:ascii="Times New Roman" w:cs="Times New Roman" w:eastAsia="Times New Roman" w:hAnsi="Times New Roman"/>
          <w:sz w:val="18"/>
          <w:szCs w:val="18"/>
          <w:color w:val="auto"/>
        </w:rPr>
        <w:t>The global intangible low-taxed income (“GILTI”) provisions of the TCJA impose a tax on foreign income in excess of a deemed return on tangible assets of foreign corporations. We have elected to treat any potential GILTI inclusions as a period cost.</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53" w:lineRule="exact"/>
        <w:rPr>
          <w:sz w:val="20"/>
          <w:szCs w:val="20"/>
          <w:color w:val="auto"/>
        </w:rPr>
      </w:pPr>
    </w:p>
    <w:p>
      <w:pPr>
        <w:ind w:firstLine="396"/>
        <w:spacing w:after="0" w:line="283" w:lineRule="auto"/>
        <w:rPr>
          <w:sz w:val="20"/>
          <w:szCs w:val="20"/>
          <w:color w:val="auto"/>
        </w:rPr>
      </w:pPr>
      <w:r>
        <w:rPr>
          <w:rFonts w:ascii="Times New Roman" w:cs="Times New Roman" w:eastAsia="Times New Roman" w:hAnsi="Times New Roman"/>
          <w:sz w:val="16"/>
          <w:szCs w:val="16"/>
          <w:color w:val="auto"/>
        </w:rPr>
        <w:t>Business combinations are recorded at fair value and the purchase price is allocated to the assets acquired and liabilities assumed in the transaction. Assets acquired may include intangible assets such as customer relationships, trade names, developed technology and contributor content. Fair values are based on the exit price (i.e., the price that would be received to sell an asset or transfer a liability in an orderly transaction between market participants at the measurement date) and valuation methods that may be utilized include the multiple-period excess earnings method, the relief-from-royalty method and the cost-to-recreate method. Determining the fair value of the customer relationships intangible assets requires management to use significant judgment and estimates, including estimates of future revenue growth rates for existing customers, the discount rate, earnings before interest, taxes and amortization (“EBITA”) margins and the customer attrition rate, among others. Other assets and liabilities acquired in a business combination are recorded based on the fair value of the assets acquired and liabilities assumed at acquisition date. Changes to these factors could affect the measurement and allocation of fair value.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51" w:lineRule="exact"/>
        <w:rPr>
          <w:sz w:val="20"/>
          <w:szCs w:val="20"/>
          <w:color w:val="auto"/>
        </w:rPr>
      </w:pPr>
    </w:p>
    <w:p>
      <w:pPr>
        <w:ind w:right="320" w:firstLine="396"/>
        <w:spacing w:after="0" w:line="269" w:lineRule="auto"/>
        <w:rPr>
          <w:sz w:val="20"/>
          <w:szCs w:val="20"/>
          <w:color w:val="auto"/>
        </w:rPr>
      </w:pPr>
      <w:r>
        <w:rPr>
          <w:rFonts w:ascii="Times New Roman" w:cs="Times New Roman" w:eastAsia="Times New Roman" w:hAnsi="Times New Roman"/>
          <w:sz w:val="18"/>
          <w:szCs w:val="18"/>
          <w:color w:val="auto"/>
        </w:rPr>
        <w:t>See Note 1 of the Notes to Consolidated Financial Statements included in Part II, Item 8 of this Annual Report on Form 10-K for a full description of recent accounting pronouncements, which is incorporated herein by reference.</w:t>
      </w:r>
    </w:p>
    <w:p>
      <w:pPr>
        <w:spacing w:after="0" w:line="200" w:lineRule="exact"/>
        <w:rPr>
          <w:sz w:val="20"/>
          <w:szCs w:val="20"/>
          <w:color w:val="auto"/>
        </w:rPr>
      </w:pPr>
    </w:p>
    <w:p>
      <w:pPr>
        <w:spacing w:after="0" w:line="27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51" w:lineRule="exact"/>
        <w:rPr>
          <w:sz w:val="20"/>
          <w:szCs w:val="20"/>
          <w:color w:val="auto"/>
        </w:rPr>
      </w:pPr>
    </w:p>
    <w:p>
      <w:pPr>
        <w:ind w:right="160" w:firstLine="396"/>
        <w:spacing w:after="0" w:line="269"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40" w:lineRule="exact"/>
        <w:rPr>
          <w:sz w:val="20"/>
          <w:szCs w:val="20"/>
          <w:color w:val="auto"/>
        </w:rPr>
      </w:pPr>
    </w:p>
    <w:p>
      <w:pPr>
        <w:jc w:val="both"/>
        <w:ind w:right="20" w:firstLine="396"/>
        <w:spacing w:after="0" w:line="249"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32%, 35% and 36% in 2022, 2021 and 2020,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2022, we estimate that a 10% change in the exchange rate of the U.S. dollar against all foreign currency denominated revenues would impact our revenue by approximately 3%.</w:t>
      </w:r>
    </w:p>
    <w:p>
      <w:pPr>
        <w:spacing w:after="0" w:line="123" w:lineRule="exact"/>
        <w:rPr>
          <w:sz w:val="20"/>
          <w:szCs w:val="20"/>
          <w:color w:val="auto"/>
        </w:rPr>
      </w:pPr>
    </w:p>
    <w:p>
      <w:pPr>
        <w:ind w:right="260" w:firstLine="396"/>
        <w:spacing w:after="0" w:line="249"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The net impacts of foreign currency transactions on our financial statements were losses of $3.1 million and $3.2 million in 2022 and 2021, respectively, and a gain of $2.4 million in 2020. Translation adjustments resulting from converting the foreign subsidiaries’ financial statements into U.S. dollars are recorded as a component of accumulated other comprehensive income (loss) in stockholders’ equity. We do not currently enter into derivatives or other financial instruments in order to hedge our foreign currency exchange risk, but we may do so in the future.</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90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U.S. Dollars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41"/>
              <w:spacing w:after="0" w:line="152" w:lineRule="exact"/>
              <w:rPr>
                <w:sz w:val="20"/>
                <w:szCs w:val="20"/>
                <w:color w:val="auto"/>
              </w:rPr>
            </w:pPr>
            <w:r>
              <w:rPr>
                <w:rFonts w:ascii="Times New Roman" w:cs="Times New Roman" w:eastAsia="Times New Roman" w:hAnsi="Times New Roman"/>
                <w:sz w:val="16"/>
                <w:szCs w:val="16"/>
                <w:b w:val="1"/>
                <w:bCs w:val="1"/>
                <w:color w:val="auto"/>
                <w:w w:val="99"/>
              </w:rPr>
              <w:t>Originating</w:t>
            </w:r>
          </w:p>
        </w:tc>
        <w:tc>
          <w:tcPr>
            <w:tcW w:w="100" w:type="dxa"/>
            <w:vAlign w:val="bottom"/>
          </w:tcPr>
          <w:p>
            <w:pPr>
              <w:spacing w:after="0"/>
              <w:rPr>
                <w:sz w:val="13"/>
                <w:szCs w:val="13"/>
                <w:color w:val="auto"/>
              </w:rPr>
            </w:pPr>
          </w:p>
        </w:tc>
        <w:tc>
          <w:tcPr>
            <w:tcW w:w="9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81"/>
              <w:spacing w:after="0" w:line="152" w:lineRule="exact"/>
              <w:rPr>
                <w:sz w:val="20"/>
                <w:szCs w:val="20"/>
                <w:color w:val="auto"/>
              </w:rPr>
            </w:pPr>
            <w:r>
              <w:rPr>
                <w:rFonts w:ascii="Times New Roman" w:cs="Times New Roman" w:eastAsia="Times New Roman" w:hAnsi="Times New Roman"/>
                <w:sz w:val="16"/>
                <w:szCs w:val="16"/>
                <w:b w:val="1"/>
                <w:bCs w:val="1"/>
                <w:color w:val="auto"/>
                <w:w w:val="97"/>
              </w:rPr>
              <w:t>Originating</w:t>
            </w:r>
          </w:p>
        </w:tc>
        <w:tc>
          <w:tcPr>
            <w:tcW w:w="100" w:type="dxa"/>
            <w:vAlign w:val="bottom"/>
          </w:tcPr>
          <w:p>
            <w:pPr>
              <w:spacing w:after="0"/>
              <w:rPr>
                <w:sz w:val="13"/>
                <w:szCs w:val="13"/>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121"/>
              <w:spacing w:after="0" w:line="152" w:lineRule="exact"/>
              <w:rPr>
                <w:sz w:val="20"/>
                <w:szCs w:val="20"/>
                <w:color w:val="auto"/>
              </w:rPr>
            </w:pPr>
            <w:r>
              <w:rPr>
                <w:rFonts w:ascii="Times New Roman" w:cs="Times New Roman" w:eastAsia="Times New Roman" w:hAnsi="Times New Roman"/>
                <w:sz w:val="16"/>
                <w:szCs w:val="16"/>
                <w:b w:val="1"/>
                <w:bCs w:val="1"/>
                <w:color w:val="auto"/>
                <w:w w:val="94"/>
              </w:rPr>
              <w:t>Originating</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9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148,643</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138,531</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152,290</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129,140</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138,128</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122,287</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57,144</w:t>
            </w:r>
          </w:p>
        </w:tc>
        <w:tc>
          <w:tcPr>
            <w:tcW w:w="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45,711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57,851</w:t>
            </w:r>
          </w:p>
        </w:tc>
        <w:tc>
          <w:tcPr>
            <w:tcW w:w="28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49,402</w:t>
            </w:r>
          </w:p>
        </w:tc>
        <w:tc>
          <w:tcPr>
            <w:tcW w:w="360" w:type="dxa"/>
            <w:vAlign w:val="bottom"/>
            <w:gridSpan w:val="3"/>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38,570</w:t>
            </w:r>
          </w:p>
        </w:tc>
        <w:tc>
          <w:tcPr>
            <w:tcW w:w="0" w:type="dxa"/>
            <w:vAlign w:val="bottom"/>
          </w:tcPr>
          <w:p>
            <w:pPr>
              <w:spacing w:after="0"/>
              <w:rPr>
                <w:sz w:val="1"/>
                <w:szCs w:val="1"/>
                <w:color w:val="auto"/>
              </w:rPr>
            </w:pPr>
          </w:p>
        </w:tc>
      </w:tr>
      <w:tr>
        <w:trPr>
          <w:trHeight w:val="211"/>
        </w:trPr>
        <w:tc>
          <w:tcPr>
            <w:tcW w:w="302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59,204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57,342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49,630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264,991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237,160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562,835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505,932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429,526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020" w:type="dxa"/>
            <w:vAlign w:val="bottom"/>
            <w:tcBorders>
              <w:bottom w:val="single" w:sz="8" w:color="CCEEFF"/>
            </w:tcBorders>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827,826</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773,415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666,686</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40" w:hanging="31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200" w:lineRule="exact"/>
        <w:rPr>
          <w:sz w:val="20"/>
          <w:szCs w:val="20"/>
          <w:color w:val="auto"/>
        </w:rPr>
      </w:pPr>
    </w:p>
    <w:p>
      <w:pPr>
        <w:spacing w:after="0" w:line="3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53" w:lineRule="exact"/>
        <w:rPr>
          <w:sz w:val="20"/>
          <w:szCs w:val="20"/>
          <w:color w:val="auto"/>
        </w:rPr>
      </w:pPr>
    </w:p>
    <w:p>
      <w:pPr>
        <w:jc w:val="both"/>
        <w:ind w:right="360" w:firstLine="396"/>
        <w:spacing w:after="0" w:line="257"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Amounts borrowed under our Credit Facility accrue interest at a per annum rate based on either (i) the base rate plus a margin ranging from 0.125%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our consolidated leverage ratio or (ii) the Term Secured Overnight Financing Rate (for interest periods of 1, 3 or 6 months) plus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ranging from 1.125% to 1.5%, determined based on our consolidated leverage ratio. A hypothetical 10% change in interest rates would not have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impact on our interest expense as of December 31,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4" w:lineRule="exact"/>
        <w:rPr>
          <w:sz w:val="20"/>
          <w:szCs w:val="20"/>
          <w:color w:val="auto"/>
        </w:rPr>
      </w:pPr>
    </w:p>
    <w:p>
      <w:pPr>
        <w:ind w:right="80" w:firstLine="396"/>
        <w:spacing w:after="0" w:line="257"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51"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which begins on page F-2 of this Annual Report on Form 10-K.</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4" w:lineRule="exact"/>
        <w:rPr>
          <w:sz w:val="20"/>
          <w:szCs w:val="20"/>
          <w:color w:val="auto"/>
        </w:rPr>
      </w:pPr>
    </w:p>
    <w:p>
      <w:pPr>
        <w:ind w:right="20" w:firstLine="396"/>
        <w:spacing w:after="0" w:line="24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122" w:lineRule="exact"/>
        <w:rPr>
          <w:sz w:val="20"/>
          <w:szCs w:val="20"/>
          <w:color w:val="auto"/>
        </w:rPr>
      </w:pPr>
    </w:p>
    <w:p>
      <w:pPr>
        <w:ind w:right="340" w:firstLine="396"/>
        <w:spacing w:after="0" w:line="269"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2022, our Chief Executive Officer and Chief Financial Officer concluded that, as of such date, our disclosure controls and procedures were effective at a reasonable assurance level.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14" w:lineRule="exact"/>
        <w:rPr>
          <w:sz w:val="20"/>
          <w:szCs w:val="20"/>
          <w:color w:val="auto"/>
        </w:rPr>
      </w:pPr>
    </w:p>
    <w:p>
      <w:pPr>
        <w:ind w:right="40" w:firstLine="396"/>
        <w:spacing w:after="0" w:line="25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our financial reporting and the preparation of financial statements for external purposes in accordance with generally accepted accounting principles.</w:t>
      </w:r>
    </w:p>
    <w:p>
      <w:pPr>
        <w:spacing w:after="0" w:line="100" w:lineRule="exact"/>
        <w:rPr>
          <w:sz w:val="20"/>
          <w:szCs w:val="20"/>
          <w:color w:val="auto"/>
        </w:rPr>
      </w:pPr>
    </w:p>
    <w:p>
      <w:pPr>
        <w:ind w:right="100" w:firstLine="396"/>
        <w:spacing w:after="0" w:line="269" w:lineRule="auto"/>
        <w:rPr>
          <w:sz w:val="20"/>
          <w:szCs w:val="20"/>
          <w:color w:val="auto"/>
        </w:rPr>
      </w:pPr>
      <w:r>
        <w:rPr>
          <w:rFonts w:ascii="Times New Roman" w:cs="Times New Roman" w:eastAsia="Times New Roman" w:hAnsi="Times New Roman"/>
          <w:sz w:val="18"/>
          <w:szCs w:val="18"/>
          <w:color w:val="auto"/>
        </w:rPr>
        <w:t xml:space="preserve">Management assessed our internal control over financial reporting as of December 31, 2022. Management based its assessment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issued by the Committee of Sponsoring Organizations of the Treadway Commission.</w:t>
      </w:r>
    </w:p>
    <w:p>
      <w:pPr>
        <w:spacing w:after="0" w:line="103"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In accordance with guidance issued by the SEC, companies are permitted to exclude acquisitions from their final assessment of internal control over financial reporting for the first fiscal year in which the acquisition occurred. Our management’s evaluation of internal control over financial reporting excluded the internal control activities of Pond5, Inc., acquired in May 2022, as discussed in Note 3 to the Consolidated Financial Statements. The financial results of this acquisition are included in the consolidated financial statements as of and for the year ended December 31, 2022 and represent approximately 4% and 1% of total revenues and total assets, respectively.</w:t>
      </w:r>
    </w:p>
    <w:p>
      <w:pPr>
        <w:spacing w:after="0" w:line="122" w:lineRule="exact"/>
        <w:rPr>
          <w:sz w:val="20"/>
          <w:szCs w:val="20"/>
          <w:color w:val="auto"/>
        </w:rPr>
      </w:pPr>
    </w:p>
    <w:p>
      <w:pPr>
        <w:ind w:left="400" w:right="400"/>
        <w:spacing w:after="0" w:line="372" w:lineRule="auto"/>
        <w:rPr>
          <w:sz w:val="20"/>
          <w:szCs w:val="20"/>
          <w:color w:val="auto"/>
        </w:rPr>
      </w:pPr>
      <w:r>
        <w:rPr>
          <w:rFonts w:ascii="Times New Roman" w:cs="Times New Roman" w:eastAsia="Times New Roman" w:hAnsi="Times New Roman"/>
          <w:sz w:val="16"/>
          <w:szCs w:val="16"/>
          <w:color w:val="auto"/>
        </w:rPr>
        <w:t>Based on our assessment, management has concluded that our internal control over financial reporting was effective as of December 31, 2022. PricewaterhouseCoopers LLP, an independent registered public accounting firm (PCAOB ID 238), has audited the consolidated financial statements</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included in this Annual Report on Form 10-K and, as part of the audit, has issued a report on the effectiveness of our internal control over financial reporting as of December 31, 2022, which begins on page F-2 of this Annual Report on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4"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three months ended December 31, 2022 that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Controls</w:t>
      </w:r>
    </w:p>
    <w:p>
      <w:pPr>
        <w:spacing w:after="0" w:line="114" w:lineRule="exact"/>
        <w:rPr>
          <w:sz w:val="20"/>
          <w:szCs w:val="20"/>
          <w:color w:val="auto"/>
        </w:rPr>
      </w:pPr>
    </w:p>
    <w:p>
      <w:pPr>
        <w:ind w:right="160" w:firstLine="396"/>
        <w:spacing w:after="0" w:line="250"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The design of a control system must reflect that there are resource constraints, and the benefits of controls must be considered relative to their costs. Any control system, no matter how well designed and operated, is based upon certain assumptions and can provide only reasonable, not absolute, assurance that its objectives will be met. Further, no evaluation of controls can provide absolute</w:t>
      </w:r>
    </w:p>
    <w:p>
      <w:pPr>
        <w:spacing w:after="0" w:line="200" w:lineRule="exact"/>
        <w:rPr>
          <w:sz w:val="20"/>
          <w:szCs w:val="20"/>
          <w:color w:val="auto"/>
        </w:rPr>
      </w:pPr>
    </w:p>
    <w:p>
      <w:pPr>
        <w:spacing w:after="0" w:line="3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7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62" w:name="page63"/>
    <w:bookmarkEnd w:id="6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12"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after the end of the fiscal year ended December 31, 2022.</w:t>
      </w:r>
    </w:p>
    <w:p>
      <w:pPr>
        <w:spacing w:after="0" w:line="103"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and our principal financial and accounting officer. The Code of Business Conduct and Ethics is available on our investor relations website (investor.shutterstock.com) in the “Corporate Governance” section. We will post any amendments to, or waivers from, a provision of this Code of Business Conduct and Ethics by posting such information on our website, at the address and location specified above.</w:t>
      </w:r>
    </w:p>
    <w:p>
      <w:pPr>
        <w:spacing w:after="0" w:line="200" w:lineRule="exact"/>
        <w:rPr>
          <w:sz w:val="20"/>
          <w:szCs w:val="20"/>
          <w:color w:val="auto"/>
        </w:rPr>
      </w:pPr>
    </w:p>
    <w:p>
      <w:pPr>
        <w:spacing w:after="0" w:line="28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12"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after the end of the fiscal year ended December 31, 2022.</w:t>
      </w:r>
    </w:p>
    <w:p>
      <w:pPr>
        <w:spacing w:after="0" w:line="200" w:lineRule="exact"/>
        <w:rPr>
          <w:sz w:val="20"/>
          <w:szCs w:val="20"/>
          <w:color w:val="auto"/>
        </w:rPr>
      </w:pPr>
    </w:p>
    <w:p>
      <w:pPr>
        <w:spacing w:after="0" w:line="2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12"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after the end of the fiscal year ended December 31, 2022.</w:t>
      </w:r>
    </w:p>
    <w:p>
      <w:pPr>
        <w:spacing w:after="0" w:line="200" w:lineRule="exact"/>
        <w:rPr>
          <w:sz w:val="20"/>
          <w:szCs w:val="20"/>
          <w:color w:val="auto"/>
        </w:rPr>
      </w:pPr>
    </w:p>
    <w:p>
      <w:pPr>
        <w:spacing w:after="0" w:line="2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12"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after the end of the fiscal year ended December 31, 2022.</w:t>
      </w:r>
    </w:p>
    <w:p>
      <w:pPr>
        <w:spacing w:after="0" w:line="200" w:lineRule="exact"/>
        <w:rPr>
          <w:sz w:val="20"/>
          <w:szCs w:val="20"/>
          <w:color w:val="auto"/>
        </w:rPr>
      </w:pPr>
    </w:p>
    <w:p>
      <w:pPr>
        <w:spacing w:after="0" w:line="2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112"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after the end of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3" w:name="page64"/>
    <w:bookmarkEnd w:id="6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Financial Statement Schedules.</w:t>
      </w:r>
    </w:p>
    <w:p>
      <w:pPr>
        <w:spacing w:after="0" w:line="110"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following documents are included as part of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Financial Statements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8"/>
              </w:rPr>
              <w:t>Report of Independent Registered Public Accounting Firm</w:t>
            </w:r>
          </w:p>
        </w:tc>
        <w:tc>
          <w:tcPr>
            <w:tcW w:w="7240" w:type="dxa"/>
            <w:vAlign w:val="bottom"/>
          </w:tcPr>
          <w:p>
            <w:pPr>
              <w:spacing w:after="0"/>
              <w:rPr>
                <w:sz w:val="16"/>
                <w:szCs w:val="16"/>
                <w:color w:val="auto"/>
              </w:rPr>
            </w:pPr>
          </w:p>
        </w:tc>
        <w:tc>
          <w:tcPr>
            <w:tcW w:w="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9"/>
              </w:rPr>
              <w:t>F-2</w:t>
            </w:r>
          </w:p>
        </w:tc>
      </w:tr>
      <w:tr>
        <w:trPr>
          <w:trHeight w:val="191"/>
        </w:trPr>
        <w:tc>
          <w:tcPr>
            <w:tcW w:w="109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F-4</w:t>
            </w:r>
          </w:p>
        </w:tc>
      </w:tr>
      <w:tr>
        <w:trPr>
          <w:trHeight w:val="20"/>
        </w:trPr>
        <w:tc>
          <w:tcPr>
            <w:tcW w:w="18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1"/>
        </w:trPr>
        <w:tc>
          <w:tcPr>
            <w:tcW w:w="2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8"/>
              </w:rPr>
              <w:t>Consolidated Statements of Operations</w:t>
            </w:r>
          </w:p>
        </w:tc>
        <w:tc>
          <w:tcPr>
            <w:tcW w:w="8480" w:type="dxa"/>
            <w:vAlign w:val="bottom"/>
            <w:gridSpan w:val="6"/>
          </w:tcPr>
          <w:p>
            <w:pPr>
              <w:spacing w:after="0"/>
              <w:rPr>
                <w:sz w:val="16"/>
                <w:szCs w:val="16"/>
                <w:color w:val="auto"/>
              </w:rPr>
            </w:pPr>
          </w:p>
        </w:tc>
        <w:tc>
          <w:tcPr>
            <w:tcW w:w="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9"/>
              </w:rPr>
              <w:t>F-5</w:t>
            </w:r>
          </w:p>
        </w:tc>
      </w:tr>
      <w:tr>
        <w:trPr>
          <w:trHeight w:val="191"/>
        </w:trPr>
        <w:tc>
          <w:tcPr>
            <w:tcW w:w="3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Consolidated Statements of Comprehensive Income</w:t>
            </w:r>
          </w:p>
        </w:tc>
        <w:tc>
          <w:tcPr>
            <w:tcW w:w="7660" w:type="dxa"/>
            <w:vAlign w:val="bottom"/>
            <w:gridSpan w:val="2"/>
          </w:tcPr>
          <w:p>
            <w:pPr>
              <w:spacing w:after="0"/>
              <w:rPr>
                <w:sz w:val="16"/>
                <w:szCs w:val="16"/>
                <w:color w:val="auto"/>
              </w:rPr>
            </w:pPr>
          </w:p>
        </w:tc>
        <w:tc>
          <w:tcPr>
            <w:tcW w:w="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9"/>
              </w:rPr>
              <w:t>F-6</w:t>
            </w:r>
          </w:p>
        </w:tc>
      </w:tr>
      <w:tr>
        <w:trPr>
          <w:trHeight w:val="191"/>
        </w:trPr>
        <w:tc>
          <w:tcPr>
            <w:tcW w:w="109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F-7</w:t>
            </w:r>
          </w:p>
        </w:tc>
      </w:tr>
      <w:tr>
        <w:trPr>
          <w:trHeight w:val="191"/>
        </w:trPr>
        <w:tc>
          <w:tcPr>
            <w:tcW w:w="31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7840" w:type="dxa"/>
            <w:vAlign w:val="bottom"/>
            <w:gridSpan w:val="3"/>
          </w:tcPr>
          <w:p>
            <w:pPr>
              <w:spacing w:after="0"/>
              <w:rPr>
                <w:sz w:val="16"/>
                <w:szCs w:val="16"/>
                <w:color w:val="auto"/>
              </w:rPr>
            </w:pPr>
          </w:p>
        </w:tc>
        <w:tc>
          <w:tcPr>
            <w:tcW w:w="2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9"/>
              </w:rPr>
              <w:t>F-</w:t>
            </w:r>
            <w:r>
              <w:rPr>
                <w:rFonts w:ascii="Times New Roman" w:cs="Times New Roman" w:eastAsia="Times New Roman" w:hAnsi="Times New Roman"/>
                <w:sz w:val="16"/>
                <w:szCs w:val="16"/>
                <w:color w:val="3051F2"/>
                <w:w w:val="89"/>
              </w:rPr>
              <w:t>8</w:t>
            </w: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180" w:type="dxa"/>
            <w:vAlign w:val="bottom"/>
            <w:gridSpan w:val="4"/>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91"/>
        </w:trPr>
        <w:tc>
          <w:tcPr>
            <w:tcW w:w="2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Notes to Consolidated Financial Statements</w:t>
            </w:r>
          </w:p>
        </w:tc>
        <w:tc>
          <w:tcPr>
            <w:tcW w:w="8180" w:type="dxa"/>
            <w:vAlign w:val="bottom"/>
            <w:gridSpan w:val="4"/>
          </w:tcPr>
          <w:p>
            <w:pPr>
              <w:spacing w:after="0"/>
              <w:rPr>
                <w:sz w:val="16"/>
                <w:szCs w:val="16"/>
                <w:color w:val="auto"/>
              </w:rPr>
            </w:pPr>
          </w:p>
        </w:tc>
        <w:tc>
          <w:tcPr>
            <w:tcW w:w="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9"/>
              </w:rPr>
              <w:t>F-9</w:t>
            </w: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Financial Statement Schedules</w:t>
      </w:r>
    </w:p>
    <w:p>
      <w:pPr>
        <w:spacing w:after="0" w:line="140" w:lineRule="exact"/>
        <w:rPr>
          <w:sz w:val="20"/>
          <w:szCs w:val="20"/>
          <w:color w:val="auto"/>
        </w:rPr>
      </w:pPr>
    </w:p>
    <w:p>
      <w:pPr>
        <w:ind w:right="340" w:firstLine="396"/>
        <w:spacing w:after="0" w:line="269"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or the required information is included in the consolidated financial statements or notes thereto.</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Exhibits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the Exhibit Index, which immediately precedes the signature page of this Annual Report on Form 10-K.</w:t>
      </w:r>
    </w:p>
    <w:p>
      <w:pPr>
        <w:spacing w:after="0" w:line="200" w:lineRule="exact"/>
        <w:rPr>
          <w:sz w:val="20"/>
          <w:szCs w:val="20"/>
          <w:color w:val="auto"/>
        </w:rPr>
      </w:pPr>
    </w:p>
    <w:p>
      <w:pPr>
        <w:spacing w:after="0" w:line="3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830580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Shutterstock,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1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Shutterstock, Inc. and its subsidiaries (the “Company”) as of December 31, 2022 and 2021, and the related consolidated statements of operations, of comprehensive income, of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30"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1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has excluded Pond5, Inc. (“Pond5”) from its assessment of internal control over financial reporting as of December 31, 2022 because it was acquired by the Company in a purchase business combination during 2022. We have also excluded Pond5 from our audit of internal control over financial reporting. Pond5 is a wholly-owned subsidiary whose total revenues and total assets excluded from management’s assessment and our audit of internal control over financial reporting represent 4% and 1%, respectively, of the related consolidated financial statement amounts as of and for the year ended December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1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5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As described in Notes 1 and 9 to the consolidated financial statements, 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recognizes revenue upon the satisfaction of performance obligations. The Company recognizes revenue on both its subscription-based and transaction-based products when content is downloaded by a customer, at which time the license is provided. For the year ended December 31, 2022, the Company’s total revenue was $827.8 million.</w:t>
      </w:r>
    </w:p>
    <w:p>
      <w:pPr>
        <w:spacing w:after="0" w:line="3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is a critical audit matter are the significant audit effort in performing procedures and evaluating audit evidence related to content license arrangements and customer download activity.</w:t>
      </w:r>
    </w:p>
    <w:p>
      <w:pPr>
        <w:spacing w:after="0" w:line="1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completeness, accuracy and existence of revenue recognized. These procedures also included, among others, evaluating the completeness, accuracy and existence of revenue recognized on a sample basis by inspecting content license arrangements and evaluating the appropriateness of the revenue recognized based on the terms of each arrangement and customer download activity.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Pond5 Acquisition - Valuation of Certain Customer Relationships Intangible Assets</w:t>
      </w:r>
    </w:p>
    <w:p>
      <w:pPr>
        <w:spacing w:after="0" w:line="5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on May 11, 2022, the Company completed its acquisition of Pond5 for approximately $218.0 million. The acquisition resulted in $34.9 million of customer relationships being recorded, of which a significant portion relates to certain customer relationships intangible assets. The fair value of the customer relationships intangible assets was determined using a multiple-period excess earnings method. Determining the fair value of the customer relationships intangible assets requires management to use significant judgment and estimates, including estimates of future revenue growth rates for existing customers, the discount rate, earnings before interest, taxes, and amortization (EBITA) margins and the customer attrition rate, among others.</w:t>
      </w:r>
    </w:p>
    <w:p>
      <w:pPr>
        <w:spacing w:after="0" w:line="3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certain customer relationships intangible assets acquired in the acquisition of Pond5 is a critical audit matter are (i) the significant judgment by management when developing the fair value estimate of certain customer relationships intangible assets acquired; (ii) a high degree of auditor judgment, subjectivity, and effort in performing procedures and evaluating management’s significant assumptions related to estimates of future revenue growth rates for existing customers, the discount rate, EBITA margins, and the customer attrition rate; and (iii) the audit effort involved the use of professionals with specialized skill and knowledge.</w:t>
      </w:r>
    </w:p>
    <w:p>
      <w:pPr>
        <w:spacing w:after="0" w:line="3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intangible assets and controls over the development of significant assumptions related to estimates of future revenue growth rates for existing customers, the discount rate, EBITA margins, and the customer attrition rate. These procedures also included, among others (i) reading the purchase agreement and (ii) testing management’s process for developing the fair value estimate of certain customer relationships intangible assets acquired. Testing management’s process included (i) evaluating the appropriateness of the multiple-period excess earnings method; (ii) testing the completeness and accuracy of underlying data used in the multiple-period excess earnings method; and (iii) evaluating the reasonableness of the significant assumptions used by management related to estimates of future revenue growth rates for existing customers, the discount rate, EBITA margins, and the customer attrition rate. Evaluating the reasonableness of estimates of future revenue growth rates for existing customers, EBITA margins, and the customer attrition rate involved considering (i) the past performance of the acquired business and (ii) the consistency</w:t>
      </w:r>
    </w:p>
    <w:p>
      <w:pPr>
        <w:spacing w:after="0" w:line="200" w:lineRule="exact"/>
        <w:rPr>
          <w:sz w:val="20"/>
          <w:szCs w:val="20"/>
          <w:color w:val="auto"/>
        </w:rPr>
      </w:pP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with external market and industry data. Professionals with specialized skill and knowledge were used to assist in the evaluation of the appropriateness of the multiple-period excess earnings method and the reasonableness of the discount rate assumption.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67" w:name="page68"/>
    <w:bookmarkEnd w:id="67"/>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314,017</w:t>
            </w: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of $5,830 and $1,910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47,707</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26,491</w:t>
            </w:r>
          </w:p>
        </w:tc>
        <w:tc>
          <w:tcPr>
            <w:tcW w:w="0" w:type="dxa"/>
            <w:vAlign w:val="bottom"/>
          </w:tcPr>
          <w:p>
            <w:pPr>
              <w:spacing w:after="0"/>
              <w:rPr>
                <w:sz w:val="1"/>
                <w:szCs w:val="1"/>
                <w:color w:val="auto"/>
              </w:rPr>
            </w:pPr>
          </w:p>
        </w:tc>
      </w:tr>
      <w:tr>
        <w:trPr>
          <w:trHeight w:val="202"/>
        </w:trPr>
        <w:tc>
          <w:tcPr>
            <w:tcW w:w="86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215,671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388,215</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48,074</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34,570</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123,822</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219,816</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0" w:type="dxa"/>
            <w:vAlign w:val="bottom"/>
          </w:tcPr>
          <w:p>
            <w:pPr>
              <w:spacing w:after="0"/>
              <w:rPr>
                <w:sz w:val="1"/>
                <w:szCs w:val="1"/>
                <w:color w:val="auto"/>
              </w:rPr>
            </w:pPr>
          </w:p>
        </w:tc>
      </w:tr>
      <w:tr>
        <w:trPr>
          <w:trHeight w:val="231"/>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881,184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851,710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7,183</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99,529</w:t>
            </w: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29,004</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180,979</w:t>
            </w: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14,180</w:t>
            </w:r>
          </w:p>
        </w:tc>
        <w:tc>
          <w:tcPr>
            <w:tcW w:w="0" w:type="dxa"/>
            <w:vAlign w:val="bottom"/>
          </w:tcPr>
          <w:p>
            <w:pPr>
              <w:spacing w:after="0"/>
              <w:rPr>
                <w:sz w:val="1"/>
                <w:szCs w:val="1"/>
                <w:color w:val="auto"/>
              </w:rPr>
            </w:pPr>
          </w:p>
        </w:tc>
      </w:tr>
      <w:tr>
        <w:trPr>
          <w:trHeight w:val="202"/>
        </w:trPr>
        <w:tc>
          <w:tcPr>
            <w:tcW w:w="86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383,734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333,784</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36,966</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0" w:type="dxa"/>
            <w:vAlign w:val="bottom"/>
          </w:tcPr>
          <w:p>
            <w:pPr>
              <w:spacing w:after="0"/>
              <w:rPr>
                <w:sz w:val="1"/>
                <w:szCs w:val="1"/>
                <w:color w:val="auto"/>
              </w:rPr>
            </w:pPr>
          </w:p>
        </w:tc>
      </w:tr>
      <w:tr>
        <w:trPr>
          <w:trHeight w:val="202"/>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433,702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383,228</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8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68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Common stock, $0.01 par value; 200,000 shares authorized; 39,605 and 39,209 shares issued and 35,829 and 36,417 shares</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11"/>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outstanding as of December 31, 2022 and December 31, 2021, respectively</w:t>
            </w: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376,537</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3,776 and 2,792 shares as of December 31, 2022 and December 31, 2021, respectively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(127,196)</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(10,788)</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271,051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229,537</w:t>
            </w:r>
          </w:p>
        </w:tc>
        <w:tc>
          <w:tcPr>
            <w:tcW w:w="0" w:type="dxa"/>
            <w:vAlign w:val="bottom"/>
          </w:tcPr>
          <w:p>
            <w:pPr>
              <w:spacing w:after="0"/>
              <w:rPr>
                <w:sz w:val="1"/>
                <w:szCs w:val="1"/>
                <w:color w:val="auto"/>
              </w:rPr>
            </w:pPr>
          </w:p>
        </w:tc>
      </w:tr>
      <w:tr>
        <w:trPr>
          <w:trHeight w:val="202"/>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447,482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468,482</w:t>
            </w:r>
          </w:p>
        </w:tc>
        <w:tc>
          <w:tcPr>
            <w:tcW w:w="0" w:type="dxa"/>
            <w:vAlign w:val="bottom"/>
          </w:tcPr>
          <w:p>
            <w:pPr>
              <w:spacing w:after="0"/>
              <w:rPr>
                <w:sz w:val="1"/>
                <w:szCs w:val="1"/>
                <w:color w:val="auto"/>
              </w:rPr>
            </w:pPr>
          </w:p>
        </w:tc>
      </w:tr>
      <w:tr>
        <w:trPr>
          <w:trHeight w:val="231"/>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881,184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851,710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135255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68" w:name="page69"/>
    <w:bookmarkEnd w:id="68"/>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773,415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666,686</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277,659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259,573</w:t>
            </w:r>
          </w:p>
        </w:tc>
        <w:tc>
          <w:tcPr>
            <w:tcW w:w="0" w:type="dxa"/>
            <w:vAlign w:val="bottom"/>
          </w:tcPr>
          <w:p>
            <w:pPr>
              <w:spacing w:after="0"/>
              <w:rPr>
                <w:sz w:val="1"/>
                <w:szCs w:val="1"/>
                <w:color w:val="auto"/>
              </w:rPr>
            </w:pPr>
          </w:p>
        </w:tc>
      </w:tr>
      <w:tr>
        <w:trPr>
          <w:trHeight w:val="209"/>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204,878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159,241</w:t>
            </w:r>
          </w:p>
        </w:tc>
        <w:tc>
          <w:tcPr>
            <w:tcW w:w="0" w:type="dxa"/>
            <w:vAlign w:val="bottom"/>
          </w:tcPr>
          <w:p>
            <w:pPr>
              <w:spacing w:after="0"/>
              <w:rPr>
                <w:sz w:val="1"/>
                <w:szCs w:val="1"/>
                <w:color w:val="auto"/>
              </w:rPr>
            </w:pPr>
          </w:p>
        </w:tc>
      </w:tr>
      <w:tr>
        <w:trPr>
          <w:trHeight w:val="213"/>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52,014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46,038</w:t>
            </w:r>
          </w:p>
        </w:tc>
        <w:tc>
          <w:tcPr>
            <w:tcW w:w="0" w:type="dxa"/>
            <w:vAlign w:val="bottom"/>
          </w:tcPr>
          <w:p>
            <w:pPr>
              <w:spacing w:after="0"/>
              <w:rPr>
                <w:sz w:val="1"/>
                <w:szCs w:val="1"/>
                <w:color w:val="auto"/>
              </w:rPr>
            </w:pPr>
          </w:p>
        </w:tc>
      </w:tr>
      <w:tr>
        <w:trPr>
          <w:trHeight w:val="209"/>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130,758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116,568</w:t>
            </w:r>
          </w:p>
        </w:tc>
        <w:tc>
          <w:tcPr>
            <w:tcW w:w="0" w:type="dxa"/>
            <w:vAlign w:val="bottom"/>
          </w:tcPr>
          <w:p>
            <w:pPr>
              <w:spacing w:after="0"/>
              <w:rPr>
                <w:sz w:val="1"/>
                <w:szCs w:val="1"/>
                <w:color w:val="auto"/>
              </w:rPr>
            </w:pPr>
          </w:p>
        </w:tc>
      </w:tr>
      <w:tr>
        <w:trPr>
          <w:trHeight w:val="213"/>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734,202</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665,309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581,420</w:t>
            </w:r>
          </w:p>
        </w:tc>
        <w:tc>
          <w:tcPr>
            <w:tcW w:w="0" w:type="dxa"/>
            <w:vAlign w:val="bottom"/>
          </w:tcPr>
          <w:p>
            <w:pPr>
              <w:spacing w:after="0"/>
              <w:rPr>
                <w:sz w:val="1"/>
                <w:szCs w:val="1"/>
                <w:color w:val="auto"/>
              </w:rPr>
            </w:pPr>
          </w:p>
        </w:tc>
      </w:tr>
      <w:tr>
        <w:trPr>
          <w:trHeight w:val="206"/>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93,624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108,106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85,266</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0" w:type="dxa"/>
            <w:vAlign w:val="bottom"/>
          </w:tcPr>
          <w:p>
            <w:pPr>
              <w:spacing w:after="0"/>
              <w:rPr>
                <w:sz w:val="1"/>
                <w:szCs w:val="1"/>
                <w:color w:val="auto"/>
              </w:rPr>
            </w:pPr>
          </w:p>
        </w:tc>
      </w:tr>
      <w:tr>
        <w:trPr>
          <w:trHeight w:val="206"/>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104,736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89,523</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12,853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0" w:type="dxa"/>
            <w:vAlign w:val="bottom"/>
          </w:tcPr>
          <w:p>
            <w:pPr>
              <w:spacing w:after="0"/>
              <w:rPr>
                <w:sz w:val="1"/>
                <w:szCs w:val="1"/>
                <w:color w:val="auto"/>
              </w:rPr>
            </w:pPr>
          </w:p>
        </w:tc>
      </w:tr>
      <w:tr>
        <w:trPr>
          <w:trHeight w:val="205"/>
        </w:trPr>
        <w:tc>
          <w:tcPr>
            <w:tcW w:w="7360" w:type="dxa"/>
            <w:vAlign w:val="bottom"/>
            <w:tcBorders>
              <w:bottom w:val="single" w:sz="8" w:color="CCEEFF"/>
            </w:tcBorders>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76,103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91,883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71,766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36,509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37,324</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36,369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135255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69" w:name="page70"/>
    <w:bookmarkEnd w:id="69"/>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76,103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91,883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71,766</w:t>
            </w:r>
          </w:p>
        </w:tc>
      </w:tr>
      <w:tr>
        <w:trPr>
          <w:trHeight w:val="209"/>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w w:val="98"/>
              </w:rPr>
              <w:t>(4,651)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(1,461)</w:t>
            </w:r>
          </w:p>
        </w:tc>
      </w:tr>
      <w:tr>
        <w:trPr>
          <w:trHeight w:val="20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8"/>
              </w:rPr>
              <w:t>(4,651)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(1,461)</w:t>
            </w:r>
          </w:p>
        </w:tc>
      </w:tr>
      <w:tr>
        <w:trPr>
          <w:trHeight w:val="206"/>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71,452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88,776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70,305</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135255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560" w:type="dxa"/>
            <w:vAlign w:val="bottom"/>
            <w:gridSpan w:val="5"/>
          </w:tcPr>
          <w:p>
            <w:pPr>
              <w:ind w:left="380"/>
              <w:spacing w:after="0" w:line="119"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580" w:type="dxa"/>
            <w:vAlign w:val="bottom"/>
            <w:gridSpan w:val="4"/>
          </w:tcPr>
          <w:p>
            <w:pPr>
              <w:ind w:left="400"/>
              <w:spacing w:after="0" w:line="119"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0"/>
                <w:szCs w:val="10"/>
                <w:color w:val="auto"/>
              </w:rPr>
            </w:pPr>
          </w:p>
        </w:tc>
        <w:tc>
          <w:tcPr>
            <w:tcW w:w="72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0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center"/>
              <w:ind w:right="200"/>
              <w:spacing w:after="0" w:line="53" w:lineRule="exact"/>
              <w:rPr>
                <w:sz w:val="20"/>
                <w:szCs w:val="20"/>
                <w:color w:val="auto"/>
              </w:rPr>
            </w:pPr>
            <w:r>
              <w:rPr>
                <w:rFonts w:ascii="Times New Roman" w:cs="Times New Roman" w:eastAsia="Times New Roman" w:hAnsi="Times New Roman"/>
                <w:sz w:val="6"/>
                <w:szCs w:val="6"/>
                <w:b w:val="1"/>
                <w:bCs w:val="1"/>
                <w:color w:val="auto"/>
              </w:rPr>
              <w:t>Paid-in</w:t>
            </w:r>
          </w:p>
        </w:tc>
        <w:tc>
          <w:tcPr>
            <w:tcW w:w="860" w:type="dxa"/>
            <w:vAlign w:val="bottom"/>
            <w:gridSpan w:val="3"/>
          </w:tcPr>
          <w:p>
            <w:pPr>
              <w:ind w:left="20"/>
              <w:spacing w:after="0" w:line="53"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100" w:type="dxa"/>
            <w:vAlign w:val="bottom"/>
          </w:tcPr>
          <w:p>
            <w:pPr>
              <w:spacing w:after="0"/>
              <w:rPr>
                <w:sz w:val="4"/>
                <w:szCs w:val="4"/>
                <w:color w:val="auto"/>
              </w:rPr>
            </w:pPr>
          </w:p>
        </w:tc>
        <w:tc>
          <w:tcPr>
            <w:tcW w:w="700" w:type="dxa"/>
            <w:vAlign w:val="bottom"/>
            <w:gridSpan w:val="2"/>
          </w:tcPr>
          <w:p>
            <w:pPr>
              <w:ind w:left="40"/>
              <w:spacing w:after="0" w:line="53" w:lineRule="exact"/>
              <w:rPr>
                <w:sz w:val="20"/>
                <w:szCs w:val="20"/>
                <w:color w:val="auto"/>
              </w:rPr>
            </w:pPr>
            <w:r>
              <w:rPr>
                <w:rFonts w:ascii="Times New Roman" w:cs="Times New Roman" w:eastAsia="Times New Roman" w:hAnsi="Times New Roman"/>
                <w:sz w:val="6"/>
                <w:szCs w:val="6"/>
                <w:b w:val="1"/>
                <w:bCs w:val="1"/>
                <w:color w:val="auto"/>
              </w:rPr>
              <w:t>Retained</w:t>
            </w: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6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40" w:type="dxa"/>
            <w:vAlign w:val="bottom"/>
          </w:tcPr>
          <w:p>
            <w:pPr>
              <w:spacing w:after="0"/>
              <w:rPr>
                <w:sz w:val="14"/>
                <w:szCs w:val="14"/>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98"/>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 (100,027)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121,187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328,145</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Cumulative Effect of Accounting Change (See Note 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98"/>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 (100,027)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120,940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327,898</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28,309</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23,153</w:t>
            </w:r>
          </w:p>
        </w:tc>
        <w:tc>
          <w:tcPr>
            <w:tcW w:w="0" w:type="dxa"/>
            <w:vAlign w:val="bottom"/>
          </w:tcPr>
          <w:p>
            <w:pPr>
              <w:spacing w:after="0"/>
              <w:rPr>
                <w:sz w:val="1"/>
                <w:szCs w:val="1"/>
                <w:color w:val="auto"/>
              </w:rPr>
            </w:pPr>
          </w:p>
        </w:tc>
      </w:tr>
      <w:tr>
        <w:trPr>
          <w:trHeight w:val="136"/>
        </w:trPr>
        <w:tc>
          <w:tcPr>
            <w:tcW w:w="406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 option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0" w:type="dxa"/>
            <w:vAlign w:val="bottom"/>
          </w:tcPr>
          <w:p>
            <w:pPr>
              <w:spacing w:after="0"/>
              <w:rPr>
                <w:sz w:val="1"/>
                <w:szCs w:val="1"/>
                <w:color w:val="auto"/>
              </w:rPr>
            </w:pPr>
          </w:p>
        </w:tc>
      </w:tr>
      <w:tr>
        <w:trPr>
          <w:trHeight w:val="189"/>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exercises and RSU vesting</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06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 with</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(24,401)</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71,766</w:t>
            </w:r>
          </w:p>
        </w:tc>
        <w:tc>
          <w:tcPr>
            <w:tcW w:w="0" w:type="dxa"/>
            <w:vAlign w:val="bottom"/>
          </w:tcPr>
          <w:p>
            <w:pPr>
              <w:spacing w:after="0"/>
              <w:rPr>
                <w:sz w:val="1"/>
                <w:szCs w:val="1"/>
                <w:color w:val="auto"/>
              </w:rPr>
            </w:pPr>
          </w:p>
        </w:tc>
      </w:tr>
      <w:tr>
        <w:trPr>
          <w:trHeight w:val="198"/>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360,939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421,925</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36,179</w:t>
            </w:r>
          </w:p>
        </w:tc>
        <w:tc>
          <w:tcPr>
            <w:tcW w:w="0" w:type="dxa"/>
            <w:vAlign w:val="bottom"/>
          </w:tcPr>
          <w:p>
            <w:pPr>
              <w:spacing w:after="0"/>
              <w:rPr>
                <w:sz w:val="1"/>
                <w:szCs w:val="1"/>
                <w:color w:val="auto"/>
              </w:rPr>
            </w:pPr>
          </w:p>
        </w:tc>
      </w:tr>
      <w:tr>
        <w:trPr>
          <w:trHeight w:val="143"/>
        </w:trPr>
        <w:tc>
          <w:tcPr>
            <w:tcW w:w="406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 option</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exercises and RSU vesting</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6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(22,726)</w:t>
            </w:r>
          </w:p>
        </w:tc>
        <w:tc>
          <w:tcPr>
            <w:tcW w:w="0" w:type="dxa"/>
            <w:vAlign w:val="bottom"/>
          </w:tcPr>
          <w:p>
            <w:pPr>
              <w:spacing w:after="0"/>
              <w:rPr>
                <w:sz w:val="1"/>
                <w:szCs w:val="1"/>
                <w:color w:val="auto"/>
              </w:rPr>
            </w:pPr>
          </w:p>
        </w:tc>
      </w:tr>
      <w:tr>
        <w:trPr>
          <w:trHeight w:val="189"/>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(27,169)</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(30,651)</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91,883</w:t>
            </w:r>
          </w:p>
        </w:tc>
        <w:tc>
          <w:tcPr>
            <w:tcW w:w="0" w:type="dxa"/>
            <w:vAlign w:val="bottom"/>
          </w:tcPr>
          <w:p>
            <w:pPr>
              <w:spacing w:after="0"/>
              <w:rPr>
                <w:sz w:val="1"/>
                <w:szCs w:val="1"/>
                <w:color w:val="auto"/>
              </w:rPr>
            </w:pPr>
          </w:p>
        </w:tc>
      </w:tr>
      <w:tr>
        <w:trPr>
          <w:trHeight w:val="198"/>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(127,196)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376,537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468,482</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35,740</w:t>
            </w:r>
          </w:p>
        </w:tc>
        <w:tc>
          <w:tcPr>
            <w:tcW w:w="0" w:type="dxa"/>
            <w:vAlign w:val="bottom"/>
          </w:tcPr>
          <w:p>
            <w:pPr>
              <w:spacing w:after="0"/>
              <w:rPr>
                <w:sz w:val="1"/>
                <w:szCs w:val="1"/>
                <w:color w:val="auto"/>
              </w:rPr>
            </w:pPr>
          </w:p>
        </w:tc>
      </w:tr>
      <w:tr>
        <w:trPr>
          <w:trHeight w:val="143"/>
        </w:trPr>
        <w:tc>
          <w:tcPr>
            <w:tcW w:w="406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 option</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exercises and RSU vesting</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6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(22,598)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(22,601)</w:t>
            </w:r>
          </w:p>
        </w:tc>
        <w:tc>
          <w:tcPr>
            <w:tcW w:w="0" w:type="dxa"/>
            <w:vAlign w:val="bottom"/>
          </w:tcPr>
          <w:p>
            <w:pPr>
              <w:spacing w:after="0"/>
              <w:rPr>
                <w:sz w:val="1"/>
                <w:szCs w:val="1"/>
                <w:color w:val="auto"/>
              </w:rPr>
            </w:pPr>
          </w:p>
        </w:tc>
      </w:tr>
      <w:tr>
        <w:trPr>
          <w:trHeight w:val="189"/>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(72,812)</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(34,589)</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76,103</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 (200,008)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447,482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135255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20"/>
          </w:cols>
          <w:pgMar w:left="720" w:top="121" w:right="759" w:bottom="1440" w:gutter="0" w:footer="0" w:header="0"/>
        </w:sectPr>
      </w:pPr>
    </w:p>
    <w:bookmarkStart w:id="71" w:name="page72"/>
    <w:bookmarkEnd w:id="71"/>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7"/>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76,103</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91,883</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71,766</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1"/>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48,771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41,359</w:t>
            </w:r>
          </w:p>
        </w:tc>
      </w:tr>
      <w:tr>
        <w:trPr>
          <w:trHeight w:val="205"/>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Deferred taxes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r>
      <w:tr>
        <w:trPr>
          <w:trHeight w:val="191"/>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36,179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28,309</w:t>
            </w:r>
          </w:p>
        </w:tc>
      </w:tr>
      <w:tr>
        <w:trPr>
          <w:trHeight w:val="205"/>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Impairment of lease and related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Bad debt expense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1"/>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205"/>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and non-current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w:t>
            </w:r>
          </w:p>
        </w:tc>
      </w:tr>
      <w:tr>
        <w:trPr>
          <w:trHeight w:val="191"/>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 and other current and non-current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34,444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8,587</w:t>
            </w:r>
          </w:p>
        </w:tc>
      </w:tr>
      <w:tr>
        <w:trPr>
          <w:trHeight w:val="205"/>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Long-term incentives related to acquisitions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(7,759)</w:t>
            </w:r>
          </w:p>
        </w:tc>
      </w:tr>
      <w:tr>
        <w:trPr>
          <w:trHeight w:val="191"/>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Contributor royalties payable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r>
      <w:tr>
        <w:trPr>
          <w:trHeight w:val="205"/>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23,108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7,848</w:t>
            </w:r>
          </w:p>
        </w:tc>
      </w:tr>
      <w:tr>
        <w:trPr>
          <w:trHeight w:val="184"/>
        </w:trPr>
        <w:tc>
          <w:tcPr>
            <w:tcW w:w="7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158,451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216,372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165,072</w:t>
            </w:r>
          </w:p>
        </w:tc>
      </w:tr>
      <w:tr>
        <w:trPr>
          <w:trHeight w:val="132"/>
        </w:trPr>
        <w:tc>
          <w:tcPr>
            <w:tcW w:w="7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92"/>
        </w:trPr>
        <w:tc>
          <w:tcPr>
            <w:tcW w:w="7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(25,630)</w:t>
            </w: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Business combination, net of cash acquired</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 acquisitions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 term investments</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 of content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r>
      <w:tr>
        <w:trPr>
          <w:trHeight w:val="191"/>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Security deposit (payment) / release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91"/>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(275,550)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(250,438)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(35,310)</w:t>
            </w:r>
          </w:p>
        </w:tc>
      </w:tr>
      <w:tr>
        <w:trPr>
          <w:trHeight w:val="132"/>
        </w:trPr>
        <w:tc>
          <w:tcPr>
            <w:tcW w:w="7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9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proceeds from issuance of common stock</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23,153</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related to settlement of employee taxes related to RSU vesting</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 of cash dividends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(24,401)</w:t>
            </w: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credit facility</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3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(79,487)</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w:t>
            </w:r>
          </w:p>
        </w:tc>
      </w:tr>
      <w:tr>
        <w:trPr>
          <w:trHeight w:val="92"/>
        </w:trPr>
        <w:tc>
          <w:tcPr>
            <w:tcW w:w="7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98"/>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r>
      <w:tr>
        <w:trPr>
          <w:trHeight w:val="184"/>
        </w:trPr>
        <w:tc>
          <w:tcPr>
            <w:tcW w:w="7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(decrease) / increase in cash, cash equivalents and restricted cash</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(198,863)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122,700</w:t>
            </w:r>
          </w:p>
        </w:tc>
      </w:tr>
      <w:tr>
        <w:trPr>
          <w:trHeight w:val="19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314,017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428,574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305,874</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115,154</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314,017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428,574</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5"/>
        </w:trPr>
        <w:tc>
          <w:tcPr>
            <w:tcW w:w="7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92"/>
        </w:trPr>
        <w:tc>
          <w:tcPr>
            <w:tcW w:w="7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Information:</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23,444</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19,092</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8,751</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135255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72" w:name="page73"/>
    <w:bookmarkEnd w:id="7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40" w:lineRule="exact"/>
        <w:rPr>
          <w:sz w:val="20"/>
          <w:szCs w:val="20"/>
          <w:color w:val="auto"/>
        </w:rPr>
      </w:pPr>
    </w:p>
    <w:p>
      <w:pPr>
        <w:ind w:firstLine="396"/>
        <w:spacing w:after="0" w:line="294" w:lineRule="auto"/>
        <w:rPr>
          <w:sz w:val="20"/>
          <w:szCs w:val="20"/>
          <w:color w:val="auto"/>
        </w:rPr>
      </w:pPr>
      <w:r>
        <w:rPr>
          <w:rFonts w:ascii="Times New Roman" w:cs="Times New Roman" w:eastAsia="Times New Roman" w:hAnsi="Times New Roman"/>
          <w:sz w:val="16"/>
          <w:szCs w:val="16"/>
          <w:color w:val="auto"/>
        </w:rPr>
        <w:t>Shutterstock (the “Company” or “Shutterstock”) is a global creative platform for transformative brands and media companies. The Company’s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key content offerings include:</w:t>
      </w:r>
    </w:p>
    <w:p>
      <w:pPr>
        <w:spacing w:after="0" w:line="149" w:lineRule="exact"/>
        <w:rPr>
          <w:sz w:val="20"/>
          <w:szCs w:val="20"/>
          <w:color w:val="auto"/>
        </w:rPr>
      </w:pPr>
    </w:p>
    <w:p>
      <w:pPr>
        <w:ind w:left="800" w:hanging="320"/>
        <w:spacing w:after="0" w:line="269" w:lineRule="auto"/>
        <w:tabs>
          <w:tab w:leader="none" w:pos="7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63" w:lineRule="exact"/>
        <w:rPr>
          <w:rFonts w:ascii="Times New Roman" w:cs="Times New Roman" w:eastAsia="Times New Roman" w:hAnsi="Times New Roman"/>
          <w:sz w:val="18"/>
          <w:szCs w:val="18"/>
          <w:color w:val="auto"/>
        </w:rPr>
      </w:pPr>
    </w:p>
    <w:p>
      <w:pPr>
        <w:ind w:left="800" w:right="200" w:hanging="320"/>
        <w:spacing w:after="0" w:line="269" w:lineRule="auto"/>
        <w:tabs>
          <w:tab w:leader="none" w:pos="7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63" w:lineRule="exact"/>
        <w:rPr>
          <w:rFonts w:ascii="Times New Roman" w:cs="Times New Roman" w:eastAsia="Times New Roman" w:hAnsi="Times New Roman"/>
          <w:sz w:val="18"/>
          <w:szCs w:val="18"/>
          <w:color w:val="auto"/>
        </w:rPr>
      </w:pPr>
    </w:p>
    <w:p>
      <w:pPr>
        <w:ind w:left="800" w:hanging="320"/>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09" w:lineRule="exact"/>
        <w:rPr>
          <w:rFonts w:ascii="Times New Roman" w:cs="Times New Roman" w:eastAsia="Times New Roman" w:hAnsi="Times New Roman"/>
          <w:sz w:val="18"/>
          <w:szCs w:val="18"/>
          <w:color w:val="auto"/>
        </w:rPr>
      </w:pPr>
    </w:p>
    <w:p>
      <w:pPr>
        <w:ind w:left="800" w:right="180" w:hanging="320"/>
        <w:spacing w:after="0" w:line="269" w:lineRule="auto"/>
        <w:tabs>
          <w:tab w:leader="none" w:pos="7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200" w:lineRule="exact"/>
        <w:rPr>
          <w:sz w:val="20"/>
          <w:szCs w:val="20"/>
          <w:color w:val="auto"/>
        </w:rPr>
      </w:pPr>
    </w:p>
    <w:p>
      <w:pPr>
        <w:spacing w:after="0" w:line="206" w:lineRule="exact"/>
        <w:rPr>
          <w:sz w:val="20"/>
          <w:szCs w:val="20"/>
          <w:color w:val="auto"/>
        </w:rPr>
      </w:pPr>
    </w:p>
    <w:p>
      <w:pPr>
        <w:ind w:right="400" w:firstLine="396"/>
        <w:spacing w:after="0" w:line="304" w:lineRule="auto"/>
        <w:rPr>
          <w:sz w:val="20"/>
          <w:szCs w:val="20"/>
          <w:color w:val="auto"/>
        </w:rPr>
      </w:pPr>
      <w:r>
        <w:rPr>
          <w:rFonts w:ascii="Times New Roman" w:cs="Times New Roman" w:eastAsia="Times New Roman" w:hAnsi="Times New Roman"/>
          <w:sz w:val="16"/>
          <w:szCs w:val="16"/>
          <w:color w:val="auto"/>
        </w:rPr>
        <w:t>On May 11, 2022, the Company completed its acquisition of Pond5, Inc. (“Pond5”), a video-first content marketplace which expands Shutterstock’s content offerings across footage, image and music. On May 28, 2022, Shutterstock acquired SCP 2020 Limited (“Splash News”), an entertainment news network for newsrooms and media companies, which offers image and video content across celebrity, red carpet and live events. See Note 3 Acquisitions.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14" w:lineRule="exact"/>
        <w:rPr>
          <w:sz w:val="20"/>
          <w:szCs w:val="20"/>
          <w:color w:val="auto"/>
        </w:rPr>
      </w:pPr>
    </w:p>
    <w:p>
      <w:pPr>
        <w:ind w:right="100" w:firstLine="396"/>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accounting principles generally accepted in the United States of America (“GAAP”) and include the accounts of the Company and its wholly owned subsidiaries. All intercompany balances and transactions have been eliminated in consolidation.</w:t>
      </w:r>
    </w:p>
    <w:p>
      <w:pPr>
        <w:spacing w:after="0" w:line="74" w:lineRule="exact"/>
        <w:rPr>
          <w:sz w:val="20"/>
          <w:szCs w:val="20"/>
          <w:color w:val="auto"/>
        </w:rPr>
      </w:pPr>
    </w:p>
    <w:p>
      <w:pPr>
        <w:ind w:right="1820" w:firstLine="396"/>
        <w:spacing w:after="0" w:line="412" w:lineRule="auto"/>
        <w:rPr>
          <w:sz w:val="20"/>
          <w:szCs w:val="20"/>
          <w:color w:val="auto"/>
        </w:rPr>
      </w:pPr>
      <w:r>
        <w:rPr>
          <w:rFonts w:ascii="Times New Roman" w:cs="Times New Roman" w:eastAsia="Times New Roman" w:hAnsi="Times New Roman"/>
          <w:sz w:val="18"/>
          <w:szCs w:val="18"/>
          <w:color w:val="auto"/>
        </w:rPr>
        <w:t xml:space="preserve">Certain immaterial changes in presentation have been made to conform the prior period presentation to current period reporting. </w:t>
      </w:r>
      <w:r>
        <w:rPr>
          <w:rFonts w:ascii="Times New Roman" w:cs="Times New Roman" w:eastAsia="Times New Roman" w:hAnsi="Times New Roman"/>
          <w:sz w:val="18"/>
          <w:szCs w:val="18"/>
          <w:b w:val="1"/>
          <w:bCs w:val="1"/>
          <w:i w:val="1"/>
          <w:iCs w:val="1"/>
          <w:color w:val="auto"/>
        </w:rPr>
        <w:t>Use of Estimates</w:t>
      </w:r>
    </w:p>
    <w:p>
      <w:pPr>
        <w:spacing w:after="0" w:line="2" w:lineRule="exact"/>
        <w:rPr>
          <w:sz w:val="20"/>
          <w:szCs w:val="20"/>
          <w:color w:val="auto"/>
        </w:rPr>
      </w:pPr>
    </w:p>
    <w:p>
      <w:pPr>
        <w:ind w:right="120" w:firstLine="396"/>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73" w:name="page74"/>
    <w:bookmarkEnd w:id="7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Financial instruments that are exposed to concentration of credit risk consist primarily of cash and cash equivalents and accounts receivable balances.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are held with financial institutions of high quality. Balances may exceed the amount of insurance provided on such deposits.</w:t>
      </w:r>
    </w:p>
    <w:p>
      <w:pPr>
        <w:spacing w:after="0" w:line="118" w:lineRule="exact"/>
        <w:rPr>
          <w:sz w:val="20"/>
          <w:szCs w:val="20"/>
          <w:color w:val="auto"/>
        </w:rPr>
      </w:pPr>
    </w:p>
    <w:p>
      <w:pPr>
        <w:ind w:right="180" w:firstLine="396"/>
        <w:spacing w:after="0" w:line="249" w:lineRule="auto"/>
        <w:rPr>
          <w:sz w:val="20"/>
          <w:szCs w:val="20"/>
          <w:color w:val="auto"/>
        </w:rPr>
      </w:pPr>
      <w:r>
        <w:rPr>
          <w:rFonts w:ascii="Times New Roman" w:cs="Times New Roman" w:eastAsia="Times New Roman" w:hAnsi="Times New Roman"/>
          <w:sz w:val="18"/>
          <w:szCs w:val="18"/>
          <w:color w:val="auto"/>
        </w:rPr>
        <w:t>The majority of the Company’s revenues are derived from customers who license content using electronic payments at the time of a transaction. The Company’s accounts receivable are primarily from enterprise customers who require invoicing. The Company performs initial and ongoing credit reviews on these customers, which involve consideration of the customers’ financial information, their location, and other factors to assess the customers’ ability to pay. The Company also performs ongoing financial condition evaluations for its existing customers. As of December 31, 2022, one customer accounted for approximately 22% of the accounts receivable balance. No other customer accounted for or exceeded 10% of the accounts receivable balance. As of December 31, 2021, no single customer accounted for or exceeded 10% of accounts receivable.</w:t>
      </w:r>
    </w:p>
    <w:p>
      <w:pPr>
        <w:spacing w:after="0" w:line="123" w:lineRule="exact"/>
        <w:rPr>
          <w:sz w:val="20"/>
          <w:szCs w:val="20"/>
          <w:color w:val="auto"/>
        </w:rPr>
      </w:pPr>
    </w:p>
    <w:p>
      <w:pPr>
        <w:ind w:right="1620" w:firstLine="396"/>
        <w:spacing w:after="0" w:line="397" w:lineRule="auto"/>
        <w:rPr>
          <w:sz w:val="20"/>
          <w:szCs w:val="20"/>
          <w:color w:val="auto"/>
        </w:rPr>
      </w:pPr>
      <w:r>
        <w:rPr>
          <w:rFonts w:ascii="Times New Roman" w:cs="Times New Roman" w:eastAsia="Times New Roman" w:hAnsi="Times New Roman"/>
          <w:sz w:val="18"/>
          <w:szCs w:val="18"/>
          <w:color w:val="auto"/>
        </w:rPr>
        <w:t xml:space="preserve">Additionally, no single customer accounted for or exceeded 10% of revenue for the years ended December 31, 2022, 2021 or 2020. </w:t>
      </w:r>
      <w:r>
        <w:rPr>
          <w:rFonts w:ascii="Times New Roman" w:cs="Times New Roman" w:eastAsia="Times New Roman" w:hAnsi="Times New Roman"/>
          <w:sz w:val="18"/>
          <w:szCs w:val="18"/>
          <w:b w:val="1"/>
          <w:bCs w:val="1"/>
          <w:i w:val="1"/>
          <w:iCs w:val="1"/>
          <w:color w:val="auto"/>
        </w:rPr>
        <w:t>Cash, Cash Equivalents and Restricted Cash</w:t>
      </w:r>
    </w:p>
    <w:p>
      <w:pPr>
        <w:spacing w:after="0" w:line="1" w:lineRule="exact"/>
        <w:rPr>
          <w:sz w:val="20"/>
          <w:szCs w:val="20"/>
          <w:color w:val="auto"/>
        </w:rPr>
      </w:pPr>
    </w:p>
    <w:p>
      <w:pPr>
        <w:jc w:val="both"/>
        <w:ind w:firstLine="396"/>
        <w:spacing w:after="0" w:line="333" w:lineRule="auto"/>
        <w:rPr>
          <w:sz w:val="20"/>
          <w:szCs w:val="20"/>
          <w:color w:val="auto"/>
        </w:rPr>
      </w:pPr>
      <w:r>
        <w:rPr>
          <w:rFonts w:ascii="Times New Roman" w:cs="Times New Roman" w:eastAsia="Times New Roman" w:hAnsi="Times New Roman"/>
          <w:sz w:val="16"/>
          <w:szCs w:val="16"/>
          <w:color w:val="auto"/>
        </w:rPr>
        <w:t>As of December 31, 2022 and 2021, the Company’s cash and cash equivalents were $115.2 million and $314.0 million, respectively. The Company’s cash balance consist primarily of bank deposits. Cash equivalents consists primarily of money market accounts and are stated at cost, which approximates fair value.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4" w:lineRule="exact"/>
        <w:rPr>
          <w:sz w:val="20"/>
          <w:szCs w:val="20"/>
          <w:color w:val="auto"/>
        </w:rPr>
      </w:pPr>
    </w:p>
    <w:p>
      <w:pPr>
        <w:ind w:right="20" w:firstLine="396"/>
        <w:spacing w:after="0" w:line="289" w:lineRule="auto"/>
        <w:rPr>
          <w:sz w:val="20"/>
          <w:szCs w:val="20"/>
          <w:color w:val="auto"/>
        </w:rPr>
      </w:pPr>
      <w:r>
        <w:rPr>
          <w:rFonts w:ascii="Times New Roman" w:cs="Times New Roman" w:eastAsia="Times New Roman" w:hAnsi="Times New Roman"/>
          <w:sz w:val="16"/>
          <w:szCs w:val="16"/>
          <w:color w:val="auto"/>
        </w:rPr>
        <w:t>The Company records its financial assets and liabilities at fair value. Fair value is determined as the price that would be received to sell an asset or paid to transfer a liability in an orderly transaction between market participants at the reporting date. Fair value is estimated by applying inputs which are classified into the following levels of a three-tier hierarchy as follows: Level 1 - quoted prices (unadjusted) in active markets for identical assets or liabilities; Level 2-inputs other than quoted prices included within Level 1 that are either directly or indirectly observable; and Level 3 - unobservable inputs in which little or no market activity exists, therefore requiring an entity to develop its own assumptions regarding what market participants would use in pricing.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53"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(i) the aging of its accounts receivable considering historical receivables loss rates, (ii) on a customer-by-customer basis, where appropriate, and (iii) the economic environments in which the Company operates.</w:t>
      </w:r>
    </w:p>
    <w:p>
      <w:pPr>
        <w:spacing w:after="0" w:line="101" w:lineRule="exact"/>
        <w:rPr>
          <w:sz w:val="20"/>
          <w:szCs w:val="20"/>
          <w:color w:val="auto"/>
        </w:rPr>
      </w:pPr>
    </w:p>
    <w:p>
      <w:pPr>
        <w:ind w:right="20" w:firstLine="396"/>
        <w:spacing w:after="0" w:line="258" w:lineRule="auto"/>
        <w:rPr>
          <w:sz w:val="20"/>
          <w:szCs w:val="20"/>
          <w:color w:val="auto"/>
        </w:rPr>
      </w:pPr>
      <w:r>
        <w:rPr>
          <w:rFonts w:ascii="Times New Roman" w:cs="Times New Roman" w:eastAsia="Times New Roman" w:hAnsi="Times New Roman"/>
          <w:sz w:val="18"/>
          <w:szCs w:val="18"/>
          <w:color w:val="auto"/>
        </w:rPr>
        <w:t xml:space="preserve">Historically, the Company used an incurred loss model to calculate its allowance for doubtful accounts. Upon the adoption of ASU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 Credit Losses (Topic 326): Measurement of Credit Losses of Financial Instruments </w:t>
      </w:r>
      <w:r>
        <w:rPr>
          <w:rFonts w:ascii="Times New Roman" w:cs="Times New Roman" w:eastAsia="Times New Roman" w:hAnsi="Times New Roman"/>
          <w:sz w:val="18"/>
          <w:szCs w:val="18"/>
          <w:color w:val="auto"/>
        </w:rPr>
        <w:t>(“ASU 2016-13”) on January 1, 2020, the Company shifted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current expected credit loss model.</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allowance for doubtful accounts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2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6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4"/>
              </w:rPr>
              <w:t>1,910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363"/>
              <w:spacing w:after="0"/>
              <w:rPr>
                <w:sz w:val="20"/>
                <w:szCs w:val="20"/>
                <w:color w:val="auto"/>
              </w:rPr>
            </w:pPr>
            <w:r>
              <w:rPr>
                <w:rFonts w:ascii="Times New Roman" w:cs="Times New Roman" w:eastAsia="Times New Roman" w:hAnsi="Times New Roman"/>
                <w:sz w:val="16"/>
                <w:szCs w:val="16"/>
                <w:color w:val="auto"/>
                <w:w w:val="99"/>
              </w:rPr>
              <w:t>3,579</w:t>
            </w:r>
          </w:p>
        </w:tc>
      </w:tr>
      <w:tr>
        <w:trPr>
          <w:trHeight w:val="209"/>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bad debt expense</w:t>
            </w:r>
          </w:p>
        </w:tc>
        <w:tc>
          <w:tcPr>
            <w:tcW w:w="760" w:type="dxa"/>
            <w:vAlign w:val="bottom"/>
          </w:tcPr>
          <w:p>
            <w:pPr>
              <w:spacing w:after="0"/>
              <w:rPr>
                <w:sz w:val="18"/>
                <w:szCs w:val="18"/>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4"/>
              </w:rPr>
              <w:t>3,697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ind w:left="363"/>
              <w:spacing w:after="0"/>
              <w:rPr>
                <w:sz w:val="20"/>
                <w:szCs w:val="20"/>
                <w:color w:val="auto"/>
              </w:rPr>
            </w:pPr>
            <w:r>
              <w:rPr>
                <w:rFonts w:ascii="Times New Roman" w:cs="Times New Roman" w:eastAsia="Times New Roman" w:hAnsi="Times New Roman"/>
                <w:sz w:val="16"/>
                <w:szCs w:val="16"/>
                <w:color w:val="auto"/>
                <w:w w:val="99"/>
              </w:rPr>
              <w:t>2,580</w:t>
            </w:r>
          </w:p>
        </w:tc>
      </w:tr>
      <w:tr>
        <w:trPr>
          <w:trHeight w:val="213"/>
        </w:trPr>
        <w:tc>
          <w:tcPr>
            <w:tcW w:w="740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Less: write-offs, net of recoveries and other adjustments</w:t>
            </w:r>
            <w:r>
              <w:rPr>
                <w:rFonts w:ascii="Times New Roman" w:cs="Times New Roman" w:eastAsia="Times New Roman" w:hAnsi="Times New Roman"/>
                <w:sz w:val="20"/>
                <w:szCs w:val="20"/>
                <w:color w:val="auto"/>
                <w:vertAlign w:val="superscript"/>
              </w:rPr>
              <w:t>1</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343"/>
              <w:spacing w:after="0"/>
              <w:rPr>
                <w:sz w:val="20"/>
                <w:szCs w:val="20"/>
                <w:color w:val="auto"/>
              </w:rPr>
            </w:pPr>
            <w:r>
              <w:rPr>
                <w:rFonts w:ascii="Times New Roman" w:cs="Times New Roman" w:eastAsia="Times New Roman" w:hAnsi="Times New Roman"/>
                <w:sz w:val="16"/>
                <w:szCs w:val="16"/>
                <w:color w:val="auto"/>
                <w:w w:val="98"/>
              </w:rPr>
              <w:t>(1,217)</w:t>
            </w: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7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4"/>
              </w:rPr>
              <w:t>5,830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center"/>
              <w:ind w:left="363"/>
              <w:spacing w:after="0"/>
              <w:rPr>
                <w:sz w:val="20"/>
                <w:szCs w:val="20"/>
                <w:color w:val="auto"/>
              </w:rPr>
            </w:pPr>
            <w:r>
              <w:rPr>
                <w:rFonts w:ascii="Times New Roman" w:cs="Times New Roman" w:eastAsia="Times New Roman" w:hAnsi="Times New Roman"/>
                <w:sz w:val="16"/>
                <w:szCs w:val="16"/>
                <w:color w:val="auto"/>
                <w:w w:val="99"/>
              </w:rPr>
              <w:t>4,942</w:t>
            </w:r>
          </w:p>
        </w:tc>
      </w:tr>
      <w:tr>
        <w:trPr>
          <w:trHeight w:val="20"/>
        </w:trPr>
        <w:tc>
          <w:tcPr>
            <w:tcW w:w="7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 Other adjustments includes the adoption of ASU 2016-13 on January 1, 2020, which increased the allowance for doubtful accounts by $0.3M.</w:t>
      </w:r>
    </w:p>
    <w:p>
      <w:pPr>
        <w:spacing w:after="0" w:line="200" w:lineRule="exact"/>
        <w:rPr>
          <w:sz w:val="20"/>
          <w:szCs w:val="20"/>
          <w:color w:val="auto"/>
        </w:rPr>
      </w:pPr>
    </w:p>
    <w:p>
      <w:pPr>
        <w:spacing w:after="0" w:line="3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4" w:name="page75"/>
    <w:bookmarkEnd w:id="7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14" w:lineRule="exact"/>
        <w:rPr>
          <w:sz w:val="20"/>
          <w:szCs w:val="20"/>
          <w:color w:val="auto"/>
        </w:rPr>
      </w:pPr>
    </w:p>
    <w:p>
      <w:pPr>
        <w:ind w:right="400" w:firstLine="396"/>
        <w:spacing w:after="0" w:line="304" w:lineRule="auto"/>
        <w:rPr>
          <w:sz w:val="20"/>
          <w:szCs w:val="20"/>
          <w:color w:val="auto"/>
        </w:rPr>
      </w:pPr>
      <w:r>
        <w:rPr>
          <w:rFonts w:ascii="Times New Roman" w:cs="Times New Roman" w:eastAsia="Times New Roman" w:hAnsi="Times New Roman"/>
          <w:sz w:val="16"/>
          <w:szCs w:val="16"/>
          <w:color w:val="auto"/>
        </w:rPr>
        <w:t>The Company establishes a chargeback allowance and sales refund reserve allowance based on factors surrounding historical credit card chargeback trends, historical sales refund trends and other information. As of December 31, 2022 and December 31, 2021, the Company’s combined allowance for chargebacks and sales refunds was $0.4 million, which is included as a component of other current liabilities on the Consolidated Balance Sheets.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40" w:lineRule="exact"/>
        <w:rPr>
          <w:sz w:val="20"/>
          <w:szCs w:val="20"/>
          <w:color w:val="auto"/>
        </w:rPr>
      </w:pPr>
    </w:p>
    <w:p>
      <w:pPr>
        <w:ind w:right="540" w:firstLine="396"/>
        <w:spacing w:after="0" w:line="269"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is calculated using the straight-line method over the estimated useful lives of the related assets. Generally, the useful lives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6620" w:type="dxa"/>
            <w:vAlign w:val="bottom"/>
            <w:shd w:val="clear" w:color="auto" w:fill="CCEEFF"/>
          </w:tcPr>
          <w:p>
            <w:pPr>
              <w:ind w:left="3020"/>
              <w:spacing w:after="0"/>
              <w:rPr>
                <w:sz w:val="20"/>
                <w:szCs w:val="20"/>
                <w:color w:val="auto"/>
              </w:rPr>
            </w:pPr>
            <w:r>
              <w:rPr>
                <w:rFonts w:ascii="Times New Roman" w:cs="Times New Roman" w:eastAsia="Times New Roman" w:hAnsi="Times New Roman"/>
                <w:sz w:val="16"/>
                <w:szCs w:val="16"/>
                <w:color w:val="auto"/>
              </w:rPr>
              <w:t>3 years</w:t>
            </w:r>
          </w:p>
        </w:tc>
      </w:tr>
      <w:tr>
        <w:trPr>
          <w:trHeight w:val="209"/>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662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7 years</w:t>
            </w:r>
          </w:p>
        </w:tc>
      </w:tr>
      <w:tr>
        <w:trPr>
          <w:trHeight w:val="21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6620" w:type="dxa"/>
            <w:vAlign w:val="bottom"/>
            <w:shd w:val="clear" w:color="auto" w:fill="CCEEFF"/>
          </w:tcPr>
          <w:p>
            <w:pPr>
              <w:ind w:left="3020"/>
              <w:spacing w:after="0"/>
              <w:rPr>
                <w:sz w:val="20"/>
                <w:szCs w:val="20"/>
                <w:color w:val="auto"/>
              </w:rPr>
            </w:pPr>
            <w:r>
              <w:rPr>
                <w:rFonts w:ascii="Times New Roman" w:cs="Times New Roman" w:eastAsia="Times New Roman" w:hAnsi="Times New Roman"/>
                <w:sz w:val="16"/>
                <w:szCs w:val="16"/>
                <w:color w:val="auto"/>
              </w:rPr>
              <w:t>3 years</w:t>
            </w:r>
          </w:p>
        </w:tc>
      </w:tr>
      <w:tr>
        <w:trPr>
          <w:trHeight w:val="207"/>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662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Shorter of expected useful life or lease term</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 Use Software</w:t>
      </w:r>
    </w:p>
    <w:p>
      <w:pPr>
        <w:spacing w:after="0" w:line="153" w:lineRule="exact"/>
        <w:rPr>
          <w:sz w:val="20"/>
          <w:szCs w:val="20"/>
          <w:color w:val="auto"/>
        </w:rPr>
      </w:pPr>
    </w:p>
    <w:p>
      <w:pPr>
        <w:ind w:right="160" w:firstLine="396"/>
        <w:spacing w:after="0" w:line="249" w:lineRule="auto"/>
        <w:rPr>
          <w:sz w:val="20"/>
          <w:szCs w:val="20"/>
          <w:color w:val="auto"/>
        </w:rPr>
      </w:pPr>
      <w:r>
        <w:rPr>
          <w:rFonts w:ascii="Times New Roman" w:cs="Times New Roman" w:eastAsia="Times New Roman" w:hAnsi="Times New Roman"/>
          <w:sz w:val="18"/>
          <w:szCs w:val="18"/>
          <w:color w:val="auto"/>
        </w:rPr>
        <w:t>The Company capitalizes the qualifying costs of computer software developed for internal use, which are incurred during the application development stage, and amortizes them over the software’s estimated useful life. Costs incurred in the preliminary and post-implementation stages of the Company’s products are expensed as incurred. The amounts capitalized include employee’s payroll and payroll-related costs directly associated with the development activities as well as external direct costs of services used in developing internal-use software. The Company’s policy is to amortize capitalized costs using the straight-line method over the estimated useful life, which is currently three years, beginning when the software is substantially complete and ready for its intended use.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40"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Long-lived assets, inclusive of definite-lived intangible assets,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undiscounted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In 2022, the Company recorded an impairment charge related to a portion of its right-of-use assets and property and equipment triggered by the Company’s decision to cease using certain office spaces. See Note 4, Property and Equipment and Note 15, Leasing for further discussion. There were no long-lived asset impairment charges in 2021 or 2020.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53" w:lineRule="exact"/>
        <w:rPr>
          <w:sz w:val="20"/>
          <w:szCs w:val="20"/>
          <w:color w:val="auto"/>
        </w:rPr>
      </w:pPr>
    </w:p>
    <w:p>
      <w:pPr>
        <w:jc w:val="both"/>
        <w:ind w:right="160" w:firstLine="396"/>
        <w:spacing w:after="0" w:line="257" w:lineRule="auto"/>
        <w:rPr>
          <w:sz w:val="20"/>
          <w:szCs w:val="20"/>
          <w:color w:val="auto"/>
        </w:rPr>
      </w:pPr>
      <w:r>
        <w:rPr>
          <w:rFonts w:ascii="Times New Roman" w:cs="Times New Roman" w:eastAsia="Times New Roman" w:hAnsi="Times New Roman"/>
          <w:sz w:val="18"/>
          <w:szCs w:val="18"/>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w:t>
      </w:r>
    </w:p>
    <w:p>
      <w:pPr>
        <w:spacing w:after="0" w:line="113" w:lineRule="exact"/>
        <w:rPr>
          <w:sz w:val="20"/>
          <w:szCs w:val="20"/>
          <w:color w:val="auto"/>
        </w:rPr>
      </w:pPr>
    </w:p>
    <w:p>
      <w:pPr>
        <w:ind w:right="60" w:firstLine="396"/>
        <w:spacing w:after="0" w:line="269" w:lineRule="auto"/>
        <w:rPr>
          <w:sz w:val="20"/>
          <w:szCs w:val="20"/>
          <w:color w:val="auto"/>
        </w:rPr>
      </w:pPr>
      <w:r>
        <w:rPr>
          <w:rFonts w:ascii="Times New Roman" w:cs="Times New Roman" w:eastAsia="Times New Roman" w:hAnsi="Times New Roman"/>
          <w:sz w:val="18"/>
          <w:szCs w:val="18"/>
          <w:color w:val="auto"/>
        </w:rPr>
        <w:t>In 2022, the Company’s goodwill balance was allocated to a single reporting unit. Since inception through December 31, 2022, the Company has not had any impairment of goodwill.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4" w:lineRule="exact"/>
        <w:rPr>
          <w:sz w:val="20"/>
          <w:szCs w:val="20"/>
          <w:color w:val="auto"/>
        </w:rPr>
      </w:pPr>
    </w:p>
    <w:p>
      <w:pPr>
        <w:ind w:firstLine="396"/>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also generates revenue from tools available through the Company’s platform.</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5" w:name="page76"/>
    <w:bookmarkEnd w:id="7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20" w:firstLine="396"/>
        <w:spacing w:after="0" w:line="253"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7"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the Company estimates expected unused licenses for subscription-based products and recognizes the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revenue associated with tools available through the Company’s platform, revenue is recognized on a straight-line basis over the subscription period. The Company expenses contract acquisition costs as incurred, to the extent that the amortization period would otherwise be one year or less.</w:t>
      </w:r>
    </w:p>
    <w:p>
      <w:pPr>
        <w:spacing w:after="0" w:line="112"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Collectability is reasonably assured at the time the electronic order or contract is entered. The majority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22"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53"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The Company’s cost of revenue includes royalties paid to contributors, credit card processing fees, content reviewer costs, customer service expenses, 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Costs of revenue also includes employee compensation, including non-cash equity-based compensation, bonuses and benefits associated with the maintenance of the Company’s creative platform and cloud-based software platform.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Contributor Royalties and Internal Sales Commissions</w:t>
      </w:r>
    </w:p>
    <w:p>
      <w:pPr>
        <w:spacing w:after="0" w:line="153" w:lineRule="exact"/>
        <w:rPr>
          <w:sz w:val="20"/>
          <w:szCs w:val="20"/>
          <w:color w:val="auto"/>
        </w:rPr>
      </w:pPr>
    </w:p>
    <w:p>
      <w:pPr>
        <w:ind w:right="20" w:firstLine="396"/>
        <w:spacing w:after="0" w:line="281" w:lineRule="auto"/>
        <w:rPr>
          <w:sz w:val="20"/>
          <w:szCs w:val="20"/>
          <w:color w:val="auto"/>
        </w:rPr>
      </w:pPr>
      <w:r>
        <w:rPr>
          <w:rFonts w:ascii="Times New Roman" w:cs="Times New Roman" w:eastAsia="Times New Roman" w:hAnsi="Times New Roman"/>
          <w:sz w:val="16"/>
          <w:szCs w:val="16"/>
          <w:color w:val="auto"/>
        </w:rPr>
        <w:t>The Company expenses contributor royalties in the period a customer download occurs and includes the corresponding contributor royalties in cost of revenue. Contributor royalties are generally paid monthly. The Company advances certain contributor royalties which are initially deferred and expensed based on the contractual royalty rate at the time of customer download or when the Company determines future recovery is not probable. For the years ended December 31, 2022, 2021 and 2020, the Company deferred $6.3 million, $7.2 million and $3.6 million, respectively, in royalty advances and amortized</w:t>
      </w:r>
    </w:p>
    <w:p>
      <w:pPr>
        <w:jc w:val="both"/>
        <w:ind w:right="40"/>
        <w:spacing w:after="0" w:line="247" w:lineRule="auto"/>
        <w:rPr>
          <w:sz w:val="20"/>
          <w:szCs w:val="20"/>
          <w:color w:val="auto"/>
        </w:rPr>
      </w:pPr>
      <w:r>
        <w:rPr>
          <w:rFonts w:ascii="Times New Roman" w:cs="Times New Roman" w:eastAsia="Times New Roman" w:hAnsi="Times New Roman"/>
          <w:sz w:val="18"/>
          <w:szCs w:val="18"/>
          <w:color w:val="auto"/>
        </w:rPr>
        <w:t>$7.1 million, $5.8 million and $5.5 million, respectively, in royalty advance expense which is included in cost of revenue. As of December 31, 2022 and 2021, the Company has deferred contributor royalties of $0.6 million and $1.4 million, respectively, which is included in prepaid expenses and other current assets in the Consolidated Balance Sheets.</w:t>
      </w:r>
    </w:p>
    <w:p>
      <w:pPr>
        <w:spacing w:after="0" w:line="121" w:lineRule="exact"/>
        <w:rPr>
          <w:sz w:val="20"/>
          <w:szCs w:val="20"/>
          <w:color w:val="auto"/>
        </w:rPr>
      </w:pPr>
    </w:p>
    <w:p>
      <w:pPr>
        <w:jc w:val="both"/>
        <w:ind w:right="100" w:firstLine="396"/>
        <w:spacing w:after="0" w:line="257" w:lineRule="auto"/>
        <w:rPr>
          <w:sz w:val="20"/>
          <w:szCs w:val="20"/>
          <w:color w:val="auto"/>
        </w:rPr>
      </w:pPr>
      <w:r>
        <w:rPr>
          <w:rFonts w:ascii="Times New Roman" w:cs="Times New Roman" w:eastAsia="Times New Roman" w:hAnsi="Times New Roman"/>
          <w:sz w:val="18"/>
          <w:szCs w:val="18"/>
          <w:color w:val="auto"/>
        </w:rPr>
        <w:t>Internal sales commissions are generally paid in the month following collection or invoicing of the commissioned receivable and is reported in sales and marketing expense on the Consolidated Statements of Operations. The Company expenses contract acquisition costs, including internal sales commissions, as incurred, to the extent that the amortization period would otherwise be one year or less.</w:t>
      </w:r>
    </w:p>
    <w:p>
      <w:pPr>
        <w:spacing w:after="0" w:line="200" w:lineRule="exact"/>
        <w:rPr>
          <w:sz w:val="20"/>
          <w:szCs w:val="20"/>
          <w:color w:val="auto"/>
        </w:rPr>
      </w:pPr>
    </w:p>
    <w:p>
      <w:pPr>
        <w:spacing w:after="0" w:line="3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76" w:name="page77"/>
    <w:bookmarkEnd w:id="7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40" w:lineRule="exact"/>
        <w:rPr>
          <w:sz w:val="20"/>
          <w:szCs w:val="20"/>
          <w:color w:val="auto"/>
        </w:rPr>
      </w:pPr>
    </w:p>
    <w:p>
      <w:pPr>
        <w:ind w:right="100" w:firstLine="396"/>
        <w:spacing w:after="0" w:line="257" w:lineRule="auto"/>
        <w:rPr>
          <w:sz w:val="20"/>
          <w:szCs w:val="20"/>
          <w:color w:val="auto"/>
        </w:rPr>
      </w:pPr>
      <w:r>
        <w:rPr>
          <w:rFonts w:ascii="Times New Roman" w:cs="Times New Roman" w:eastAsia="Times New Roman" w:hAnsi="Times New Roman"/>
          <w:sz w:val="18"/>
          <w:szCs w:val="18"/>
          <w:color w:val="auto"/>
        </w:rPr>
        <w:t>The Company expenses product development costs as incurred, except for costs that are capitalized for certain internal software development projects. Product development costs are primarily comprised of development personnel salaries, non-cash equity-based compensation, software and other IT equipment costs as well as allocated facility costs and related overhead.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53" w:lineRule="exact"/>
        <w:rPr>
          <w:sz w:val="20"/>
          <w:szCs w:val="20"/>
          <w:color w:val="auto"/>
        </w:rPr>
      </w:pPr>
    </w:p>
    <w:p>
      <w:pPr>
        <w:ind w:right="60" w:firstLine="396"/>
        <w:spacing w:after="0" w:line="257" w:lineRule="auto"/>
        <w:rPr>
          <w:sz w:val="20"/>
          <w:szCs w:val="20"/>
          <w:color w:val="auto"/>
        </w:rPr>
      </w:pPr>
      <w:r>
        <w:rPr>
          <w:rFonts w:ascii="Times New Roman" w:cs="Times New Roman" w:eastAsia="Times New Roman" w:hAnsi="Times New Roman"/>
          <w:sz w:val="18"/>
          <w:szCs w:val="18"/>
          <w:color w:val="auto"/>
        </w:rPr>
        <w:t>The Company expenses the cost of advertising and promoting its products as incurred. Such costs totaled $97.2 million, $112.9 million and $81.2 million for the years ended December 31, 2022, 2021 and 2020, respectively, which are included in sales and marketing expense in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w:t>
      </w:r>
    </w:p>
    <w:p>
      <w:pPr>
        <w:spacing w:after="0" w:line="153" w:lineRule="exact"/>
        <w:rPr>
          <w:sz w:val="20"/>
          <w:szCs w:val="20"/>
          <w:color w:val="auto"/>
        </w:rPr>
      </w:pPr>
    </w:p>
    <w:p>
      <w:pPr>
        <w:ind w:right="60" w:firstLine="396"/>
        <w:spacing w:after="0" w:line="248" w:lineRule="auto"/>
        <w:rPr>
          <w:sz w:val="20"/>
          <w:szCs w:val="20"/>
          <w:color w:val="auto"/>
        </w:rPr>
      </w:pPr>
      <w:r>
        <w:rPr>
          <w:rFonts w:ascii="Times New Roman" w:cs="Times New Roman" w:eastAsia="Times New Roman" w:hAnsi="Times New Roman"/>
          <w:sz w:val="18"/>
          <w:szCs w:val="18"/>
          <w:color w:val="auto"/>
        </w:rPr>
        <w:t>The Company records rent expense on a straight-line basis over the term of the related lease. At inception, the Company first determines if an arrangement contains a lease and the classification of that lease, if applicable. The Company recognizes right-of-use (“ROU”) assets and lease liabilities for its operating leases. For contracts with lease and non-lease components, the Company has elected not to allocate the contract consideration, and to account for the lease and non-lease components as a single lease component. The Company has also elected not to recognize a lease liability or ROU asset for leases with a term of 12 months or less, and recognize lease payments for those short-term leases on a straight-line basis over the lease term in the Consolidated Statements of Operations. Operating leases are included in ROU assets, other current liabilities and lease liabilities (net of current portion) on the Consolidated Balance Sheets.</w:t>
      </w:r>
    </w:p>
    <w:p>
      <w:pPr>
        <w:spacing w:after="0" w:line="112" w:lineRule="exact"/>
        <w:rPr>
          <w:sz w:val="20"/>
          <w:szCs w:val="20"/>
          <w:color w:val="auto"/>
        </w:rPr>
      </w:pPr>
    </w:p>
    <w:p>
      <w:pPr>
        <w:ind w:right="40" w:firstLine="396"/>
        <w:spacing w:after="0" w:line="247"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under the lease. ROU assets and lease liabilities are recognized at the lease commencement date based on the present value of lease payments over the lease term. The implicit rate within the Company’s leases is generally not determinable and therefore the incremental borrowing rate at the lease commencement date is utilized to determine the present value of lease payments. The determination of the incremental borrowing rate requires judgment. Management determines the incremental borrowing rate for each lease using the Company’s estimated borrowing rate, adjusted for various factors including level of collateralization, term and currency to align with the terms of the lease. The ROU asset also includes any lease prepayments, offset by lease incentives. Certain of the Company’s leases include options to extend or terminate the lease. An option to extend the lease is considered in connection with determining the ROU asset and lease liability when the Company is reasonably certain that the option will be exercised. An option to terminate is considered unless the Company is reasonably certain the option will not be exercised.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53"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The Company grants Restricted Stock Units, Performance-based Restricted Stock Units (“PRSUs” and, collectively with Restricted Stock Units, “RSUs”) and Stock Options to directors and officers and certain other employees of the Company.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w:t>
      </w:r>
    </w:p>
    <w:p>
      <w:pPr>
        <w:spacing w:after="0" w:line="122" w:lineRule="exact"/>
        <w:rPr>
          <w:sz w:val="20"/>
          <w:szCs w:val="20"/>
          <w:color w:val="auto"/>
        </w:rPr>
      </w:pPr>
    </w:p>
    <w:p>
      <w:pPr>
        <w:ind w:right="40" w:firstLine="396"/>
        <w:spacing w:after="0" w:line="247" w:lineRule="auto"/>
        <w:rPr>
          <w:sz w:val="20"/>
          <w:szCs w:val="20"/>
          <w:color w:val="auto"/>
        </w:rPr>
      </w:pPr>
      <w:r>
        <w:rPr>
          <w:rFonts w:ascii="Times New Roman" w:cs="Times New Roman" w:eastAsia="Times New Roman" w:hAnsi="Times New Roman"/>
          <w:sz w:val="18"/>
          <w:szCs w:val="18"/>
          <w:color w:val="auto"/>
        </w:rPr>
        <w:t>The Company measures and recognizes non-cash equity-based compensation expense for all stock-based awards granted to employees based on estimated fair values. The portion of the award that is ultimately expected to vest is recognized as expense over the requisite service period. Forfeitures are accounted for as they occur.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Compensation expense related to awards with a market condition is recognized over the requisite service period regardless of the achievement of the market condition. Compensation expense related to awards with a performance condition is recognized over the requisite service period based on the expected levels of achievement. To the extent that the expected levels of achievement change, stock-based compensation expense is adjusted and recorded in the Consolidated Statements of Operations and the remaining unrecognized stock-based compensation is recognized over the remaining requisite service period.</w:t>
      </w:r>
    </w:p>
    <w:p>
      <w:pPr>
        <w:spacing w:after="0" w:line="200" w:lineRule="exact"/>
        <w:rPr>
          <w:sz w:val="20"/>
          <w:szCs w:val="20"/>
          <w:color w:val="auto"/>
        </w:rPr>
      </w:pPr>
    </w:p>
    <w:p>
      <w:pPr>
        <w:spacing w:after="0" w:line="3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7" w:name="page78"/>
    <w:bookmarkEnd w:id="7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20" w:firstLine="396"/>
        <w:spacing w:after="0" w:line="257" w:lineRule="auto"/>
        <w:rPr>
          <w:sz w:val="20"/>
          <w:szCs w:val="20"/>
          <w:color w:val="auto"/>
        </w:rPr>
      </w:pPr>
      <w:r>
        <w:rPr>
          <w:rFonts w:ascii="Times New Roman" w:cs="Times New Roman" w:eastAsia="Times New Roman" w:hAnsi="Times New Roman"/>
          <w:sz w:val="18"/>
          <w:szCs w:val="18"/>
          <w:color w:val="auto"/>
        </w:rPr>
        <w:t>The Company uses the closing price of the Company’s common stock on the date of grant to determine the fair value of RSUs. The Company uses the Black Scholes option pricing model, to determine the fair value of stock options on the date of grant. The Monte Carlo simulation model is used if the award has a market condition.</w:t>
      </w:r>
    </w:p>
    <w:p>
      <w:pPr>
        <w:spacing w:after="0" w:line="113" w:lineRule="exact"/>
        <w:rPr>
          <w:sz w:val="20"/>
          <w:szCs w:val="20"/>
          <w:color w:val="auto"/>
        </w:rPr>
      </w:pPr>
    </w:p>
    <w:p>
      <w:pPr>
        <w:ind w:right="100" w:firstLine="396"/>
        <w:spacing w:after="0" w:line="257" w:lineRule="auto"/>
        <w:rPr>
          <w:sz w:val="20"/>
          <w:szCs w:val="20"/>
          <w:color w:val="auto"/>
        </w:rPr>
      </w:pPr>
      <w:r>
        <w:rPr>
          <w:rFonts w:ascii="Times New Roman" w:cs="Times New Roman" w:eastAsia="Times New Roman" w:hAnsi="Times New Roman"/>
          <w:sz w:val="18"/>
          <w:szCs w:val="18"/>
          <w:color w:val="auto"/>
        </w:rPr>
        <w:t>The determination of the grant date fair value using an option-pricing model and simulation model requires judgment as well as assumptions regarding a number of other complex and subjective variables. These variables include the Company’s closing market price at the grant date, the expected stock price volatility over the expected term of the awards, awards’ exercise and cancellation behaviors, risk-free interest rates and expected dividends.</w:t>
      </w:r>
    </w:p>
    <w:p>
      <w:pPr>
        <w:spacing w:after="0" w:line="113" w:lineRule="exact"/>
        <w:rPr>
          <w:sz w:val="20"/>
          <w:szCs w:val="20"/>
          <w:color w:val="auto"/>
        </w:rPr>
      </w:pPr>
    </w:p>
    <w:p>
      <w:pPr>
        <w:jc w:val="both"/>
        <w:ind w:right="460" w:firstLine="396"/>
        <w:spacing w:after="0" w:line="253" w:lineRule="auto"/>
        <w:rPr>
          <w:sz w:val="20"/>
          <w:szCs w:val="20"/>
          <w:color w:val="auto"/>
        </w:rPr>
      </w:pPr>
      <w:r>
        <w:rPr>
          <w:rFonts w:ascii="Times New Roman" w:cs="Times New Roman" w:eastAsia="Times New Roman" w:hAnsi="Times New Roman"/>
          <w:sz w:val="18"/>
          <w:szCs w:val="18"/>
          <w:color w:val="auto"/>
        </w:rPr>
        <w:t>The awards granted pursuant to the 2012 Plan and the 2022 Plan are subject to a time-based vesting requirement and certain award grants may also include market based or performance based vesting conditions. While each PRSU corresponds to one target share of the Company’s stock, the number of shares that may eventually vest will be between 0% and 150% of a recipient’s target shares, depending on both the recipient’s continued service with the Company and the extent to which performance goals will have been achieved. Awards generally vest over three or four years.</w:t>
      </w:r>
    </w:p>
    <w:p>
      <w:pPr>
        <w:spacing w:after="0" w:line="103" w:lineRule="exact"/>
        <w:rPr>
          <w:sz w:val="20"/>
          <w:szCs w:val="20"/>
          <w:color w:val="auto"/>
        </w:rPr>
      </w:pPr>
    </w:p>
    <w:p>
      <w:pPr>
        <w:ind w:right="40" w:firstLine="396"/>
        <w:spacing w:after="0" w:line="269" w:lineRule="auto"/>
        <w:rPr>
          <w:sz w:val="20"/>
          <w:szCs w:val="20"/>
          <w:color w:val="auto"/>
        </w:rPr>
      </w:pPr>
      <w:r>
        <w:rPr>
          <w:rFonts w:ascii="Times New Roman" w:cs="Times New Roman" w:eastAsia="Times New Roman" w:hAnsi="Times New Roman"/>
          <w:sz w:val="18"/>
          <w:szCs w:val="18"/>
          <w:color w:val="auto"/>
        </w:rPr>
        <w:t>Upon the vesting of RSUs, the Company has a practice of net share settlement, to cover any required withholding taxes by retaining the number of shares with a value equal to the amount of the tax and remitting an equal amount of cash to the appropriate taxing authorities.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153" w:lineRule="exact"/>
        <w:rPr>
          <w:sz w:val="20"/>
          <w:szCs w:val="20"/>
          <w:color w:val="auto"/>
        </w:rPr>
      </w:pPr>
    </w:p>
    <w:p>
      <w:pPr>
        <w:jc w:val="both"/>
        <w:ind w:right="160" w:firstLine="396"/>
        <w:spacing w:after="0" w:line="257" w:lineRule="auto"/>
        <w:rPr>
          <w:sz w:val="20"/>
          <w:szCs w:val="20"/>
          <w:color w:val="auto"/>
        </w:rPr>
      </w:pPr>
      <w:r>
        <w:rPr>
          <w:rFonts w:ascii="Times New Roman" w:cs="Times New Roman" w:eastAsia="Times New Roman" w:hAnsi="Times New Roman"/>
          <w:sz w:val="18"/>
          <w:szCs w:val="18"/>
          <w:color w:val="auto"/>
        </w:rPr>
        <w:t>The Company offers a 401(k) defined contribution plan and provides for discretionary employer matching contributions. All matching contributions are recognized as an expense in the Statement of Operations, as incurred. The Company recorded employer matching contributions of $5.1 million, $4.4 million and $3.8 million for the years ended December 31, 2022, 2021 and 2020,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4" w:lineRule="exact"/>
        <w:rPr>
          <w:sz w:val="20"/>
          <w:szCs w:val="20"/>
          <w:color w:val="auto"/>
        </w:rPr>
      </w:pPr>
    </w:p>
    <w:p>
      <w:pPr>
        <w:ind w:right="20" w:firstLine="396"/>
        <w:spacing w:after="0" w:line="257" w:lineRule="auto"/>
        <w:rPr>
          <w:sz w:val="20"/>
          <w:szCs w:val="20"/>
          <w:color w:val="auto"/>
        </w:rPr>
      </w:pPr>
      <w:r>
        <w:rPr>
          <w:rFonts w:ascii="Times New Roman" w:cs="Times New Roman" w:eastAsia="Times New Roman" w:hAnsi="Times New Roman"/>
          <w:sz w:val="18"/>
          <w:szCs w:val="18"/>
          <w:color w:val="auto"/>
        </w:rPr>
        <w:t>The Company’s income tax expense includes U.S. (federal and state) and foreign income taxes. Deferred income tax balances reflect the effects of temporary differences between the carrying amounts of assets and liabilities and their tax basis, and are stated at enacted tax rates expected to be in effect when taxes are actually paid or recovered.</w:t>
      </w:r>
    </w:p>
    <w:p>
      <w:pPr>
        <w:spacing w:after="0" w:line="113"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may be due. The Company records an income tax liability for the difference, if any,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outcomes of tax audits or lapses in statutes of limitations. Any reserve for uncertain tax provisions and related penalties and interest is included in the income tax provision.</w:t>
      </w:r>
    </w:p>
    <w:p>
      <w:pPr>
        <w:spacing w:after="0" w:line="11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On a quarterly basis, the Company assesses the realizability of deferred tax assets, based on the available evidence including a history of taxable income, estimates of future taxable income and planning strategies and a valuation allowance is recorded to the extent that it is not more likely than not that the deferred tax assets will be realized.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122" w:lineRule="exact"/>
        <w:rPr>
          <w:sz w:val="20"/>
          <w:szCs w:val="20"/>
          <w:color w:val="auto"/>
        </w:rPr>
      </w:pPr>
    </w:p>
    <w:p>
      <w:pPr>
        <w:ind w:right="440" w:firstLine="396"/>
        <w:spacing w:after="0" w:line="269" w:lineRule="auto"/>
        <w:rPr>
          <w:sz w:val="20"/>
          <w:szCs w:val="20"/>
          <w:color w:val="auto"/>
        </w:rPr>
      </w:pPr>
      <w:r>
        <w:rPr>
          <w:rFonts w:ascii="Times New Roman" w:cs="Times New Roman" w:eastAsia="Times New Roman" w:hAnsi="Times New Roman"/>
          <w:sz w:val="18"/>
          <w:szCs w:val="18"/>
          <w:color w:val="auto"/>
        </w:rPr>
        <w:t>The global intangible low-taxed income (“GILTI”) provisions of the TCJA impose a tax on foreign income in excess of a deemed return on tangible assets of foreign corporations. The Company has elected to treat any potential GILTI inclusions as a period cost.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Non-income Taxes</w:t>
      </w:r>
    </w:p>
    <w:p>
      <w:pPr>
        <w:spacing w:after="0" w:line="153" w:lineRule="exact"/>
        <w:rPr>
          <w:sz w:val="20"/>
          <w:szCs w:val="20"/>
          <w:color w:val="auto"/>
        </w:rPr>
      </w:pPr>
    </w:p>
    <w:p>
      <w:pPr>
        <w:ind w:right="280" w:firstLine="396"/>
        <w:spacing w:after="0" w:line="257" w:lineRule="auto"/>
        <w:rPr>
          <w:sz w:val="20"/>
          <w:szCs w:val="20"/>
          <w:color w:val="auto"/>
        </w:rPr>
      </w:pPr>
      <w:r>
        <w:rPr>
          <w:rFonts w:ascii="Times New Roman" w:cs="Times New Roman" w:eastAsia="Times New Roman" w:hAnsi="Times New Roman"/>
          <w:sz w:val="18"/>
          <w:szCs w:val="18"/>
          <w:color w:val="auto"/>
        </w:rPr>
        <w:t>The Company is subject to certain non-income taxes, including value added taxes, sales taxes and royalty withholding taxes. Where appropriate, the Company has made accruals for these taxes, which are reflected in the Company’s consolidated financial statements. These accruals are subject to statute of limitations requirements and review by governmental authorities.</w:t>
      </w:r>
    </w:p>
    <w:p>
      <w:pPr>
        <w:spacing w:after="0" w:line="200" w:lineRule="exact"/>
        <w:rPr>
          <w:sz w:val="20"/>
          <w:szCs w:val="20"/>
          <w:color w:val="auto"/>
        </w:rPr>
      </w:pPr>
    </w:p>
    <w:p>
      <w:pPr>
        <w:spacing w:after="0" w:line="3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8" w:name="page79"/>
    <w:bookmarkEnd w:id="7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14" w:lineRule="exact"/>
        <w:rPr>
          <w:sz w:val="20"/>
          <w:szCs w:val="20"/>
          <w:color w:val="auto"/>
        </w:rPr>
      </w:pPr>
    </w:p>
    <w:p>
      <w:pPr>
        <w:ind w:right="260" w:firstLine="396"/>
        <w:spacing w:after="0" w:line="333" w:lineRule="auto"/>
        <w:rPr>
          <w:sz w:val="20"/>
          <w:szCs w:val="20"/>
          <w:color w:val="auto"/>
        </w:rPr>
      </w:pPr>
      <w:r>
        <w:rPr>
          <w:rFonts w:ascii="Times New Roman" w:cs="Times New Roman" w:eastAsia="Times New Roman" w:hAnsi="Times New Roman"/>
          <w:sz w:val="16"/>
          <w:szCs w:val="16"/>
          <w:color w:val="auto"/>
        </w:rPr>
        <w:t>The Company accounts for treasury stock under the cost method and is included as a component of stockholders’ equity. Treasury stock held by the Company may be reissued in the future. The Company’s policy is to account for reissued shares as a reduction of Treasury stock on a first-in, first-out basis.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114" w:lineRule="exact"/>
        <w:rPr>
          <w:sz w:val="20"/>
          <w:szCs w:val="20"/>
          <w:color w:val="auto"/>
        </w:rPr>
      </w:pPr>
    </w:p>
    <w:p>
      <w:pPr>
        <w:ind w:right="320" w:firstLine="396"/>
        <w:spacing w:after="0" w:line="257" w:lineRule="auto"/>
        <w:rPr>
          <w:sz w:val="20"/>
          <w:szCs w:val="20"/>
          <w:color w:val="auto"/>
        </w:rPr>
      </w:pPr>
      <w:r>
        <w:rPr>
          <w:rFonts w:ascii="Times New Roman" w:cs="Times New Roman" w:eastAsia="Times New Roman" w:hAnsi="Times New Roman"/>
          <w:sz w:val="18"/>
          <w:szCs w:val="18"/>
          <w:color w:val="auto"/>
        </w:rPr>
        <w:t>Basic net income per share is computed by dividing the net income attributable to common stockholders by the weighted average number of common shares outstanding during the period. Any potential issuance of common shares, including those that are contingent and do not participate in dividends, is excluded from basic weighted average number of common shares outstanding.</w:t>
      </w:r>
    </w:p>
    <w:p>
      <w:pPr>
        <w:spacing w:after="0" w:line="74" w:lineRule="exact"/>
        <w:rPr>
          <w:sz w:val="20"/>
          <w:szCs w:val="20"/>
          <w:color w:val="auto"/>
        </w:rPr>
      </w:pPr>
    </w:p>
    <w:p>
      <w:pPr>
        <w:ind w:right="460" w:firstLine="396"/>
        <w:spacing w:after="0" w:line="269" w:lineRule="auto"/>
        <w:rPr>
          <w:sz w:val="20"/>
          <w:szCs w:val="20"/>
          <w:color w:val="auto"/>
        </w:rPr>
      </w:pPr>
      <w:r>
        <w:rPr>
          <w:rFonts w:ascii="Times New Roman" w:cs="Times New Roman" w:eastAsia="Times New Roman" w:hAnsi="Times New Roman"/>
          <w:sz w:val="18"/>
          <w:szCs w:val="18"/>
          <w:color w:val="auto"/>
        </w:rPr>
        <w:t>Diluted net income per share is computed by dividing the net income attributable to common stockholders by the weighted average common shares outstanding and all potential common shares, if they are dilutive.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14"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2022, the Company has identified one operating segment, which has also been determined to be the Company’s primary reportable business segment. Operating segments are defined as components of an enterprise for which separate financial information is available and is evaluated regularly by the Company’s chief operating decision maker (“CODM”), or decision-making group, in deciding how to allocate resources and in assessing financial performance.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14" w:lineRule="exact"/>
        <w:rPr>
          <w:sz w:val="20"/>
          <w:szCs w:val="20"/>
          <w:color w:val="auto"/>
        </w:rPr>
      </w:pPr>
    </w:p>
    <w:p>
      <w:pPr>
        <w:ind w:right="40" w:firstLine="396"/>
        <w:spacing w:after="0" w:line="250" w:lineRule="auto"/>
        <w:rPr>
          <w:sz w:val="20"/>
          <w:szCs w:val="20"/>
          <w:color w:val="auto"/>
        </w:rPr>
      </w:pPr>
      <w:r>
        <w:rPr>
          <w:rFonts w:ascii="Times New Roman" w:cs="Times New Roman" w:eastAsia="Times New Roman" w:hAnsi="Times New Roman"/>
          <w:sz w:val="18"/>
          <w:szCs w:val="18"/>
          <w:color w:val="auto"/>
        </w:rPr>
        <w:t>The Company records a liability for contingent consideration at the date of a business combination and reassesses the fair value of the liability each period until it is settled. Upon settlement of these liabilities, the portion of the contingent consideration payment that is attributable to the initial amount recorded as part of the business combination is classified as a cash flow from financing activities and the portion of the settlement that is attributable to subsequent changes in the fair value of the contingent consideration is classified as a cash flow from operating activities in the Consolidated Statement of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functional currency of the Company’s foreign subsidiaries is generally the respective local currency. Monetary assets and liabilities that are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denominated in currencies other than each entity’s functional currency are remeasured into the functional currency at the period-end exchange rates and result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transactional gains and losses. The net impact of foreign currency transactional gains and losses on the Company’s results of operations were losses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 million and $3.2 million in 2022 and 2021, respectively, and a gain of $2.4 million in 2020. Translation adjustments resulting from converting the foreign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financial statements into U.S. dollars using the period-end exchange rates for balance sheet accounts and the period average exchange rate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are recorded as a component of accumulated other comprehensive income / (loss) within stockholders’ equity.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 Updates</w:t>
      </w:r>
    </w:p>
    <w:p>
      <w:pPr>
        <w:spacing w:after="0" w:line="140" w:lineRule="exact"/>
        <w:rPr>
          <w:sz w:val="20"/>
          <w:szCs w:val="20"/>
          <w:color w:val="auto"/>
        </w:rPr>
      </w:pPr>
    </w:p>
    <w:p>
      <w:pPr>
        <w:ind w:firstLine="396"/>
        <w:spacing w:after="0" w:line="249" w:lineRule="auto"/>
        <w:rPr>
          <w:sz w:val="20"/>
          <w:szCs w:val="20"/>
          <w:color w:val="auto"/>
        </w:rPr>
      </w:pPr>
      <w:r>
        <w:rPr>
          <w:rFonts w:ascii="Times New Roman" w:cs="Times New Roman" w:eastAsia="Times New Roman" w:hAnsi="Times New Roman"/>
          <w:sz w:val="18"/>
          <w:szCs w:val="18"/>
          <w:color w:val="auto"/>
        </w:rPr>
        <w:t>In June 2016, the FASB issued ASU 2016-13, which as amended, replaces the current incurred loss impairment methodology with a methodology that reflects expected credit losses. The ASU is intended to provide financial statement users with more decision-useful information about the expected credit losses on financial instruments and other commitments to extend credit held by a reporting entity at each reporting date. Adoption of this guidance was required, prospectively, for annual periods beginning after December 15, 2019, with early adoption permitted for annual periods beginning after December 15, 2018. The Company adopted ASU 2016-13, as amended, effective January 1, 2020 using the modified retrospective method and recorded a cumulative-effect adjustment of $0.2 million, net of tax, in retained earnings as of January 1, 2020.</w:t>
      </w:r>
    </w:p>
    <w:p>
      <w:pPr>
        <w:spacing w:after="0" w:line="200" w:lineRule="exact"/>
        <w:rPr>
          <w:sz w:val="20"/>
          <w:szCs w:val="20"/>
          <w:color w:val="auto"/>
        </w:rPr>
      </w:pPr>
    </w:p>
    <w:p>
      <w:pPr>
        <w:spacing w:after="0" w:line="3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9" w:name="page80"/>
    <w:bookmarkEnd w:id="7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firstLine="396"/>
        <w:spacing w:after="0" w:line="249"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 2019-12”). ASU 2019-12 eliminates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enacted changes in tax laws or rates and clarifies the accounting transactions that result in a step-up in the tax basis of goodwill. The guidance is effective for fiscal years beginning after December 15, 2020 and interim periods within those fiscal years. The Company adopted ASU 2019-12, effective January 1, 2021. The impact of adoption of this standard on the consolidated financial statements, including accounting policies, processes and systems, was not material.</w:t>
      </w:r>
    </w:p>
    <w:p>
      <w:pPr>
        <w:spacing w:after="0" w:line="119"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w:t>
      </w:r>
      <w:r>
        <w:rPr>
          <w:rFonts w:ascii="Times New Roman" w:cs="Times New Roman" w:eastAsia="Times New Roman" w:hAnsi="Times New Roman"/>
          <w:sz w:val="18"/>
          <w:szCs w:val="18"/>
          <w:i w:val="1"/>
          <w:iCs w:val="1"/>
          <w:color w:val="auto"/>
        </w:rPr>
        <w:t>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2021-08”). ASU 2021-08 addresses inconsistency related to the recognition and measurement of contract assets and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acquired in a business combination. ASU 2021-08 requires that an acquirer recognize and measure contract assets and contract liabilities acquired in a business combination as if it had originated the contracts, in accordance with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guidance is effective for fiscal years beginning after December 15, 2022 and interim periods within those fiscal years. Early adoption of the amendments is permitted and an entity that early adopts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has early adopted ASU 2021-08 effective January 1, 2021, and the impact of adoption of this standard on the consolidated financial statements was not material.</w:t>
      </w:r>
    </w:p>
    <w:p>
      <w:pPr>
        <w:spacing w:after="0" w:line="200" w:lineRule="exact"/>
        <w:rPr>
          <w:sz w:val="20"/>
          <w:szCs w:val="20"/>
          <w:color w:val="auto"/>
        </w:rPr>
      </w:pPr>
    </w:p>
    <w:p>
      <w:pPr>
        <w:spacing w:after="0" w:line="394" w:lineRule="exact"/>
        <w:rPr>
          <w:sz w:val="20"/>
          <w:szCs w:val="20"/>
          <w:color w:val="auto"/>
        </w:rPr>
      </w:pPr>
    </w:p>
    <w:p>
      <w:pPr>
        <w:ind w:right="6400" w:firstLine="6"/>
        <w:spacing w:after="0" w:line="383" w:lineRule="auto"/>
        <w:tabs>
          <w:tab w:leader="none" w:pos="249"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Other Long-term Investments Fair Value Measurements</w:t>
      </w: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no assets or liabilities requiring fair value hierarchy disclosures as of December 31, 2022 and 2021, except as noted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Money Market Accounts</w:t>
      </w:r>
    </w:p>
    <w:p>
      <w:pPr>
        <w:spacing w:after="0" w:line="59" w:lineRule="exact"/>
        <w:rPr>
          <w:sz w:val="20"/>
          <w:szCs w:val="20"/>
          <w:color w:val="auto"/>
        </w:rPr>
      </w:pPr>
    </w:p>
    <w:p>
      <w:pPr>
        <w:ind w:right="20" w:firstLine="396"/>
        <w:spacing w:after="0" w:line="257" w:lineRule="auto"/>
        <w:rPr>
          <w:sz w:val="20"/>
          <w:szCs w:val="20"/>
          <w:color w:val="auto"/>
        </w:rPr>
      </w:pPr>
      <w:r>
        <w:rPr>
          <w:rFonts w:ascii="Times New Roman" w:cs="Times New Roman" w:eastAsia="Times New Roman" w:hAnsi="Times New Roman"/>
          <w:sz w:val="18"/>
          <w:szCs w:val="18"/>
          <w:color w:val="auto"/>
        </w:rPr>
        <w:t>Cash equivalents include money market accounts and are classified as a level 1 measurement based on quoted prices in active markets for identical assets that the reporting entity can access at the measurement date. As of December 31, 2021, the Company had cash equivalent balances of $195.1 million. As of December 31, 2022, the Company did not have any cash equivalent balances.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Measurements</w:t>
      </w:r>
    </w:p>
    <w:p>
      <w:pPr>
        <w:spacing w:after="0" w:line="59" w:lineRule="exact"/>
        <w:rPr>
          <w:sz w:val="20"/>
          <w:szCs w:val="20"/>
          <w:color w:val="auto"/>
        </w:rPr>
      </w:pPr>
    </w:p>
    <w:p>
      <w:pPr>
        <w:ind w:firstLine="396"/>
        <w:spacing w:after="0" w:line="284" w:lineRule="auto"/>
        <w:rPr>
          <w:sz w:val="20"/>
          <w:szCs w:val="20"/>
          <w:color w:val="auto"/>
        </w:rPr>
      </w:pPr>
      <w:r>
        <w:rPr>
          <w:rFonts w:ascii="Times New Roman" w:cs="Times New Roman" w:eastAsia="Times New Roman" w:hAnsi="Times New Roman"/>
          <w:sz w:val="16"/>
          <w:szCs w:val="16"/>
          <w:color w:val="auto"/>
        </w:rPr>
        <w:t>The carrying amounts of cash, accounts receivable, restricted cash,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its fair value. In 2022, the Company recorded an impairment charge related to a portion of its right-of-use assets and property and equipment triggered by the Company’s decision to cease using certain office spaces. See Note 15, Leasing for further discussion.</w:t>
      </w: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80" w:name="page81"/>
    <w:bookmarkEnd w:id="8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38" w:lineRule="exact"/>
        <w:rPr>
          <w:sz w:val="20"/>
          <w:szCs w:val="20"/>
          <w:color w:val="auto"/>
        </w:rPr>
      </w:pPr>
    </w:p>
    <w:p>
      <w:pPr>
        <w:ind w:right="100"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2022 and 2021, the Company’s Long-Term Investments totaled $20.0 million, which is reported within other assets on the Consolidated Balance Sheets. The Company uses the measurement alternative for equity investments with no readily determinable fair value and are reported at cost, adjusted for impairments or any observable price changes in ordinary transactions with identical or similar investments.</w:t>
      </w:r>
    </w:p>
    <w:p>
      <w:pPr>
        <w:spacing w:after="0" w:line="113" w:lineRule="exact"/>
        <w:rPr>
          <w:sz w:val="20"/>
          <w:szCs w:val="20"/>
          <w:color w:val="auto"/>
        </w:rPr>
      </w:pPr>
    </w:p>
    <w:p>
      <w:pPr>
        <w:ind w:right="140" w:firstLine="396"/>
        <w:spacing w:after="0" w:line="294" w:lineRule="auto"/>
        <w:rPr>
          <w:sz w:val="20"/>
          <w:szCs w:val="20"/>
          <w:color w:val="auto"/>
        </w:rPr>
      </w:pPr>
      <w:r>
        <w:rPr>
          <w:rFonts w:ascii="Times New Roman" w:cs="Times New Roman" w:eastAsia="Times New Roman" w:hAnsi="Times New Roman"/>
          <w:sz w:val="16"/>
          <w:szCs w:val="16"/>
          <w:color w:val="auto"/>
        </w:rPr>
        <w:t>On a quarterly basis, the Company evaluates the carrying value of its Long-Term Investments for impairment, which includes an assessment of revenue growth, earnings performance, working capital and the general market conditions. For the years ended December 31, 2022 and 2021, no adjustments to the carrying values of the Company’s Long Term Investments were identified as a result of this assessment. Changes in performance negatively impacting operating results and cash flows of these investments could result in the Company recording an impairment charge in future periods.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ZCool Technologies Limited (“ZCool”)</w:t>
      </w:r>
    </w:p>
    <w:p>
      <w:pPr>
        <w:spacing w:after="0" w:line="138" w:lineRule="exact"/>
        <w:rPr>
          <w:sz w:val="20"/>
          <w:szCs w:val="20"/>
          <w:color w:val="auto"/>
        </w:rPr>
      </w:pPr>
    </w:p>
    <w:p>
      <w:pPr>
        <w:ind w:right="160" w:firstLine="396"/>
        <w:spacing w:after="0" w:line="257" w:lineRule="auto"/>
        <w:rPr>
          <w:sz w:val="20"/>
          <w:szCs w:val="20"/>
          <w:color w:val="auto"/>
        </w:rPr>
      </w:pPr>
      <w:r>
        <w:rPr>
          <w:rFonts w:ascii="Times New Roman" w:cs="Times New Roman" w:eastAsia="Times New Roman" w:hAnsi="Times New Roman"/>
          <w:sz w:val="18"/>
          <w:szCs w:val="18"/>
          <w:color w:val="auto"/>
        </w:rPr>
        <w:t>In 2018, the Company invested $15.0 million in convertible preferred shares issued by ZCool (the “Preferred Shares”). ZCool’s primary business is the operation of an e-commerce platform in China whereby customers can pay to license content contributed by creative professionals. ZCool and its affiliates have been the exclusive distributor of Shutterstock content in China since 2014.</w:t>
      </w:r>
    </w:p>
    <w:p>
      <w:pPr>
        <w:spacing w:after="0" w:line="74"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ZCool is a variable interest entity that is not consolidated because the Company is not the primary beneficiary. The Preferred Shares are not deemed to be in-substance common stock and are accounted for using the measurement alternative for equity investments with no readily determinable fair value.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59" w:lineRule="exact"/>
        <w:rPr>
          <w:sz w:val="20"/>
          <w:szCs w:val="20"/>
          <w:color w:val="auto"/>
        </w:rPr>
      </w:pPr>
    </w:p>
    <w:p>
      <w:pPr>
        <w:ind w:right="100" w:firstLine="396"/>
        <w:spacing w:after="0" w:line="269" w:lineRule="auto"/>
        <w:rPr>
          <w:sz w:val="20"/>
          <w:szCs w:val="20"/>
          <w:color w:val="auto"/>
        </w:rPr>
      </w:pPr>
      <w:r>
        <w:rPr>
          <w:rFonts w:ascii="Times New Roman" w:cs="Times New Roman" w:eastAsia="Times New Roman" w:hAnsi="Times New Roman"/>
          <w:sz w:val="18"/>
          <w:szCs w:val="18"/>
          <w:color w:val="auto"/>
        </w:rPr>
        <w:t>In 2020, the Company invested $5.0 million in preferred shares of an entity with a creative production and analytics platform. These preferred shares do not have a readily determinable fair value, and give the Company less than a 2% fully diluted ownership interest.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Pond5, Inc.</w:t>
      </w:r>
    </w:p>
    <w:p>
      <w:pPr>
        <w:spacing w:after="0" w:line="112"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color w:val="auto"/>
        </w:rPr>
        <w:t>On May 11, 2022, the Company completed its acquisition of all of the outstanding shares of Pond5, for approximately $218.0 million. The total purchase price was paid with existing cash on hand as well as a $50 million drawdown on a newly established revolving credit facility (See Note 7). In connection with the acquisition, the Company incurred approximately $4.0 million of transaction costs, which is included in general and administrative expenses on the Consolidated Statements of Operations.</w:t>
      </w:r>
    </w:p>
    <w:p>
      <w:pPr>
        <w:spacing w:after="0" w:line="77" w:lineRule="exact"/>
        <w:rPr>
          <w:sz w:val="20"/>
          <w:szCs w:val="20"/>
          <w:color w:val="auto"/>
        </w:rPr>
      </w:pPr>
    </w:p>
    <w:p>
      <w:pPr>
        <w:ind w:right="460" w:firstLine="396"/>
        <w:spacing w:after="0" w:line="269" w:lineRule="auto"/>
        <w:rPr>
          <w:sz w:val="20"/>
          <w:szCs w:val="20"/>
          <w:color w:val="auto"/>
        </w:rPr>
      </w:pPr>
      <w:r>
        <w:rPr>
          <w:rFonts w:ascii="Times New Roman" w:cs="Times New Roman" w:eastAsia="Times New Roman" w:hAnsi="Times New Roman"/>
          <w:sz w:val="18"/>
          <w:szCs w:val="18"/>
          <w:color w:val="auto"/>
        </w:rPr>
        <w:t>Pond5 is a New York based company that operates a video-first content marketplace for royalty-free and editorial video. The Company believes its acquisition of this video-first content marketplace provides expanded offerings across footage, image and music.</w:t>
      </w:r>
    </w:p>
    <w:p>
      <w:pPr>
        <w:spacing w:after="0" w:line="64" w:lineRule="exact"/>
        <w:rPr>
          <w:sz w:val="20"/>
          <w:szCs w:val="20"/>
          <w:color w:val="auto"/>
        </w:rPr>
      </w:pPr>
    </w:p>
    <w:p>
      <w:pPr>
        <w:ind w:right="260" w:firstLine="396"/>
        <w:spacing w:after="0" w:line="257"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and trade names have weighted average useful lives of approximately 14.2 years, 5 years and 10 years,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Splash News</w:t>
      </w:r>
    </w:p>
    <w:p>
      <w:pPr>
        <w:spacing w:after="0" w:line="112" w:lineRule="exact"/>
        <w:rPr>
          <w:sz w:val="20"/>
          <w:szCs w:val="20"/>
          <w:color w:val="auto"/>
        </w:rPr>
      </w:pPr>
    </w:p>
    <w:p>
      <w:pPr>
        <w:ind w:right="400" w:firstLine="396"/>
        <w:spacing w:after="0" w:line="304" w:lineRule="auto"/>
        <w:rPr>
          <w:sz w:val="20"/>
          <w:szCs w:val="20"/>
          <w:color w:val="auto"/>
        </w:rPr>
      </w:pPr>
      <w:r>
        <w:rPr>
          <w:rFonts w:ascii="Times New Roman" w:cs="Times New Roman" w:eastAsia="Times New Roman" w:hAnsi="Times New Roman"/>
          <w:sz w:val="16"/>
          <w:szCs w:val="16"/>
          <w:color w:val="auto"/>
        </w:rPr>
        <w:t>On May 28, 2022, the Company completed its acquisition of all of the outstanding shares of Splash News, for approximately $6.3 million. The total purchase price was paid with existing cash on hand in the three months ended June 30, 2022. In connection with the acquisition, the Company incurred approximately $0.3 million of transaction costs, which is included in general and administrative expenses on the Consolidated Statements of Operations.</w:t>
      </w:r>
    </w:p>
    <w:p>
      <w:pPr>
        <w:spacing w:after="0" w:line="39" w:lineRule="exact"/>
        <w:rPr>
          <w:sz w:val="20"/>
          <w:szCs w:val="20"/>
          <w:color w:val="auto"/>
        </w:rPr>
      </w:pPr>
    </w:p>
    <w:p>
      <w:pPr>
        <w:ind w:right="280" w:firstLine="396"/>
        <w:spacing w:after="0" w:line="269" w:lineRule="auto"/>
        <w:rPr>
          <w:sz w:val="20"/>
          <w:szCs w:val="20"/>
          <w:color w:val="auto"/>
        </w:rPr>
      </w:pPr>
      <w:r>
        <w:rPr>
          <w:rFonts w:ascii="Times New Roman" w:cs="Times New Roman" w:eastAsia="Times New Roman" w:hAnsi="Times New Roman"/>
          <w:sz w:val="18"/>
          <w:szCs w:val="18"/>
          <w:color w:val="auto"/>
        </w:rPr>
        <w:t>Splash News is a United Kingdom based entertainment news network and is a source for image and video content across celebrity, red carpet and live events. The Company believes this acquisition expands Shutterstock Editorial’s Newsroom offering for access to premium exclusive content.</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81" w:name="page82"/>
    <w:bookmarkEnd w:id="8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firstLine="396"/>
        <w:spacing w:after="0" w:line="269" w:lineRule="auto"/>
        <w:rPr>
          <w:sz w:val="20"/>
          <w:szCs w:val="20"/>
          <w:color w:val="auto"/>
        </w:rPr>
      </w:pPr>
      <w:r>
        <w:rPr>
          <w:rFonts w:ascii="Times New Roman" w:cs="Times New Roman" w:eastAsia="Times New Roman" w:hAnsi="Times New Roman"/>
          <w:sz w:val="18"/>
          <w:szCs w:val="18"/>
          <w:color w:val="auto"/>
        </w:rPr>
        <w:t>The identifiable intangible asset, developed technology, has a useful life of approximately 4 years. The goodwill arising from the transaction is primarily attributable to expected operational synergies and is not deductible for income tax purposes.</w:t>
      </w:r>
    </w:p>
    <w:p>
      <w:pPr>
        <w:spacing w:after="0" w:line="64" w:lineRule="exact"/>
        <w:rPr>
          <w:sz w:val="20"/>
          <w:szCs w:val="20"/>
          <w:color w:val="auto"/>
        </w:rPr>
      </w:pPr>
    </w:p>
    <w:p>
      <w:pPr>
        <w:ind w:right="60" w:firstLine="396"/>
        <w:spacing w:after="0" w:line="247" w:lineRule="auto"/>
        <w:rPr>
          <w:sz w:val="20"/>
          <w:szCs w:val="20"/>
          <w:color w:val="auto"/>
        </w:rPr>
      </w:pPr>
      <w:r>
        <w:rPr>
          <w:rFonts w:ascii="Times New Roman" w:cs="Times New Roman" w:eastAsia="Times New Roman" w:hAnsi="Times New Roman"/>
          <w:sz w:val="18"/>
          <w:szCs w:val="18"/>
          <w:color w:val="auto"/>
        </w:rPr>
        <w:t>The Pond5 and Splash News transactions were accounted for using the acquisition method and, accordingly, the results of the acquired businesses have been included in the Company’s results of operations from the respective acquisition dates. For the twelve months ended December 31, 2022, revenue of $36.7 million, was included in the Consolidated Statements of Operations related to these acquired companies. The fair value of consideration transferred in these business combinations has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 was determined using the relief-from-royalty method, and the fair value of the developed technology was determined using the relief-from-royalty and the cost to recreate methods. Determining the fair value of the customer relationships intangible assets requires management to use significant judgment and estimates, including estimates of future revenue growth rates for existing customers, the discount rate, earnings before interest, taxes and amortization (“EBITA”) margins and the customer attrition rate, among others.</w:t>
      </w: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these acquisitions has been allocated to the assets acquired and liabilities assumed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 (in thousands):</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Pond5</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Splash News</w:t>
            </w:r>
            <w:r>
              <w:rPr>
                <w:rFonts w:ascii="Times New Roman" w:cs="Times New Roman" w:eastAsia="Times New Roman" w:hAnsi="Times New Roman"/>
                <w:sz w:val="18"/>
                <w:szCs w:val="18"/>
                <w:b w:val="1"/>
                <w:bCs w:val="1"/>
                <w:color w:val="auto"/>
                <w:vertAlign w:val="superscript"/>
              </w:rPr>
              <w:t>1</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11,675</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11,855</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r>
      <w:tr>
        <w:trPr>
          <w:trHeight w:val="209"/>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relationships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w:t>
            </w:r>
          </w:p>
        </w:tc>
      </w:tr>
      <w:tr>
        <w:trPr>
          <w:trHeight w:val="21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27,600</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28,863</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67,800</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69,063</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158,957</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164,522</w:t>
            </w:r>
          </w:p>
        </w:tc>
      </w:tr>
      <w:tr>
        <w:trPr>
          <w:trHeight w:val="20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242,481</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8,033</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250,514</w:t>
            </w:r>
          </w:p>
        </w:tc>
      </w:tr>
      <w:tr>
        <w:trPr>
          <w:trHeight w:val="74"/>
        </w:trPr>
        <w:tc>
          <w:tcPr>
            <w:tcW w:w="6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211"/>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(10,832)</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(6,570)</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r>
      <w:tr>
        <w:trPr>
          <w:trHeight w:val="20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(24,467)</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(26,184)</w:t>
            </w:r>
          </w:p>
        </w:tc>
      </w:tr>
      <w:tr>
        <w:trPr>
          <w:trHeight w:val="231"/>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218,014</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224,330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____________________________________________________</w:t>
      </w:r>
    </w:p>
    <w:p>
      <w:pPr>
        <w:spacing w:after="0" w:line="121" w:lineRule="exact"/>
        <w:rPr>
          <w:sz w:val="20"/>
          <w:szCs w:val="20"/>
          <w:color w:val="auto"/>
        </w:rPr>
      </w:pPr>
    </w:p>
    <w:p>
      <w:pPr>
        <w:ind w:firstLine="6"/>
        <w:spacing w:after="0" w:line="238" w:lineRule="auto"/>
        <w:tabs>
          <w:tab w:leader="none" w:pos="81"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allocation of the purchase price is preliminary and will be finalized within the allowable measurement period once independent valuations of the fair value of the assets acquired and liabilities assumed are completed. During the three months ended September 30, 2022, the Company updated its preliminary allocation of the Pond5 purchase price to the assets acquired and liabilities assumed. This resulted in a (i) $4.0 million increase to goodwill, (ii) a $4.1 million decrease to intangible assets, including a $7.0 million decrease to the value of customer relationships, partially offset by a $2.3 million increase to the value of the developed technology, and (iii) other immaterial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2" w:name="page83"/>
    <w:bookmarkEnd w:id="8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Acquisitions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PicMonkey, LLC</w:t>
      </w:r>
    </w:p>
    <w:p>
      <w:pPr>
        <w:spacing w:after="0" w:line="112" w:lineRule="exact"/>
        <w:rPr>
          <w:sz w:val="20"/>
          <w:szCs w:val="20"/>
          <w:color w:val="auto"/>
        </w:rPr>
      </w:pPr>
    </w:p>
    <w:p>
      <w:pPr>
        <w:ind w:right="60" w:firstLine="396"/>
        <w:spacing w:after="0" w:line="253" w:lineRule="auto"/>
        <w:rPr>
          <w:sz w:val="20"/>
          <w:szCs w:val="20"/>
          <w:color w:val="auto"/>
        </w:rPr>
      </w:pPr>
      <w:r>
        <w:rPr>
          <w:rFonts w:ascii="Times New Roman" w:cs="Times New Roman" w:eastAsia="Times New Roman" w:hAnsi="Times New Roman"/>
          <w:sz w:val="18"/>
          <w:szCs w:val="18"/>
          <w:color w:val="auto"/>
        </w:rPr>
        <w:t>On September 3, 2021, the Company completed the acquisition of substantially all of the assets and assumption of certain liabilities from PicMonkey, LLC (“PicMonkey”), for approximately $109.4 million. The total purchase price was paid with existing cash on hand in the three months ended September 30, 2021. In connection with the acquisition, the Company incurred approximately $2 million of transaction costs, which is included in general and administrative expenses in the Consolidated Statements of Operations.</w:t>
      </w:r>
    </w:p>
    <w:p>
      <w:pPr>
        <w:spacing w:after="0" w:line="77" w:lineRule="exact"/>
        <w:rPr>
          <w:sz w:val="20"/>
          <w:szCs w:val="20"/>
          <w:color w:val="auto"/>
        </w:rPr>
      </w:pPr>
    </w:p>
    <w:p>
      <w:pPr>
        <w:ind w:right="60" w:firstLine="396"/>
        <w:spacing w:after="0" w:line="257" w:lineRule="auto"/>
        <w:rPr>
          <w:sz w:val="20"/>
          <w:szCs w:val="20"/>
          <w:color w:val="auto"/>
        </w:rPr>
      </w:pPr>
      <w:r>
        <w:rPr>
          <w:rFonts w:ascii="Times New Roman" w:cs="Times New Roman" w:eastAsia="Times New Roman" w:hAnsi="Times New Roman"/>
          <w:sz w:val="18"/>
          <w:szCs w:val="18"/>
          <w:color w:val="auto"/>
        </w:rPr>
        <w:t>PicMonkey is a Washington-based company that operates an online graphic design and image editing platform that enables creators of any skill level to design high-quality visual assets. The Company believes this acquisition provides Shutterstock’s global customer community with professional-grade, easy-to-use design tools.</w:t>
      </w:r>
    </w:p>
    <w:p>
      <w:pPr>
        <w:spacing w:after="0" w:line="74" w:lineRule="exact"/>
        <w:rPr>
          <w:sz w:val="20"/>
          <w:szCs w:val="20"/>
          <w:color w:val="auto"/>
        </w:rPr>
      </w:pPr>
    </w:p>
    <w:p>
      <w:pPr>
        <w:ind w:right="40" w:firstLine="396"/>
        <w:spacing w:after="0" w:line="257"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and trade names, have weighted average useful lives of approximately 12 years, 5 years and 10 years, respectively. The goodwill arising from the transaction is primarily attributable to expected operational synergies and is expected to be deductible for income tax purposes.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TurboSquid, Inc.</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February 1, 2021, the Company completed its acquisition of all of the outstanding shares of TurboSquid, Inc. (“TurboSquid”), for approximately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$77.3 million. The total purchase price was paid with existing cash on hand in the three months ended March 31, 2021. In connection with the acquisition,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incurred approximately $1.6 million of transaction costs, which is included in general and administrative expenses on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92" w:lineRule="exact"/>
        <w:rPr>
          <w:sz w:val="20"/>
          <w:szCs w:val="20"/>
          <w:color w:val="auto"/>
        </w:rPr>
      </w:pPr>
    </w:p>
    <w:p>
      <w:pPr>
        <w:ind w:right="500" w:firstLine="396"/>
        <w:spacing w:after="0" w:line="257" w:lineRule="auto"/>
        <w:rPr>
          <w:sz w:val="20"/>
          <w:szCs w:val="20"/>
          <w:color w:val="auto"/>
        </w:rPr>
      </w:pPr>
      <w:r>
        <w:rPr>
          <w:rFonts w:ascii="Times New Roman" w:cs="Times New Roman" w:eastAsia="Times New Roman" w:hAnsi="Times New Roman"/>
          <w:sz w:val="18"/>
          <w:szCs w:val="18"/>
          <w:color w:val="auto"/>
        </w:rPr>
        <w:t>TurboSquid is a Louisiana-based company that operates a marketplace offering more than one million 3D models, a marketplace for 2 dimensional (“2D”) images derived from 3D objects and a digital asset management solution. The Company believes this acquisition establishes Shutterstock as the premium destination for 3D models as well as 3D models in an easy-to-use 2D format.</w:t>
      </w:r>
    </w:p>
    <w:p>
      <w:pPr>
        <w:spacing w:after="0" w:line="74" w:lineRule="exact"/>
        <w:rPr>
          <w:sz w:val="20"/>
          <w:szCs w:val="20"/>
          <w:color w:val="auto"/>
        </w:rPr>
      </w:pPr>
    </w:p>
    <w:p>
      <w:pPr>
        <w:ind w:right="60" w:firstLine="396"/>
        <w:spacing w:after="0" w:line="257"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trade names and contributor content, have weighted average useful lives of approximately 12 years, 4.7 years, 10 years and 4 years,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17" w:lineRule="exact"/>
        <w:rPr>
          <w:sz w:val="20"/>
          <w:szCs w:val="20"/>
          <w:color w:val="auto"/>
        </w:rPr>
      </w:pPr>
    </w:p>
    <w:p>
      <w:pPr>
        <w:ind w:right="100" w:firstLine="396"/>
        <w:spacing w:after="0" w:line="282" w:lineRule="auto"/>
        <w:rPr>
          <w:sz w:val="20"/>
          <w:szCs w:val="20"/>
          <w:color w:val="auto"/>
        </w:rPr>
      </w:pPr>
      <w:r>
        <w:rPr>
          <w:rFonts w:ascii="Times New Roman" w:cs="Times New Roman" w:eastAsia="Times New Roman" w:hAnsi="Times New Roman"/>
          <w:sz w:val="16"/>
          <w:szCs w:val="16"/>
          <w:color w:val="auto"/>
        </w:rPr>
        <w:t>The PicMonkey and TurboSquid transactions were accounted for using the acquisition method and, accordingly, the results of the acquired businesses have been included in the Company’s results of operations from the respective acquisition dates. For the year ended December 31, 2022, PicMonkey and TurboSquid revenues of $26.0 million and $28.3 million, respectively, are included in the Consolidated Statements of Operations. The fair value of consideration transferred in these business combinations have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names and developed technology were determined using the relief-from-royalty method, and the fair value of the contributor content was determined using the cost-to-recreate method. Determining the fair value requires management to use significant judgment and estimates, including estimates of future revenue growth rates, research and development expense adjustments, sales and marketing expense adjustments, the discount rate, earnings before interest, taxes, and amortization (“EBITA”) margins and the customer attrition rate, among others.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these acquisitions have been allocated to the assets acquired and liabilities assumed as follows (in thousands):</w:t>
      </w:r>
    </w:p>
    <w:p>
      <w:pPr>
        <w:spacing w:after="0" w:line="200" w:lineRule="exact"/>
        <w:rPr>
          <w:sz w:val="20"/>
          <w:szCs w:val="20"/>
          <w:color w:val="auto"/>
        </w:rPr>
      </w:pPr>
    </w:p>
    <w:p>
      <w:pPr>
        <w:spacing w:after="0" w:line="3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3" w:name="page84"/>
    <w:bookmarkEnd w:id="8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 (in thousands):</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PicMonkey</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TurboSquid</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209"/>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relationships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37,800</w:t>
            </w: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r>
      <w:tr>
        <w:trPr>
          <w:trHeight w:val="21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20,700</w:t>
            </w:r>
          </w:p>
        </w:tc>
      </w:tr>
      <w:tr>
        <w:trPr>
          <w:trHeight w:val="209"/>
        </w:trPr>
        <w:tc>
          <w:tcPr>
            <w:tcW w:w="6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Contributor content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06"/>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44,700</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66,200</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71,607</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59,491</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131,098</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r>
      <w:tr>
        <w:trPr>
          <w:trHeight w:val="20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120,685</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88,181</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208,866</w:t>
            </w:r>
          </w:p>
        </w:tc>
      </w:tr>
      <w:tr>
        <w:trPr>
          <w:trHeight w:val="35"/>
        </w:trPr>
        <w:tc>
          <w:tcPr>
            <w:tcW w:w="6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1"/>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20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(11,290)</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(22,141)</w:t>
            </w:r>
          </w:p>
        </w:tc>
      </w:tr>
      <w:tr>
        <w:trPr>
          <w:trHeight w:val="231"/>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109,395</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77,330</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186,725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 (unaudited)</w:t>
      </w:r>
    </w:p>
    <w:p>
      <w:pPr>
        <w:spacing w:after="0" w:line="112" w:lineRule="exact"/>
        <w:rPr>
          <w:sz w:val="20"/>
          <w:szCs w:val="20"/>
          <w:color w:val="auto"/>
        </w:rPr>
      </w:pPr>
    </w:p>
    <w:p>
      <w:pPr>
        <w:ind w:firstLine="396"/>
        <w:spacing w:after="0" w:line="283" w:lineRule="auto"/>
        <w:rPr>
          <w:sz w:val="20"/>
          <w:szCs w:val="20"/>
          <w:color w:val="auto"/>
        </w:rPr>
      </w:pPr>
      <w:r>
        <w:rPr>
          <w:rFonts w:ascii="Times New Roman" w:cs="Times New Roman" w:eastAsia="Times New Roman" w:hAnsi="Times New Roman"/>
          <w:sz w:val="16"/>
          <w:szCs w:val="16"/>
          <w:color w:val="auto"/>
        </w:rPr>
        <w:t>The following unaudited pro forma consolidated financial information (in thousands) reflects the results of operations of the Company for the twelve months ended December 31, 2022 and 2021, as if the Pond5 and Splash News acquisitions had been completed on January 1, 2021 and as if the TurboSquid and PicMonkey acquisitions had been completed on January 1, 2020, after giving effect to certain purchase accounting adjustments, primarily related to intangible assets and transaction costs. These pro forma results have been prepared for comparative purposes only and are not necessarily indicative of what the Company’s operating results would have been, had the acquisitions actually taken place at the beginning of the previous annual period.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83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3"/>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773,415</w:t>
            </w:r>
          </w:p>
        </w:tc>
      </w:tr>
      <w:tr>
        <w:trPr>
          <w:trHeight w:val="209"/>
        </w:trPr>
        <w:tc>
          <w:tcPr>
            <w:tcW w:w="8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851,585</w:t>
            </w:r>
          </w:p>
        </w:tc>
      </w:tr>
      <w:tr>
        <w:trPr>
          <w:trHeight w:val="21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8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104,736</w:t>
            </w:r>
          </w:p>
        </w:tc>
      </w:tr>
      <w:tr>
        <w:trPr>
          <w:trHeight w:val="213"/>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106,522</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Acquisitions</w:t>
      </w:r>
    </w:p>
    <w:p>
      <w:pPr>
        <w:spacing w:after="0" w:line="112" w:lineRule="exact"/>
        <w:rPr>
          <w:sz w:val="20"/>
          <w:szCs w:val="20"/>
          <w:color w:val="auto"/>
        </w:rPr>
      </w:pPr>
    </w:p>
    <w:p>
      <w:pPr>
        <w:jc w:val="both"/>
        <w:ind w:right="100" w:firstLine="396"/>
        <w:spacing w:after="0" w:line="257" w:lineRule="auto"/>
        <w:rPr>
          <w:sz w:val="20"/>
          <w:szCs w:val="20"/>
          <w:color w:val="auto"/>
        </w:rPr>
      </w:pPr>
      <w:r>
        <w:rPr>
          <w:rFonts w:ascii="Times New Roman" w:cs="Times New Roman" w:eastAsia="Times New Roman" w:hAnsi="Times New Roman"/>
          <w:sz w:val="18"/>
          <w:szCs w:val="18"/>
          <w:color w:val="auto"/>
        </w:rPr>
        <w:t>In July 2021, the Company completed the acquisitions of Pattern89, Inc., Datasine Limited and assets from Shotzr, Inc. These three entities provide data driven insights through their artificial intelligence platforms. The aggregate purchase price for these transactions was approximately $35 million and is subject to customary working capital and other adjustments and was</w:t>
      </w: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4" w:name="page85"/>
    <w:bookmarkEnd w:id="8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paid from existing cash on hand. Approximately $3.4 million of the total purchase consideration was subject to contractual holdback provisions and was paid during 2022. The Company has accounted for these transactions as asset acquisitions and has recorded a total of $41 million of developed technology intangible assets, which are being amortized on a straight-line basis over a useful life of 3 years.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4"/>
        </w:trPr>
        <w:tc>
          <w:tcPr>
            <w:tcW w:w="8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221,429</w:t>
            </w: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w:t>
            </w:r>
          </w:p>
        </w:tc>
      </w:tr>
      <w:tr>
        <w:trPr>
          <w:trHeight w:val="21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19,453</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251,120</w:t>
            </w: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(235,482)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(203,046)</w:t>
            </w:r>
          </w:p>
        </w:tc>
      </w:tr>
      <w:tr>
        <w:trPr>
          <w:trHeight w:val="206"/>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54,548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48,074</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firstLine="396"/>
        <w:spacing w:after="0" w:line="253"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amounted to $34.0 million, $31.7 million and $35.6 million, for the years ended December 31, 2022, 2021 and 2020, respectively. Of these amounts, $31.0 million, $28.4 million and $31.6 million are included in cost of revenue for the years ended December 31, 2022, 2021 and 2020, respectively, and $3.0 million, $3.3 million and $4.0 million are included in general and administrative expense for the years ended December 31, 2022, 2021 and 2020, respectively.</w:t>
      </w:r>
    </w:p>
    <w:p>
      <w:pPr>
        <w:spacing w:after="0" w:line="103" w:lineRule="exact"/>
        <w:rPr>
          <w:sz w:val="20"/>
          <w:szCs w:val="20"/>
          <w:color w:val="auto"/>
        </w:rPr>
      </w:pPr>
    </w:p>
    <w:p>
      <w:pPr>
        <w:ind w:right="120" w:firstLine="396"/>
        <w:spacing w:after="0" w:line="269" w:lineRule="auto"/>
        <w:rPr>
          <w:sz w:val="20"/>
          <w:szCs w:val="20"/>
          <w:color w:val="auto"/>
        </w:rPr>
      </w:pPr>
      <w:r>
        <w:rPr>
          <w:rFonts w:ascii="Times New Roman" w:cs="Times New Roman" w:eastAsia="Times New Roman" w:hAnsi="Times New Roman"/>
          <w:sz w:val="18"/>
          <w:szCs w:val="18"/>
          <w:color w:val="auto"/>
        </w:rPr>
        <w:t>Depreciation and amortization expense is included in cost of revenue and general and administrative expense based on the nature of the asset. There was no loss on disposal for the years ended December 31, 2022, 2021 and 2020, respectively.</w:t>
      </w:r>
    </w:p>
    <w:p>
      <w:pPr>
        <w:spacing w:after="0" w:line="103" w:lineRule="exact"/>
        <w:rPr>
          <w:sz w:val="20"/>
          <w:szCs w:val="20"/>
          <w:color w:val="auto"/>
        </w:rPr>
      </w:pPr>
    </w:p>
    <w:p>
      <w:pPr>
        <w:ind w:right="700" w:firstLine="396"/>
        <w:spacing w:after="0" w:line="269" w:lineRule="auto"/>
        <w:rPr>
          <w:sz w:val="20"/>
          <w:szCs w:val="20"/>
          <w:color w:val="auto"/>
        </w:rPr>
      </w:pPr>
      <w:r>
        <w:rPr>
          <w:rFonts w:ascii="Times New Roman" w:cs="Times New Roman" w:eastAsia="Times New Roman" w:hAnsi="Times New Roman"/>
          <w:sz w:val="18"/>
          <w:szCs w:val="18"/>
          <w:color w:val="auto"/>
        </w:rPr>
        <w:t>In 2022, the Company recorded an impairment charge of $2.8 million primarily related to certain of its leasehold improvements triggered by the Company’s decision to cease using certain office spaces. See Note 15, Leasing for further discussion.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9"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The Company capitalized costs related to the development of internal-use software of $40.7 million, $27.8 million and $25.1 million for the years ended December 31, 2022, 2021 and 2020, respectively. Capitalized amounts are included as a component of property and equipment under computer equipment and software. During 2022, 2021 and 2020, the Company invested significantly in its product development and hosting infrastructure to enhance its customer experience and increase the efficiency with which management deploys new products and features.</w:t>
      </w:r>
    </w:p>
    <w:p>
      <w:pPr>
        <w:spacing w:after="0" w:line="77" w:lineRule="exact"/>
        <w:rPr>
          <w:sz w:val="20"/>
          <w:szCs w:val="20"/>
          <w:color w:val="auto"/>
        </w:rPr>
      </w:pPr>
    </w:p>
    <w:p>
      <w:pPr>
        <w:ind w:right="140" w:firstLine="396"/>
        <w:spacing w:after="0" w:line="257" w:lineRule="auto"/>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$29.6 million, $26.9 million and $28.9 million for the years ended December 31, 2022, 2021 and 2020, respectively. Depreciation expense related to capitalized internal-use software is included in cost of revenue in the Consolidated Statement of Operations.</w:t>
      </w:r>
    </w:p>
    <w:p>
      <w:pPr>
        <w:spacing w:after="0" w:line="74" w:lineRule="exact"/>
        <w:rPr>
          <w:sz w:val="20"/>
          <w:szCs w:val="20"/>
          <w:color w:val="auto"/>
        </w:rPr>
      </w:pPr>
    </w:p>
    <w:p>
      <w:pPr>
        <w:ind w:right="780" w:firstLine="396"/>
        <w:spacing w:after="0" w:line="269" w:lineRule="auto"/>
        <w:rPr>
          <w:sz w:val="20"/>
          <w:szCs w:val="20"/>
          <w:color w:val="auto"/>
        </w:rPr>
      </w:pPr>
      <w:r>
        <w:rPr>
          <w:rFonts w:ascii="Times New Roman" w:cs="Times New Roman" w:eastAsia="Times New Roman" w:hAnsi="Times New Roman"/>
          <w:sz w:val="18"/>
          <w:szCs w:val="18"/>
          <w:color w:val="auto"/>
        </w:rPr>
        <w:t>As of December 31, 2022 and 2021, the Company had capitalized internal-use software of $50.1 million and $39.0 million, respectively, net of accumulated depreciation, which was included in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5" w:name="page86"/>
    <w:bookmarkEnd w:id="8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goodwill balance for the year ended December 31, 2022 (in thousands):</w:t>
      </w:r>
    </w:p>
    <w:p>
      <w:pPr>
        <w:spacing w:after="0" w:line="51"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35495" cy="142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Goodwill related to acquisitions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135495" cy="133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181" w:hanging="1181"/>
        <w:spacing w:after="0"/>
        <w:tabs>
          <w:tab w:leader="none" w:pos="118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219,816</w:t>
      </w:r>
    </w:p>
    <w:p>
      <w:pPr>
        <w:spacing w:after="0" w:line="27" w:lineRule="exact"/>
        <w:rPr>
          <w:rFonts w:ascii="Times New Roman" w:cs="Times New Roman" w:eastAsia="Times New Roman" w:hAnsi="Times New Roman"/>
          <w:sz w:val="16"/>
          <w:szCs w:val="16"/>
          <w:color w:val="auto"/>
        </w:rPr>
      </w:pPr>
    </w:p>
    <w:p>
      <w:pPr>
        <w:ind w:left="118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164,522</w:t>
      </w:r>
    </w:p>
    <w:p>
      <w:pPr>
        <w:spacing w:after="0" w:line="27" w:lineRule="exact"/>
        <w:rPr>
          <w:rFonts w:ascii="Times New Roman" w:cs="Times New Roman" w:eastAsia="Times New Roman" w:hAnsi="Times New Roman"/>
          <w:sz w:val="16"/>
          <w:szCs w:val="16"/>
          <w:color w:val="auto"/>
        </w:rPr>
      </w:pPr>
    </w:p>
    <w:p>
      <w:pPr>
        <w:ind w:left="128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24765</wp:posOffset>
            </wp:positionV>
            <wp:extent cx="11309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32" w:lineRule="exact"/>
        <w:rPr>
          <w:sz w:val="20"/>
          <w:szCs w:val="20"/>
          <w:color w:val="auto"/>
        </w:rPr>
      </w:pPr>
    </w:p>
    <w:p>
      <w:pPr>
        <w:ind w:left="1181" w:hanging="1181"/>
        <w:spacing w:after="0"/>
        <w:tabs>
          <w:tab w:leader="none" w:pos="118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381,920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wp:posOffset>
            </wp:positionV>
            <wp:extent cx="11309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3093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42545</wp:posOffset>
            </wp:positionV>
            <wp:extent cx="11309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59" w:space="720"/>
            <w:col w:w="1741"/>
          </w:cols>
          <w:pgMar w:left="320" w:top="266" w:right="359" w:bottom="1440" w:gutter="0" w:footer="0" w:header="0"/>
          <w:type w:val="continuous"/>
        </w:sectPr>
      </w:pPr>
    </w:p>
    <w:p>
      <w:pPr>
        <w:spacing w:after="0" w:line="73" w:lineRule="exact"/>
        <w:rPr>
          <w:sz w:val="20"/>
          <w:szCs w:val="20"/>
          <w:color w:val="auto"/>
        </w:rPr>
      </w:pPr>
    </w:p>
    <w:p>
      <w:pPr>
        <w:ind w:firstLine="396"/>
        <w:spacing w:after="0" w:line="253" w:lineRule="auto"/>
        <w:rPr>
          <w:sz w:val="20"/>
          <w:szCs w:val="20"/>
          <w:color w:val="auto"/>
        </w:rPr>
      </w:pPr>
      <w:r>
        <w:rPr>
          <w:rFonts w:ascii="Times New Roman" w:cs="Times New Roman" w:eastAsia="Times New Roman" w:hAnsi="Times New Roman"/>
          <w:sz w:val="18"/>
          <w:szCs w:val="18"/>
          <w:color w:val="auto"/>
        </w:rPr>
        <w:t>In 2022, the Company’s goodwill balance was allocated to a single reporting unit. The Company performed its annual goodwill assessment as of October 1, 2022 and concluded that the fair value of its reporting unit was greater than its carrying amount, and therefore, no adjustment to the carrying value of goodwill was necessary. The Company utilized a qualitative assessment of its content business reporting unit to determine whether a quantitative assessment was necessary and determined there were no indicators of potential impairment.</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impairments of goodwill in any of the periods presented in the consolidated financial statements.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 of the following as of December 31, 2022 and 2021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80" w:type="dxa"/>
            <w:vAlign w:val="bottom"/>
            <w:gridSpan w:val="6"/>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0" w:type="dxa"/>
            <w:vAlign w:val="bottom"/>
            <w:gridSpan w:val="6"/>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24"/>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80" w:type="dxa"/>
            <w:vAlign w:val="bottom"/>
          </w:tcPr>
          <w:p>
            <w:pPr>
              <w:jc w:val="center"/>
              <w:ind w:right="44"/>
              <w:spacing w:after="0" w:line="127"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24"/>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20" w:type="dxa"/>
            <w:vAlign w:val="bottom"/>
          </w:tcPr>
          <w:p>
            <w:pPr>
              <w:jc w:val="center"/>
              <w:ind w:right="64"/>
              <w:spacing w:after="0" w:line="127"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3"/>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24"/>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64"/>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40" w:type="dxa"/>
            <w:vAlign w:val="bottom"/>
          </w:tcPr>
          <w:p>
            <w:pPr>
              <w:spacing w:after="0"/>
              <w:rPr>
                <w:sz w:val="12"/>
                <w:szCs w:val="12"/>
                <w:color w:val="auto"/>
              </w:rPr>
            </w:pPr>
          </w:p>
        </w:tc>
        <w:tc>
          <w:tcPr>
            <w:tcW w:w="740" w:type="dxa"/>
            <w:vAlign w:val="bottom"/>
          </w:tcPr>
          <w:p>
            <w:pPr>
              <w:jc w:val="center"/>
              <w:ind w:right="24"/>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64"/>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0" w:type="dxa"/>
            <w:vAlign w:val="bottom"/>
          </w:tcPr>
          <w:p>
            <w:pPr>
              <w:spacing w:after="0"/>
              <w:rPr>
                <w:sz w:val="16"/>
                <w:szCs w:val="16"/>
                <w:color w:val="auto"/>
              </w:rPr>
            </w:pPr>
          </w:p>
        </w:tc>
        <w:tc>
          <w:tcPr>
            <w:tcW w:w="7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6"/>
                <w:szCs w:val="16"/>
                <w:color w:val="auto"/>
              </w:rPr>
            </w:pPr>
          </w:p>
        </w:tc>
        <w:tc>
          <w:tcPr>
            <w:tcW w:w="7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88,996</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69,828</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55,542</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41,636</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59,584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53,726</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Contributor content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23,352</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4"/>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254,999</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(81,912)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173,087</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173,512</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(49,690)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123,822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color w:val="auto"/>
        </w:rPr>
        <w:t>Amortization expense related to the intangible assets was $34.5 million, $17.1 million and $5.8 million for the years ended December 31, 2022, 2021 and 2020, respectively. Of these amounts, $32.1 million, $13.1 million and $3.4 million are included in cost of revenue for the years ended December 31, 2022, 2021 and 2020, respectively, and $2.4 million, $4.0 million and $2.4 million are included in general and administrative expense for the years ended December 31, 2022, 2021 and 2020, respectively.</w:t>
      </w:r>
    </w:p>
    <w:p>
      <w:pPr>
        <w:spacing w:after="0" w:line="116" w:lineRule="exact"/>
        <w:rPr>
          <w:sz w:val="20"/>
          <w:szCs w:val="20"/>
          <w:color w:val="auto"/>
        </w:rPr>
      </w:pPr>
    </w:p>
    <w:p>
      <w:pPr>
        <w:jc w:val="both"/>
        <w:ind w:right="160" w:firstLine="396"/>
        <w:spacing w:after="0" w:line="257"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for the intangible assets for all periods presented. Estimated amortization expense for the next five years is: $38.7 million in 2023, $31.9 million in 2024, $21.6 million in 2025, $19.3 million in 2026, $13.1 million in 2027 and $48.5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type w:val="continuous"/>
        </w:sectPr>
      </w:pPr>
    </w:p>
    <w:bookmarkStart w:id="86" w:name="page87"/>
    <w:bookmarkEnd w:id="8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r>
      <w:tr>
        <w:trPr>
          <w:trHeight w:val="24"/>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5"/>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43,529</w:t>
            </w:r>
          </w:p>
        </w:tc>
      </w:tr>
      <w:tr>
        <w:trPr>
          <w:trHeight w:val="209"/>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21,488</w:t>
            </w:r>
          </w:p>
        </w:tc>
      </w:tr>
      <w:tr>
        <w:trPr>
          <w:trHeight w:val="21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18,314</w:t>
            </w:r>
          </w:p>
        </w:tc>
      </w:tr>
      <w:tr>
        <w:trPr>
          <w:trHeight w:val="209"/>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16,198</w:t>
            </w:r>
          </w:p>
        </w:tc>
      </w:tr>
      <w:tr>
        <w:trPr>
          <w:trHeight w:val="231"/>
        </w:trPr>
        <w:tc>
          <w:tcPr>
            <w:tcW w:w="8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89,387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99,529</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51" w:lineRule="exact"/>
        <w:rPr>
          <w:sz w:val="20"/>
          <w:szCs w:val="20"/>
          <w:color w:val="auto"/>
        </w:rPr>
      </w:pPr>
    </w:p>
    <w:p>
      <w:pPr>
        <w:ind w:right="120" w:firstLine="396"/>
        <w:spacing w:after="0" w:line="304" w:lineRule="auto"/>
        <w:rPr>
          <w:sz w:val="20"/>
          <w:szCs w:val="20"/>
          <w:color w:val="auto"/>
        </w:rPr>
      </w:pPr>
      <w:r>
        <w:rPr>
          <w:rFonts w:ascii="Times New Roman" w:cs="Times New Roman" w:eastAsia="Times New Roman" w:hAnsi="Times New Roman"/>
          <w:sz w:val="16"/>
          <w:szCs w:val="16"/>
          <w:color w:val="auto"/>
        </w:rPr>
        <w:t>On May 6, 2022, the Company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the Company’s option, revolving loans accrue interest at a per annum rate based on either (i) the base rate plus a margin ranging from 0.125%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the Company’s consolidated leverage ratio or (ii) the Term Secured Overnight Financing Rate (“SOFR”) (for interest periods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3 or 6 months) plus a margin ranging from 1.125% to 1.5%, determined based on the Company’s consolidated leverage ratio. The Company is also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pay an unused commitment fee ranging from 0.150% to 0.225%, determined based on the Company’s consolidated leverage ratio. In connection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the Company paid debt issuance costs of approximately $0.6 million.</w:t>
      </w:r>
    </w:p>
    <w:p>
      <w:pPr>
        <w:spacing w:after="0" w:line="92"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On May 9, 2022, the Company borrowed $50 million for use in connection with the acquisition of Pond5, described under Note 3 (“Acquisitions”) and for general corporate purposes. As of December 31, 2022, the Company had outstanding borrowings under the Credit Facility of $50 million and had a remaining borrowing capacity of $48 million, net of standby letters of credit. As of December 31, 2021, the Company had no outstanding debt obligations. For the year ended December 31, 2022, the Company recognized interest expense of $1.3 million. For the year ended December 31, 2022, the Company’s annualized interest rate was 3.8%.</w:t>
      </w:r>
    </w:p>
    <w:p>
      <w:pPr>
        <w:spacing w:after="0" w:line="83" w:lineRule="exact"/>
        <w:rPr>
          <w:sz w:val="20"/>
          <w:szCs w:val="20"/>
          <w:color w:val="auto"/>
        </w:rPr>
      </w:pPr>
    </w:p>
    <w:p>
      <w:pPr>
        <w:ind w:right="200" w:firstLine="396"/>
        <w:spacing w:after="0" w:line="269" w:lineRule="auto"/>
        <w:rPr>
          <w:sz w:val="20"/>
          <w:szCs w:val="20"/>
          <w:color w:val="auto"/>
        </w:rPr>
      </w:pPr>
      <w:r>
        <w:rPr>
          <w:rFonts w:ascii="Times New Roman" w:cs="Times New Roman" w:eastAsia="Times New Roman" w:hAnsi="Times New Roman"/>
          <w:sz w:val="18"/>
          <w:szCs w:val="18"/>
          <w:color w:val="auto"/>
        </w:rPr>
        <w:t>On January 27, 2023, the Company fully repaid its borrowings under the Credit Facility and had a remaining borrowing capacity of $98 million, net of standby letters of credit.</w:t>
      </w:r>
    </w:p>
    <w:p>
      <w:pPr>
        <w:spacing w:after="0" w:line="64" w:lineRule="exact"/>
        <w:rPr>
          <w:sz w:val="20"/>
          <w:szCs w:val="20"/>
          <w:color w:val="auto"/>
        </w:rPr>
      </w:pPr>
    </w:p>
    <w:p>
      <w:pPr>
        <w:ind w:right="100" w:firstLine="396"/>
        <w:spacing w:after="0" w:line="304" w:lineRule="auto"/>
        <w:rPr>
          <w:sz w:val="20"/>
          <w:szCs w:val="20"/>
          <w:color w:val="auto"/>
        </w:rPr>
      </w:pPr>
      <w:r>
        <w:rPr>
          <w:rFonts w:ascii="Times New Roman" w:cs="Times New Roman" w:eastAsia="Times New Roman" w:hAnsi="Times New Roman"/>
          <w:sz w:val="16"/>
          <w:szCs w:val="16"/>
          <w:color w:val="auto"/>
        </w:rPr>
        <w:t>The Credit Facility contains financial covenants and requirements restricting certain of the Company’s activities, which are usual and customary for this type of credit facility. The Company is also required to maintain compliance with a consolidated leverage ratio and a consolidated interest coverage ratio, in each case, determined in accordance with the terms of the Credit Facility. As of December 31, 2022, the Company was in compliance with these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87" w:name="page88"/>
    <w:bookmarkEnd w:id="8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40" w:lineRule="exact"/>
        <w:rPr>
          <w:sz w:val="20"/>
          <w:szCs w:val="20"/>
          <w:color w:val="auto"/>
        </w:rPr>
      </w:pPr>
    </w:p>
    <w:p>
      <w:pPr>
        <w:ind w:right="160" w:firstLine="396"/>
        <w:spacing w:after="0" w:line="248"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In the event of liquidation, dissolution or winding up of the Company,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fully paid and non-assessable. Under the amended and restated certificate of incorporation, which became effective upon completion of the IPO, the Company’s certificate of incorporation authorized 200,000,000 shares of $0.01 per share par value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53" w:lineRule="exact"/>
        <w:rPr>
          <w:sz w:val="20"/>
          <w:szCs w:val="20"/>
          <w:color w:val="auto"/>
        </w:rPr>
      </w:pPr>
    </w:p>
    <w:p>
      <w:pPr>
        <w:ind w:firstLine="396"/>
        <w:spacing w:after="0" w:line="294" w:lineRule="auto"/>
        <w:rPr>
          <w:sz w:val="20"/>
          <w:szCs w:val="20"/>
          <w:color w:val="auto"/>
        </w:rPr>
      </w:pPr>
      <w:r>
        <w:rPr>
          <w:rFonts w:ascii="Times New Roman" w:cs="Times New Roman" w:eastAsia="Times New Roman" w:hAnsi="Times New Roman"/>
          <w:sz w:val="16"/>
          <w:szCs w:val="16"/>
          <w:color w:val="auto"/>
        </w:rPr>
        <w:t>Under the amended and restated certificate of incorporation, which became effective upon completion of the IPO, the Company’s Board of Directors has the authority, without further action by the stockholders, to issue up to 5,000,000 shares of preferred stock, $0.01 par value, in one or more series. The Board of Directors also has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88" w:lineRule="exact"/>
        <w:rPr>
          <w:sz w:val="20"/>
          <w:szCs w:val="20"/>
          <w:color w:val="auto"/>
        </w:rPr>
      </w:pPr>
    </w:p>
    <w:p>
      <w:pPr>
        <w:jc w:val="both"/>
        <w:ind w:right="40" w:firstLine="396"/>
        <w:spacing w:after="0" w:line="253"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As of December 31, 2022, the Company has not issued and has no plans to issue any shares of preferred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14" w:lineRule="exact"/>
        <w:rPr>
          <w:sz w:val="20"/>
          <w:szCs w:val="20"/>
          <w:color w:val="auto"/>
        </w:rPr>
      </w:pPr>
    </w:p>
    <w:p>
      <w:pPr>
        <w:ind w:firstLine="396"/>
        <w:spacing w:after="0" w:line="253" w:lineRule="auto"/>
        <w:rPr>
          <w:sz w:val="20"/>
          <w:szCs w:val="20"/>
          <w:color w:val="auto"/>
        </w:rPr>
      </w:pPr>
      <w:r>
        <w:rPr>
          <w:rFonts w:ascii="Times New Roman" w:cs="Times New Roman" w:eastAsia="Times New Roman" w:hAnsi="Times New Roman"/>
          <w:sz w:val="18"/>
          <w:szCs w:val="18"/>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purchase an additional $100 million of its common stock. As of December 31, 2022, the Company has repurchased approximately 3.8 million shares of its common stock under the share repurchase program at an average per-share cost of approximately $52.97.</w:t>
      </w:r>
    </w:p>
    <w:p>
      <w:pPr>
        <w:spacing w:after="0" w:line="103" w:lineRule="exact"/>
        <w:rPr>
          <w:sz w:val="20"/>
          <w:szCs w:val="20"/>
          <w:color w:val="auto"/>
        </w:rPr>
      </w:pPr>
    </w:p>
    <w:p>
      <w:pPr>
        <w:ind w:right="320" w:firstLine="396"/>
        <w:spacing w:after="0" w:line="294" w:lineRule="auto"/>
        <w:rPr>
          <w:sz w:val="20"/>
          <w:szCs w:val="20"/>
          <w:color w:val="auto"/>
        </w:rPr>
      </w:pPr>
      <w:r>
        <w:rPr>
          <w:rFonts w:ascii="Times New Roman" w:cs="Times New Roman" w:eastAsia="Times New Roman" w:hAnsi="Times New Roman"/>
          <w:sz w:val="16"/>
          <w:szCs w:val="16"/>
          <w:color w:val="auto"/>
        </w:rPr>
        <w:t>The Company expects to fund repurchases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48" w:lineRule="exact"/>
        <w:rPr>
          <w:sz w:val="20"/>
          <w:szCs w:val="20"/>
          <w:color w:val="auto"/>
        </w:rPr>
      </w:pPr>
    </w:p>
    <w:p>
      <w:pPr>
        <w:ind w:right="140" w:firstLine="396"/>
        <w:spacing w:after="0" w:line="333" w:lineRule="auto"/>
        <w:rPr>
          <w:sz w:val="20"/>
          <w:szCs w:val="20"/>
          <w:color w:val="auto"/>
        </w:rPr>
      </w:pPr>
      <w:r>
        <w:rPr>
          <w:rFonts w:ascii="Times New Roman" w:cs="Times New Roman" w:eastAsia="Times New Roman" w:hAnsi="Times New Roman"/>
          <w:sz w:val="16"/>
          <w:szCs w:val="16"/>
          <w:color w:val="auto"/>
        </w:rPr>
        <w:t>During 2022 and 2021, the Company repurchased approximately 984,000 and 234,000 shares of its common stock, respectively, at an average per share cost of $74.02 and $116.26, respectively. As of December 31, 2022, the Company has fully utilized its authorization under the share repurchase program.</w:t>
      </w:r>
    </w:p>
    <w:p>
      <w:pPr>
        <w:spacing w:after="0" w:line="200" w:lineRule="exact"/>
        <w:rPr>
          <w:sz w:val="20"/>
          <w:szCs w:val="20"/>
          <w:color w:val="auto"/>
        </w:rPr>
      </w:pP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88" w:name="page89"/>
    <w:bookmarkEnd w:id="8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Offering</w:t>
      </w:r>
    </w:p>
    <w:p>
      <w:pPr>
        <w:spacing w:after="0" w:line="140" w:lineRule="exact"/>
        <w:rPr>
          <w:sz w:val="20"/>
          <w:szCs w:val="20"/>
          <w:color w:val="auto"/>
        </w:rPr>
      </w:pPr>
    </w:p>
    <w:p>
      <w:pPr>
        <w:ind w:right="120" w:firstLine="396"/>
        <w:spacing w:after="0" w:line="250" w:lineRule="auto"/>
        <w:rPr>
          <w:sz w:val="20"/>
          <w:szCs w:val="20"/>
          <w:color w:val="auto"/>
        </w:rPr>
      </w:pPr>
      <w:r>
        <w:rPr>
          <w:rFonts w:ascii="Times New Roman" w:cs="Times New Roman" w:eastAsia="Times New Roman" w:hAnsi="Times New Roman"/>
          <w:sz w:val="18"/>
          <w:szCs w:val="18"/>
          <w:color w:val="auto"/>
        </w:rPr>
        <w:t>On August 14, 2020, the Company completed an offering (the “Stock Offering”), whereby 2,580,000 shares of its common stock were sold to the public at a price to the public of $48.50 per share. The Company sold 516,000 shares of common stock in the Stock Offering and the Company’s Founder and Executive Chairman of the Board sold 2,064,000 shares of common stock in the Stock Offering. The Company received net proceeds from the shares it sold, after deducting underwriting discounts and commissions and offering expenses payable by the Company, of approximately $23.2 million. The Company did not receive any proceeds from the shares sold by the Company’s Founder and Executive Chairman of the Board.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4" w:lineRule="exact"/>
        <w:rPr>
          <w:sz w:val="20"/>
          <w:szCs w:val="20"/>
          <w:color w:val="auto"/>
        </w:rPr>
      </w:pPr>
    </w:p>
    <w:p>
      <w:pPr>
        <w:ind w:right="280" w:firstLine="396"/>
        <w:spacing w:after="0" w:line="333" w:lineRule="auto"/>
        <w:rPr>
          <w:sz w:val="20"/>
          <w:szCs w:val="20"/>
          <w:color w:val="auto"/>
        </w:rPr>
      </w:pPr>
      <w:r>
        <w:rPr>
          <w:rFonts w:ascii="Times New Roman" w:cs="Times New Roman" w:eastAsia="Times New Roman" w:hAnsi="Times New Roman"/>
          <w:sz w:val="16"/>
          <w:szCs w:val="16"/>
          <w:color w:val="auto"/>
        </w:rPr>
        <w:t>On February 11, 2020, the Board of Directors approved the initiation of a quarterly cash dividend. The Company declared and paid cash dividends totaling $0.96 and $0.84 per share of common stock, or $34.6 million and $30.7 million, during the years ended December 31, 2022 and 2021, respectively.</w:t>
      </w:r>
    </w:p>
    <w:p>
      <w:pPr>
        <w:spacing w:after="0" w:line="123"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On January 30, 2023, the Company’s Board of Directors declared a quarterly cash dividend of $0.27 per share of outstanding common stock payable on March 16, 2023 to stockholders of record at the close of business on March 2, 2023. Future declaration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products through two primary channels:</w:t>
      </w:r>
    </w:p>
    <w:p>
      <w:pPr>
        <w:spacing w:after="0" w:line="108" w:lineRule="exact"/>
        <w:rPr>
          <w:sz w:val="20"/>
          <w:szCs w:val="20"/>
          <w:color w:val="auto"/>
        </w:rPr>
      </w:pPr>
    </w:p>
    <w:p>
      <w:pPr>
        <w:ind w:right="160"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The majority of the Company’s customers license content and tools directly through the Company’s self-service web properties. E-commerce customers have the flexibility to purchase subscription-based plans that are paid on a monthly or annual basis. Customers are also able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78"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The Company also has a base of customers with unique content, licensing and workflow needs. These customers benefit from communication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summarizes the Company’s revenue by distribution channel for the years ended December 31, 2022, 2021 and 2020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r>
      <w:tr>
        <w:trPr>
          <w:trHeight w:val="37"/>
        </w:trPr>
        <w:tc>
          <w:tcPr>
            <w:tcW w:w="72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93"/>
        </w:trPr>
        <w:tc>
          <w:tcPr>
            <w:tcW w:w="7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
        </w:trPr>
        <w:tc>
          <w:tcPr>
            <w:tcW w:w="7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501,384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490,212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412,521</w:t>
            </w:r>
          </w:p>
        </w:tc>
      </w:tr>
      <w:tr>
        <w:trPr>
          <w:trHeight w:val="20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326,442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283,203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254,165</w:t>
            </w:r>
          </w:p>
        </w:tc>
      </w:tr>
      <w:tr>
        <w:trPr>
          <w:trHeight w:val="231"/>
        </w:trPr>
        <w:tc>
          <w:tcPr>
            <w:tcW w:w="7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773,415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666,686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320" w:firstLine="396"/>
        <w:spacing w:after="0" w:line="257" w:lineRule="auto"/>
        <w:rPr>
          <w:sz w:val="20"/>
          <w:szCs w:val="20"/>
          <w:color w:val="auto"/>
        </w:rPr>
      </w:pPr>
      <w:r>
        <w:rPr>
          <w:rFonts w:ascii="Times New Roman" w:cs="Times New Roman" w:eastAsia="Times New Roman" w:hAnsi="Times New Roman"/>
          <w:sz w:val="18"/>
          <w:szCs w:val="18"/>
          <w:color w:val="auto"/>
        </w:rPr>
        <w:t>The December 31, 2022 deferred revenue balance will be earned as content is downloaded or upon the expiration of subscription-based products, and nearly all is expected to be earned within the next twelve months. $176.2 million of total revenue recognized for the year ended December 31, 2022 was reflected in deferred revenue as of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9" w:name="page90"/>
    <w:bookmarkEnd w:id="8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112" w:lineRule="exact"/>
        <w:rPr>
          <w:sz w:val="20"/>
          <w:szCs w:val="20"/>
          <w:color w:val="auto"/>
        </w:rPr>
      </w:pPr>
    </w:p>
    <w:p>
      <w:pPr>
        <w:ind w:right="280" w:firstLine="396"/>
        <w:spacing w:after="0" w:line="269"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share-based payment awards including employee stock options and RSUs granted under either the 2012 Plan or the 2022 Plan based on the fair value of each award on the grant date.</w:t>
      </w:r>
    </w:p>
    <w:p>
      <w:pPr>
        <w:spacing w:after="0" w:line="90" w:lineRule="exact"/>
        <w:rPr>
          <w:sz w:val="20"/>
          <w:szCs w:val="20"/>
          <w:color w:val="auto"/>
        </w:rPr>
      </w:pPr>
    </w:p>
    <w:p>
      <w:pPr>
        <w:ind w:right="220" w:firstLine="396"/>
        <w:spacing w:after="0" w:line="269"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line item included in the Company’s Consolidated Statements of Operations for the years ended December 31, 2022, 2021 and 2020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5,486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r>
      <w:tr>
        <w:trPr>
          <w:trHeight w:val="21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10,380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w:t>
            </w:r>
          </w:p>
        </w:tc>
      </w:tr>
      <w:tr>
        <w:trPr>
          <w:trHeight w:val="20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19,307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26,208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21,498</w:t>
            </w:r>
          </w:p>
        </w:tc>
      </w:tr>
      <w:tr>
        <w:trPr>
          <w:trHeight w:val="231"/>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35,740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right="60" w:firstLine="396"/>
        <w:spacing w:after="0" w:line="269"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award type included in the Company’s Consolidated Statements of Operations for the years ended December 31, 2022, 2021 and 2020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r>
      <w:tr>
        <w:trPr>
          <w:trHeight w:val="20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35,593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26,221</w:t>
            </w:r>
          </w:p>
        </w:tc>
      </w:tr>
      <w:tr>
        <w:trPr>
          <w:trHeight w:val="231"/>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35,740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Omnibus Equity Incentive Plan</w:t>
      </w:r>
    </w:p>
    <w:p>
      <w:pPr>
        <w:spacing w:after="0" w:line="153" w:lineRule="exact"/>
        <w:rPr>
          <w:sz w:val="20"/>
          <w:szCs w:val="20"/>
          <w:color w:val="auto"/>
        </w:rPr>
      </w:pPr>
    </w:p>
    <w:p>
      <w:pPr>
        <w:ind w:right="140" w:firstLine="396"/>
        <w:spacing w:after="0" w:line="247" w:lineRule="auto"/>
        <w:rPr>
          <w:sz w:val="20"/>
          <w:szCs w:val="20"/>
          <w:color w:val="auto"/>
        </w:rPr>
      </w:pPr>
      <w:r>
        <w:rPr>
          <w:rFonts w:ascii="Times New Roman" w:cs="Times New Roman" w:eastAsia="Times New Roman" w:hAnsi="Times New Roman"/>
          <w:sz w:val="18"/>
          <w:szCs w:val="18"/>
          <w:color w:val="auto"/>
        </w:rPr>
        <w:t>On October 10, 2012, the Company’s 2012 Plan became effective. The 2012 Plan provides for the grant of incentive stock options to Company employees, and for the grant of non-statutory stock options, stock appreciation rights, restricted stock, restricted stock units, performance units and performance shares to employees, directors and consultants. The maximum aggregate number of shares that may be issued under the 2012 Plan was initially 6,750,000 shares of common stock. The number of shares available for issuance under the 2012 Plan will be increased annually commencing January 1, 2013 by an amount equal to the lesser of 1,500,000 shares of common stock, 3% of the outstanding shares of common stock as of the last day of the immediately preceding fiscal year, or such other amount as determined by the Company’s Board of Directors. Any awards issued under the 2012 Plan that are forfeited by the participant will become available for future grant under the 2012 Plan. The number of shares of common stock available under the 2012 Plan was automatically increased by approximately 1,093,000 and 1,087,000 shares on January 1, 2022 and 2021, respectively, pursuant to the automatic increase provisions of the 2012 Plan. This plan expired on June 2, 2022.</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Omnibus Equity Incentive Plan</w:t>
      </w:r>
    </w:p>
    <w:p>
      <w:pPr>
        <w:spacing w:after="0" w:line="140"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On June 2, 2022, the Company’s stockholders approved the 2022 Omnibus Equity Incentive Plan (the “2022 Plan”). The 2022 Plan provides for the grant of incentive stock options to Company employees, and for the grant of non-statutory stock options, stock appreciation rights, restricted stock, restricted stock units, performance units and performance shares (collectively, “Awards”) to employees, officers, directors, consultants and advisors of the Company. The maximum aggregate number of shares that may be issued under the 2022 Plan is 4,000,000 shares of our common stock and is subject to adjustment in connection with changes in capitalization, reorganization and change in control events. Shares subject to Awards granted under the 2022 Plan that expire unexercised or are forfeited, will become available for future grant under 2022 Plan. However, shares used to pay the exercise price of an Award or to satisfy the tax withholding obligations related to an Award will not</w:t>
      </w:r>
    </w:p>
    <w:p>
      <w:pPr>
        <w:spacing w:after="0" w:line="200" w:lineRule="exact"/>
        <w:rPr>
          <w:sz w:val="20"/>
          <w:szCs w:val="20"/>
          <w:color w:val="auto"/>
        </w:rPr>
      </w:pPr>
    </w:p>
    <w:p>
      <w:pPr>
        <w:spacing w:after="0" w:line="4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0" w:name="page91"/>
    <w:bookmarkEnd w:id="9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available for future grant under the 2022 Plan. Awards granted subsequent to June 2, 2022 were granted under the 2022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stock option awards and weighted average exercise price per option: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6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1"/>
        </w:trPr>
        <w:tc>
          <w:tcPr>
            <w:tcW w:w="78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2021</w:t>
            </w:r>
          </w:p>
        </w:tc>
        <w:tc>
          <w:tcPr>
            <w:tcW w:w="16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920,557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59.13</w:t>
            </w:r>
          </w:p>
        </w:tc>
      </w:tr>
      <w:tr>
        <w:trPr>
          <w:trHeight w:val="209"/>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Options exercised</w:t>
            </w:r>
          </w:p>
        </w:tc>
        <w:tc>
          <w:tcPr>
            <w:tcW w:w="1620" w:type="dxa"/>
            <w:vAlign w:val="bottom"/>
          </w:tcPr>
          <w:p>
            <w:pPr>
              <w:ind w:left="1060"/>
              <w:spacing w:after="0"/>
              <w:rPr>
                <w:sz w:val="20"/>
                <w:szCs w:val="20"/>
                <w:color w:val="auto"/>
              </w:rPr>
            </w:pPr>
            <w:r>
              <w:rPr>
                <w:rFonts w:ascii="Times New Roman" w:cs="Times New Roman" w:eastAsia="Times New Roman" w:hAnsi="Times New Roman"/>
                <w:sz w:val="16"/>
                <w:szCs w:val="16"/>
                <w:color w:val="auto"/>
                <w:w w:val="98"/>
              </w:rPr>
              <w:t>(47,642)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w:t>
            </w:r>
          </w:p>
        </w:tc>
      </w:tr>
      <w:tr>
        <w:trPr>
          <w:trHeight w:val="211"/>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Options canceled or expired</w:t>
            </w:r>
          </w:p>
        </w:tc>
        <w:tc>
          <w:tcPr>
            <w:tcW w:w="16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8"/>
              </w:rPr>
              <w:t>(41,551)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r>
      <w:tr>
        <w:trPr>
          <w:trHeight w:val="206"/>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2022</w:t>
            </w:r>
          </w:p>
        </w:tc>
        <w:tc>
          <w:tcPr>
            <w:tcW w:w="16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831,364</w:t>
            </w:r>
          </w:p>
        </w:tc>
        <w:tc>
          <w:tcPr>
            <w:tcW w:w="2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61.32</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72"/>
        </w:trPr>
        <w:tc>
          <w:tcPr>
            <w:tcW w:w="788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0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exercisable at December 31, 2022</w:t>
            </w:r>
          </w:p>
        </w:tc>
        <w:tc>
          <w:tcPr>
            <w:tcW w:w="16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286,000</w:t>
            </w:r>
          </w:p>
        </w:tc>
        <w:tc>
          <w:tcPr>
            <w:tcW w:w="2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w:t>
            </w:r>
          </w:p>
        </w:tc>
      </w:tr>
    </w:tbl>
    <w:p>
      <w:pPr>
        <w:spacing w:after="0" w:line="210" w:lineRule="exact"/>
        <w:rPr>
          <w:sz w:val="20"/>
          <w:szCs w:val="20"/>
          <w:color w:val="auto"/>
        </w:rPr>
      </w:pPr>
    </w:p>
    <w:p>
      <w:pPr>
        <w:ind w:right="400" w:firstLine="396"/>
        <w:spacing w:after="0" w:line="264" w:lineRule="auto"/>
        <w:rPr>
          <w:sz w:val="20"/>
          <w:szCs w:val="20"/>
          <w:color w:val="auto"/>
        </w:rPr>
      </w:pPr>
      <w:r>
        <w:rPr>
          <w:rFonts w:ascii="Times New Roman" w:cs="Times New Roman" w:eastAsia="Times New Roman" w:hAnsi="Times New Roman"/>
          <w:sz w:val="18"/>
          <w:szCs w:val="18"/>
          <w:color w:val="auto"/>
        </w:rPr>
        <w:t>Intrinsic value of stock options is calculated as the excess of market price of the Company’s common stock over the strike price of the stock options, multiplied by the number of stock options. The intrinsic value of the Company’s stock options is as follows (in thousands):</w:t>
      </w: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198"/>
        </w:trPr>
        <w:tc>
          <w:tcPr>
            <w:tcW w:w="78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78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outstanding</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29,600</w:t>
            </w: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exercisable</w:t>
            </w:r>
          </w:p>
        </w:tc>
        <w:tc>
          <w:tcPr>
            <w:tcW w:w="1040" w:type="dxa"/>
            <w:vAlign w:val="bottom"/>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w:t>
            </w:r>
          </w:p>
        </w:tc>
        <w:tc>
          <w:tcPr>
            <w:tcW w:w="120" w:type="dxa"/>
            <w:vAlign w:val="bottom"/>
          </w:tcPr>
          <w:p>
            <w:pPr>
              <w:spacing w:after="0"/>
              <w:rPr>
                <w:sz w:val="18"/>
                <w:szCs w:val="18"/>
                <w:color w:val="auto"/>
              </w:rPr>
            </w:pPr>
          </w:p>
        </w:tc>
        <w:tc>
          <w:tcPr>
            <w:tcW w:w="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24,200</w:t>
            </w:r>
          </w:p>
        </w:tc>
      </w:tr>
      <w:tr>
        <w:trPr>
          <w:trHeight w:val="21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vested and expected to vest</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29,600</w:t>
            </w:r>
          </w:p>
        </w:tc>
      </w:tr>
    </w:tbl>
    <w:p>
      <w:pPr>
        <w:spacing w:after="0" w:line="219" w:lineRule="exact"/>
        <w:rPr>
          <w:sz w:val="20"/>
          <w:szCs w:val="20"/>
          <w:color w:val="auto"/>
        </w:rPr>
      </w:pPr>
    </w:p>
    <w:p>
      <w:pPr>
        <w:ind w:right="180" w:firstLine="396"/>
        <w:spacing w:after="0" w:line="269" w:lineRule="auto"/>
        <w:rPr>
          <w:sz w:val="20"/>
          <w:szCs w:val="20"/>
          <w:color w:val="auto"/>
        </w:rPr>
      </w:pPr>
      <w:r>
        <w:rPr>
          <w:rFonts w:ascii="Times New Roman" w:cs="Times New Roman" w:eastAsia="Times New Roman" w:hAnsi="Times New Roman"/>
          <w:sz w:val="18"/>
          <w:szCs w:val="18"/>
          <w:color w:val="auto"/>
        </w:rPr>
        <w:t>The intrinsic value of stock options exercised for the years ended December 31, 2022, 2021 and 2020 was approximately $1.1 million, $3.0 million and $0.5 million, respectively.</w:t>
      </w:r>
    </w:p>
    <w:p>
      <w:pPr>
        <w:spacing w:after="0" w:line="90" w:lineRule="exact"/>
        <w:rPr>
          <w:sz w:val="20"/>
          <w:szCs w:val="20"/>
          <w:color w:val="auto"/>
        </w:rPr>
      </w:pPr>
    </w:p>
    <w:p>
      <w:pPr>
        <w:ind w:right="40" w:firstLine="396"/>
        <w:spacing w:after="0" w:line="264" w:lineRule="auto"/>
        <w:rPr>
          <w:sz w:val="20"/>
          <w:szCs w:val="20"/>
          <w:color w:val="auto"/>
        </w:rPr>
      </w:pPr>
      <w:r>
        <w:rPr>
          <w:rFonts w:ascii="Times New Roman" w:cs="Times New Roman" w:eastAsia="Times New Roman" w:hAnsi="Times New Roman"/>
          <w:sz w:val="18"/>
          <w:szCs w:val="18"/>
          <w:color w:val="auto"/>
        </w:rPr>
        <w:t>The following weighted average assumptions were used in the fair value calculation for the year ended December 31, 2020. No stock option awards were granted during the years ended December 31, 2022 and 2021.</w:t>
      </w:r>
    </w:p>
    <w:tbl>
      <w:tblPr>
        <w:tblLayout w:type="fixed"/>
        <w:tblInd w:w="0" w:type="dxa"/>
        <w:tblCellMar>
          <w:top w:w="0" w:type="dxa"/>
          <w:left w:w="0" w:type="dxa"/>
          <w:bottom w:w="0" w:type="dxa"/>
          <w:right w:w="0" w:type="dxa"/>
        </w:tblCellMar>
      </w:tblPr>
      <w:tr>
        <w:trPr>
          <w:trHeight w:val="185"/>
        </w:trPr>
        <w:tc>
          <w:tcPr>
            <w:tcW w:w="8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185"/>
        </w:trPr>
        <w:tc>
          <w:tcPr>
            <w:tcW w:w="88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24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9"/>
        </w:trPr>
        <w:tc>
          <w:tcPr>
            <w:tcW w:w="8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2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43.8 %</w:t>
            </w:r>
          </w:p>
        </w:tc>
      </w:tr>
      <w:tr>
        <w:trPr>
          <w:trHeight w:val="21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4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r>
      <w:tr>
        <w:trPr>
          <w:trHeight w:val="209"/>
        </w:trPr>
        <w:tc>
          <w:tcPr>
            <w:tcW w:w="8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240" w:type="dxa"/>
            <w:vAlign w:val="bottom"/>
          </w:tcPr>
          <w:p>
            <w:pPr>
              <w:spacing w:after="0"/>
              <w:rPr>
                <w:sz w:val="18"/>
                <w:szCs w:val="18"/>
                <w:color w:val="auto"/>
              </w:rPr>
            </w:pPr>
          </w:p>
        </w:tc>
        <w:tc>
          <w:tcPr>
            <w:tcW w:w="21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Valuation Data:</w:t>
            </w:r>
          </w:p>
        </w:tc>
        <w:tc>
          <w:tcPr>
            <w:tcW w:w="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07"/>
        </w:trPr>
        <w:tc>
          <w:tcPr>
            <w:tcW w:w="8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fair value per share granted</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18.86</w:t>
            </w:r>
          </w:p>
        </w:tc>
      </w:tr>
    </w:tbl>
    <w:p>
      <w:pPr>
        <w:spacing w:after="0" w:line="200" w:lineRule="exact"/>
        <w:rPr>
          <w:sz w:val="20"/>
          <w:szCs w:val="20"/>
          <w:color w:val="auto"/>
        </w:rPr>
      </w:pPr>
    </w:p>
    <w:p>
      <w:pPr>
        <w:spacing w:after="0" w:line="392" w:lineRule="exact"/>
        <w:rPr>
          <w:sz w:val="20"/>
          <w:szCs w:val="20"/>
          <w:color w:val="auto"/>
        </w:rPr>
      </w:pPr>
    </w:p>
    <w:p>
      <w:pPr>
        <w:ind w:right="80" w:firstLine="396"/>
        <w:spacing w:after="0" w:line="281" w:lineRule="auto"/>
        <w:rPr>
          <w:sz w:val="20"/>
          <w:szCs w:val="20"/>
          <w:color w:val="auto"/>
        </w:rPr>
      </w:pPr>
      <w:r>
        <w:rPr>
          <w:rFonts w:ascii="Times New Roman" w:cs="Times New Roman" w:eastAsia="Times New Roman" w:hAnsi="Times New Roman"/>
          <w:sz w:val="16"/>
          <w:szCs w:val="16"/>
          <w:color w:val="auto"/>
        </w:rPr>
        <w:t>On April 24, 2014, the Company granted 500,000 stock options with a market-based condition to its Founder and Executive Chairman. In 2018, the number of stock options was adjusted from 500,000 stock options to approximately 527,000 and the exercise price of each option was adjusted from $80.94 to $76.73, in connection with a special dividend and pursuant to the anti-dilution provisions of the 2012 Plan. The stock options will not vest or become exercisable unless (i) the Founder and Executive Chairman remains continuously employed by the Company until the fifth anniversary of the date of grant and</w:t>
      </w:r>
    </w:p>
    <w:p>
      <w:pPr>
        <w:ind w:right="120" w:firstLine="6"/>
        <w:spacing w:after="0" w:line="284" w:lineRule="auto"/>
        <w:tabs>
          <w:tab w:leader="none" w:pos="25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90-day closing price of the Company’s common stock equals or exceeds $161.88 per share for any 90 consecutive calendar days during the period commencing on the fifth anniversary of the date of grant and ending on the tenth anniversary of the date of grant, inclusive provided that the Founder and Executive Chairman remains continuously employed by the Company until the date of satisfaction of such condition. The derived requisite service period was determined to be six years based on a valuation technique. The total fair value of the grant is $21.6 million and is being recognized over the derived requisite service period. In the event that the market condition remains unsatisfied upon completion of the requisite service period, no charge will be reversed.</w:t>
      </w:r>
    </w:p>
    <w:p>
      <w:pPr>
        <w:spacing w:after="0" w:line="200" w:lineRule="exact"/>
        <w:rPr>
          <w:sz w:val="20"/>
          <w:szCs w:val="20"/>
          <w:color w:val="auto"/>
        </w:rPr>
      </w:pPr>
    </w:p>
    <w:p>
      <w:pPr>
        <w:spacing w:after="0" w:line="3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1" w:name="page92"/>
    <w:bookmarkEnd w:id="9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Awards (including PRSUs)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RSUs activity for the year ended December 31,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26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r>
      <w:tr>
        <w:trPr>
          <w:trHeight w:val="191"/>
        </w:trPr>
        <w:tc>
          <w:tcPr>
            <w:tcW w:w="85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balance at December 31, 2021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1,178,658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Units 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1,487,804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71.65</w:t>
            </w: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Units 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(607,691)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w:t>
            </w: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Units canceled or 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(342,253)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77.56</w:t>
            </w:r>
          </w:p>
        </w:tc>
      </w:tr>
      <w:tr>
        <w:trPr>
          <w:trHeight w:val="231"/>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balance at December 31,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1,716,518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91"/>
        </w:trPr>
        <w:tc>
          <w:tcPr>
            <w:tcW w:w="8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and deferred balance at December 31, 2022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1,764,017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69.63</w:t>
            </w:r>
          </w:p>
        </w:tc>
      </w:tr>
    </w:tbl>
    <w:p>
      <w:pPr>
        <w:spacing w:after="0" w:line="200" w:lineRule="exact"/>
        <w:rPr>
          <w:sz w:val="20"/>
          <w:szCs w:val="20"/>
          <w:color w:val="auto"/>
        </w:rPr>
      </w:pPr>
    </w:p>
    <w:p>
      <w:pPr>
        <w:spacing w:after="0" w:line="388" w:lineRule="exact"/>
        <w:rPr>
          <w:sz w:val="20"/>
          <w:szCs w:val="20"/>
          <w:color w:val="auto"/>
        </w:rPr>
      </w:pPr>
    </w:p>
    <w:p>
      <w:pPr>
        <w:ind w:right="40" w:firstLine="396"/>
        <w:spacing w:after="0" w:line="283" w:lineRule="auto"/>
        <w:rPr>
          <w:sz w:val="20"/>
          <w:szCs w:val="20"/>
          <w:color w:val="auto"/>
        </w:rPr>
      </w:pPr>
      <w:r>
        <w:rPr>
          <w:rFonts w:ascii="Times New Roman" w:cs="Times New Roman" w:eastAsia="Times New Roman" w:hAnsi="Times New Roman"/>
          <w:sz w:val="16"/>
          <w:szCs w:val="16"/>
          <w:color w:val="auto"/>
        </w:rPr>
        <w:t>On April 24, 2014, the Company granted 100,000 restricted stock units with a market-based condition to its Founder and Executive Chairman. In 2018, the number of RSUs was adjusted to approximately 105,000, in connection with a special dividend and pursuant to the anti-dilution provisions of the 2012 Plan. The restricted stock units will vest only if (i) the reporting person remains continuously employed by the Company until the fifth anniversary of the date of grant and (ii) the average 90-day closing price of the Company's common stock equals or exceeds $161.88 for any 90 consecutive calendar days during the period commencing on the fifth anniversary of the date of grant and ending on the tenth anniversary of the date of grant, inclusive; provided that the reporting person remains continuously employed by the Company until the date of satisfaction of such condition. The derived requisite service period was determined to be six years based on a valuation technique. The total fair value of the grant is $5.8 million and is being recognized over the derived requisite service period. In the event that the market condition remains unsatisfied upon completion of the requisite service period, no charge will be reversed.</w:t>
      </w:r>
    </w:p>
    <w:p>
      <w:pPr>
        <w:spacing w:after="0" w:line="98" w:lineRule="exact"/>
        <w:rPr>
          <w:sz w:val="20"/>
          <w:szCs w:val="20"/>
          <w:color w:val="auto"/>
        </w:rPr>
      </w:pPr>
    </w:p>
    <w:p>
      <w:pPr>
        <w:ind w:right="500" w:firstLine="396"/>
        <w:spacing w:after="0" w:line="269" w:lineRule="auto"/>
        <w:rPr>
          <w:sz w:val="20"/>
          <w:szCs w:val="20"/>
          <w:color w:val="auto"/>
        </w:rPr>
      </w:pPr>
      <w:r>
        <w:rPr>
          <w:rFonts w:ascii="Times New Roman" w:cs="Times New Roman" w:eastAsia="Times New Roman" w:hAnsi="Times New Roman"/>
          <w:sz w:val="18"/>
          <w:szCs w:val="18"/>
          <w:color w:val="auto"/>
        </w:rPr>
        <w:t>As of December 31, 2022, the total unrecognized compensation charge related to the restricted stock units is approximately $75.8 million, which is expected to be recognized through fiscal 2026.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(Expense) / Income, net</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(expense) / income activity included in the accompanying Consolidated Statements of</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66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r>
      <w:tr>
        <w:trPr>
          <w:trHeight w:val="209"/>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r>
      <w:tr>
        <w:trPr>
          <w:trHeight w:val="204"/>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92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4,257</w:t>
            </w:r>
          </w:p>
        </w:tc>
      </w:tr>
      <w:tr>
        <w:trPr>
          <w:trHeight w:val="20"/>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geographical breakdown of its income before income taxes is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66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104,241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83,255</w:t>
            </w:r>
          </w:p>
        </w:tc>
      </w:tr>
      <w:tr>
        <w:trPr>
          <w:trHeight w:val="20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6,268</w:t>
            </w:r>
          </w:p>
        </w:tc>
      </w:tr>
      <w:tr>
        <w:trPr>
          <w:trHeight w:val="231"/>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91,037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104,736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89,523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2" w:name="page93"/>
    <w:bookmarkEnd w:id="9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consolidated provision for income taxes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66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provision:</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90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16,891</w:t>
            </w:r>
          </w:p>
        </w:tc>
        <w:tc>
          <w:tcPr>
            <w:tcW w:w="4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7,834</w:t>
            </w:r>
          </w:p>
        </w:tc>
        <w:tc>
          <w:tcPr>
            <w:tcW w:w="12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11,287</w:t>
            </w:r>
          </w:p>
        </w:tc>
      </w:tr>
      <w:tr>
        <w:trPr>
          <w:trHeight w:val="21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r>
      <w:tr>
        <w:trPr>
          <w:trHeight w:val="209"/>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w:t>
            </w:r>
          </w:p>
        </w:tc>
      </w:tr>
      <w:tr>
        <w:trPr>
          <w:trHeight w:val="21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provision (benefit):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r>
      <w:tr>
        <w:trPr>
          <w:trHeight w:val="21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9"/>
        </w:trPr>
        <w:tc>
          <w:tcPr>
            <w:tcW w:w="6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w:t>
            </w:r>
          </w:p>
        </w:tc>
      </w:tr>
      <w:tr>
        <w:trPr>
          <w:trHeight w:val="231"/>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provision for income taxes differs from statutory income tax rate as follows:</w:t>
      </w:r>
    </w:p>
    <w:p>
      <w:pPr>
        <w:spacing w:after="0" w:line="5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income tax at federal statutory rate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0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5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5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5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local taxes, net of federal benefit</w:t>
            </w: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w:t>
            </w:r>
          </w:p>
        </w:tc>
      </w:tr>
      <w:tr>
        <w:trPr>
          <w:trHeight w:val="20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5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5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0.5</w:t>
            </w:r>
          </w:p>
        </w:tc>
      </w:tr>
      <w:tr>
        <w:trPr>
          <w:trHeight w:val="20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Foreign-derived intangible income deduction</w:t>
            </w:r>
          </w:p>
        </w:tc>
        <w:tc>
          <w:tcPr>
            <w:tcW w:w="5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15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5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(6.0)</w:t>
            </w:r>
          </w:p>
        </w:tc>
      </w:tr>
      <w:tr>
        <w:trPr>
          <w:trHeight w:val="21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5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5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0.9</w:t>
            </w:r>
          </w:p>
        </w:tc>
      </w:tr>
      <w:tr>
        <w:trPr>
          <w:trHeight w:val="21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loss</w:t>
            </w:r>
          </w:p>
        </w:tc>
        <w:tc>
          <w:tcPr>
            <w:tcW w:w="5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Non-deductible—other</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0.2</w:t>
            </w:r>
          </w:p>
        </w:tc>
      </w:tr>
      <w:tr>
        <w:trPr>
          <w:trHeight w:val="226"/>
        </w:trPr>
        <w:tc>
          <w:tcPr>
            <w:tcW w:w="7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provision for income taxes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3" w:name="page94"/>
    <w:bookmarkEnd w:id="9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tax effect of the Company’s temporary differences that give rise to deferred tax assets and liabilities are presented below (in thousands):</w:t>
      </w:r>
    </w:p>
    <w:p>
      <w:pPr>
        <w:spacing w:after="0" w:line="37"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14,947</w:t>
            </w:r>
          </w:p>
        </w:tc>
        <w:tc>
          <w:tcPr>
            <w:tcW w:w="12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13,612</w:t>
            </w:r>
          </w:p>
        </w:tc>
      </w:tr>
      <w:tr>
        <w:trPr>
          <w:trHeight w:val="21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09"/>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Accruals and reserves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6,016</w:t>
            </w:r>
          </w:p>
        </w:tc>
      </w:tr>
      <w:tr>
        <w:trPr>
          <w:trHeight w:val="21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9,715</w:t>
            </w:r>
          </w:p>
        </w:tc>
      </w:tr>
      <w:tr>
        <w:trPr>
          <w:trHeight w:val="209"/>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7,591</w:t>
            </w:r>
          </w:p>
        </w:tc>
      </w:tr>
      <w:tr>
        <w:trPr>
          <w:trHeight w:val="21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r>
      <w:tr>
        <w:trPr>
          <w:trHeight w:val="202"/>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42,249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38,924</w:t>
            </w:r>
          </w:p>
        </w:tc>
      </w:tr>
      <w:tr>
        <w:trPr>
          <w:trHeight w:val="21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Valuation allowance</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w:t>
            </w:r>
          </w:p>
        </w:tc>
      </w:tr>
      <w:tr>
        <w:trPr>
          <w:trHeight w:val="202"/>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tax assets</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35,292</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(7,260)</w:t>
            </w:r>
          </w:p>
        </w:tc>
      </w:tr>
      <w:tr>
        <w:trPr>
          <w:trHeight w:val="211"/>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(21,692)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(20,301)</w:t>
            </w:r>
          </w:p>
        </w:tc>
      </w:tr>
      <w:tr>
        <w:trPr>
          <w:trHeight w:val="206"/>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8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7,731</w:t>
            </w: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The non-cash equity-based compensation for the Company includes a deferred tax asset of $6.2 million associated with the performance-based grant of stock options and restricted stock units to the Company’s Founder and Executive Chairman. In addition, the $4.6 million valuation allowance relates to certain foreign net operating loss carryforwards, where the Company has determined that there is sufficient uncertainty regarding the future realization of these net operating losses.</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changes to the Company’s unrecognized tax benefits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of unrecognized tax benefits at January 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8,949</w:t>
            </w:r>
          </w:p>
        </w:tc>
      </w:tr>
      <w:tr>
        <w:trPr>
          <w:trHeight w:val="209"/>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additions for tax positions for prior years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additions for tax positions for current year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09"/>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Gross reductions for tax positions of prior years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31"/>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of unrecognized tax benefits at December 31</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120" w:firstLine="396"/>
        <w:spacing w:after="0" w:line="253" w:lineRule="auto"/>
        <w:rPr>
          <w:sz w:val="20"/>
          <w:szCs w:val="20"/>
          <w:color w:val="auto"/>
        </w:rPr>
      </w:pPr>
      <w:r>
        <w:rPr>
          <w:rFonts w:ascii="Times New Roman" w:cs="Times New Roman" w:eastAsia="Times New Roman" w:hAnsi="Times New Roman"/>
          <w:sz w:val="18"/>
          <w:szCs w:val="18"/>
          <w:color w:val="auto"/>
        </w:rPr>
        <w:t>The total amount of unrecognized tax benefits as of December 31, 2022 was $12.1 million, which, if recognized, would impact the Company’s effective tax rate in future periods. Unrecognized tax benefits is included within prepaid expenses and other current assets and other non-current liabilities on the Consolidated Balance Sheets. The Company has determined that it is reasonably possible that there will be a reversal of unrecognized tax benefits by as much as $2.9 million in the next fiscal year due to the expected resolution of prior year tax matters.</w:t>
      </w:r>
    </w:p>
    <w:p>
      <w:pPr>
        <w:spacing w:after="0" w:line="103" w:lineRule="exact"/>
        <w:rPr>
          <w:sz w:val="20"/>
          <w:szCs w:val="20"/>
          <w:color w:val="auto"/>
        </w:rPr>
      </w:pPr>
    </w:p>
    <w:p>
      <w:pPr>
        <w:ind w:right="560" w:firstLine="396"/>
        <w:spacing w:after="0" w:line="257"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as a component of income tax expense in the Consolidated Statements of Operations. Interest and penalties included in the Company’s provision for income taxes were not material in all the periods presented.</w:t>
      </w:r>
    </w:p>
    <w:p>
      <w:pPr>
        <w:spacing w:after="0" w:line="113" w:lineRule="exact"/>
        <w:rPr>
          <w:sz w:val="20"/>
          <w:szCs w:val="20"/>
          <w:color w:val="auto"/>
        </w:rPr>
      </w:pPr>
    </w:p>
    <w:p>
      <w:pPr>
        <w:jc w:val="both"/>
        <w:ind w:right="160" w:firstLine="396"/>
        <w:spacing w:after="0" w:line="257"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and various foreign jurisdictions. The Company is currently under examination by the U.S. Internal Revenue Service for the tax years 2017 through 2021. The Company is no longer subject to U.S. federal, state and local tax examinations by tax authorities for years before 2016.</w:t>
      </w:r>
    </w:p>
    <w:p>
      <w:pPr>
        <w:spacing w:after="0" w:line="113" w:lineRule="exact"/>
        <w:rPr>
          <w:sz w:val="20"/>
          <w:szCs w:val="20"/>
          <w:color w:val="auto"/>
        </w:rPr>
      </w:pPr>
    </w:p>
    <w:p>
      <w:pPr>
        <w:ind w:right="100" w:firstLine="396"/>
        <w:spacing w:after="0" w:line="269" w:lineRule="auto"/>
        <w:rPr>
          <w:sz w:val="20"/>
          <w:szCs w:val="20"/>
          <w:color w:val="auto"/>
        </w:rPr>
      </w:pPr>
      <w:r>
        <w:rPr>
          <w:rFonts w:ascii="Times New Roman" w:cs="Times New Roman" w:eastAsia="Times New Roman" w:hAnsi="Times New Roman"/>
          <w:sz w:val="18"/>
          <w:szCs w:val="18"/>
          <w:color w:val="auto"/>
        </w:rPr>
        <w:t>As of December 31, 2022, the Company has $37.5 million in tax net operating loss carryforwards in US and foreign tax jurisdictions which are available to reduce future income taxes and the majority of this amount relates to jurisdictions with an indefinite carryforward period.</w:t>
      </w:r>
    </w:p>
    <w:p>
      <w:pPr>
        <w:spacing w:after="0" w:line="200" w:lineRule="exact"/>
        <w:rPr>
          <w:sz w:val="20"/>
          <w:szCs w:val="20"/>
          <w:color w:val="auto"/>
        </w:rPr>
      </w:pPr>
    </w:p>
    <w:p>
      <w:pPr>
        <w:spacing w:after="0" w:line="2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4" w:name="page95"/>
    <w:bookmarkEnd w:id="9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As of December 31, 2022, the Company had approximately $16.5 million of undistributed earnings attributable to its foreign subsidiaries. It is the Company’s practice and intention to indefinitely reinvest the earnings of its foreign subsidiaries in those operations. The Company has not provided deferred U.S. income taxes or foreign withholding taxes on temporary differences resulting from the earnings indefinitely reinvested outside the United States. An estimate of the associated unrecognized deferred tax liability related to these undistributed earnings is not material.</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w:t>
      </w:r>
    </w:p>
    <w:p>
      <w:pPr>
        <w:spacing w:after="0" w:line="138" w:lineRule="exact"/>
        <w:rPr>
          <w:sz w:val="20"/>
          <w:szCs w:val="20"/>
          <w:color w:val="auto"/>
        </w:rPr>
      </w:pPr>
    </w:p>
    <w:p>
      <w:pPr>
        <w:ind w:right="60" w:firstLine="396"/>
        <w:spacing w:after="0" w:line="257"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common shares outstanding for the period, excluding unvested RSUs and stock options. Diluted net income per share is based upon the weighted average common shares outstanding for the period plus dilutive potential common shares, including unvested RSUs and stock options using the treasury stock method.</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fiscal years 2022, 2021 and 2020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5"/>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71,766</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3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36,042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36,509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35,844</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options and employee stock purchase plan shares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06"/>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36,369</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3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Potentially dilutive shares included in the calculation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Geographic Financial Information</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represents the Company’s geographic revenue based on customer location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236,599</w:t>
            </w:r>
          </w:p>
        </w:tc>
      </w:tr>
      <w:tr>
        <w:trPr>
          <w:trHeight w:val="209"/>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220,665</w:t>
            </w:r>
          </w:p>
        </w:tc>
      </w:tr>
      <w:tr>
        <w:trPr>
          <w:trHeight w:val="21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231,604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228,957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209,422</w:t>
            </w:r>
          </w:p>
        </w:tc>
      </w:tr>
      <w:tr>
        <w:trPr>
          <w:trHeight w:val="204"/>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773,415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666,686</w:t>
            </w: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00" w:firstLine="396"/>
        <w:spacing w:after="0" w:line="269" w:lineRule="auto"/>
        <w:rPr>
          <w:sz w:val="20"/>
          <w:szCs w:val="20"/>
          <w:color w:val="auto"/>
        </w:rPr>
      </w:pPr>
      <w:r>
        <w:rPr>
          <w:rFonts w:ascii="Times New Roman" w:cs="Times New Roman" w:eastAsia="Times New Roman" w:hAnsi="Times New Roman"/>
          <w:sz w:val="18"/>
          <w:szCs w:val="18"/>
          <w:color w:val="auto"/>
        </w:rPr>
        <w:t>Included in North America is the United States which comprises approximately 40%, 34% and 33% of total revenue for the years ended December 31, 2022, 2021 and 2020, respectively. No other country accounts for more than 10% of the Company’s revenue in any period presented.</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95" w:name="page96"/>
    <w:bookmarkEnd w:id="9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4"/>
        </w:trPr>
        <w:tc>
          <w:tcPr>
            <w:tcW w:w="8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82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42,266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40,465</w:t>
            </w: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12,079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7,460</w:t>
            </w:r>
          </w:p>
        </w:tc>
      </w:tr>
      <w:tr>
        <w:trPr>
          <w:trHeight w:val="21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6"/>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8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54,548</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48,074</w:t>
            </w:r>
          </w:p>
        </w:tc>
      </w:tr>
      <w:tr>
        <w:trPr>
          <w:trHeight w:val="20"/>
        </w:trPr>
        <w:tc>
          <w:tcPr>
            <w:tcW w:w="8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100" w:firstLine="396"/>
        <w:spacing w:after="0" w:line="257" w:lineRule="auto"/>
        <w:rPr>
          <w:sz w:val="20"/>
          <w:szCs w:val="20"/>
          <w:color w:val="auto"/>
        </w:rPr>
      </w:pPr>
      <w:r>
        <w:rPr>
          <w:rFonts w:ascii="Times New Roman" w:cs="Times New Roman" w:eastAsia="Times New Roman" w:hAnsi="Times New Roman"/>
          <w:sz w:val="18"/>
          <w:szCs w:val="18"/>
          <w:color w:val="auto"/>
        </w:rPr>
        <w:t>Included in North America is the United States, which comprises 73% and 76% of total long-lived tangible assets as of December 31, 2022 and 2021, respectively. Included in Europe is Ireland, which comprised 17% and 11% of total long-lived tangible assets as of December 31, 2022 and 2021, respectively. No other country accounts for more than 10% of the Company’s long-lived tangible assets in any period presented.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Leasing</w:t>
      </w:r>
    </w:p>
    <w:p>
      <w:pPr>
        <w:spacing w:after="0" w:line="112" w:lineRule="exact"/>
        <w:rPr>
          <w:sz w:val="20"/>
          <w:szCs w:val="20"/>
          <w:color w:val="auto"/>
        </w:rPr>
      </w:pPr>
    </w:p>
    <w:p>
      <w:pPr>
        <w:ind w:right="40" w:firstLine="396"/>
        <w:spacing w:after="0" w:line="257" w:lineRule="auto"/>
        <w:rPr>
          <w:sz w:val="20"/>
          <w:szCs w:val="20"/>
          <w:color w:val="auto"/>
        </w:rPr>
      </w:pPr>
      <w:r>
        <w:rPr>
          <w:rFonts w:ascii="Times New Roman" w:cs="Times New Roman" w:eastAsia="Times New Roman" w:hAnsi="Times New Roman"/>
          <w:sz w:val="18"/>
          <w:szCs w:val="18"/>
          <w:color w:val="auto"/>
        </w:rPr>
        <w:t>The Company’s leases relate primarily to office facilities that expire on various dates from 2023 through 2029, some of which include one or more options to renew. All of the Company’s leases are classified as operating leases. Operating lease costs, including insignificant costs related to short-term leases, were $10.7 million, $10.2 million and $10.5 million for the years ended December 31, 2022, 2021 and 2020, respectively.</w:t>
      </w:r>
    </w:p>
    <w:p>
      <w:pPr>
        <w:spacing w:after="0" w:line="100"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The Company made cash payments for operating leases of $9.4 million, $9.7 million and $10.0 million for the years ended December 31, 2022, 2021 and 2020, respectively, which were included in cash flows from operating activities within the Consolidated Statements of Cash Flows. In addition, for the years ended December 31, 2022 and 2021, the Company recorded right-of-use assets of $6.0 million and $1.4 million, respectively, which were obtained in exchange for lease obligations. For the years ended December 31, 2022 and 2021, the Company’s operating leases have a weighted average remaining lease term of 5.7 years and 6.8 years, respectively, and a weighted average discount rate of 6.1%.</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Balance sheet information for the Company’s leases as of December 31, 2022,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8"/>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5"/>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17,593</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34,570</w:t>
            </w:r>
          </w:p>
        </w:tc>
      </w:tr>
      <w:tr>
        <w:trPr>
          <w:trHeight w:val="39"/>
        </w:trPr>
        <w:tc>
          <w:tcPr>
            <w:tcW w:w="85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8,910</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8,364</w:t>
            </w:r>
          </w:p>
        </w:tc>
      </w:tr>
      <w:tr>
        <w:trPr>
          <w:trHeight w:val="211"/>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35,611</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36,966</w:t>
            </w:r>
          </w:p>
        </w:tc>
      </w:tr>
      <w:tr>
        <w:trPr>
          <w:trHeight w:val="206"/>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44,521</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45,330</w:t>
            </w: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6" w:name="page97"/>
    <w:bookmarkEnd w:id="9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2" w:lineRule="exact"/>
        <w:rPr>
          <w:sz w:val="20"/>
          <w:szCs w:val="20"/>
          <w:color w:val="auto"/>
        </w:rPr>
      </w:pPr>
    </w:p>
    <w:p>
      <w:pPr>
        <w:ind w:right="880" w:firstLine="396"/>
        <w:spacing w:after="0" w:line="269" w:lineRule="auto"/>
        <w:rPr>
          <w:sz w:val="20"/>
          <w:szCs w:val="20"/>
          <w:color w:val="auto"/>
        </w:rPr>
      </w:pPr>
      <w:r>
        <w:rPr>
          <w:rFonts w:ascii="Times New Roman" w:cs="Times New Roman" w:eastAsia="Times New Roman" w:hAnsi="Times New Roman"/>
          <w:sz w:val="18"/>
          <w:szCs w:val="18"/>
          <w:color w:val="auto"/>
        </w:rPr>
        <w:t>Future undiscounted lease payments for the Company’s operating lease liabilities and a reconciliation of these payments to its lease liabilities at December 31, 2022 are as follows (in thousands):</w:t>
      </w:r>
    </w:p>
    <w:tbl>
      <w:tblPr>
        <w:tblLayout w:type="fixed"/>
        <w:tblInd w:w="0" w:type="dxa"/>
        <w:tblCellMar>
          <w:top w:w="0" w:type="dxa"/>
          <w:left w:w="0" w:type="dxa"/>
          <w:bottom w:w="0" w:type="dxa"/>
          <w:right w:w="0" w:type="dxa"/>
        </w:tblCellMar>
      </w:tblPr>
      <w:tr>
        <w:trPr>
          <w:trHeight w:val="211"/>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future undiscounted lease payments to lease liabilities</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8"/>
              </w:rPr>
              <w:t>Lease Commitments</w:t>
            </w:r>
          </w:p>
        </w:tc>
      </w:tr>
      <w:tr>
        <w:trPr>
          <w:trHeight w:val="19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09"/>
        </w:trPr>
        <w:tc>
          <w:tcPr>
            <w:tcW w:w="9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9,335</w:t>
            </w:r>
          </w:p>
        </w:tc>
      </w:tr>
      <w:tr>
        <w:trPr>
          <w:trHeight w:val="213"/>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9,270</w:t>
            </w:r>
          </w:p>
        </w:tc>
      </w:tr>
      <w:tr>
        <w:trPr>
          <w:trHeight w:val="209"/>
        </w:trPr>
        <w:tc>
          <w:tcPr>
            <w:tcW w:w="9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9,224</w:t>
            </w:r>
          </w:p>
        </w:tc>
      </w:tr>
      <w:tr>
        <w:trPr>
          <w:trHeight w:val="213"/>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r>
      <w:tr>
        <w:trPr>
          <w:trHeight w:val="209"/>
        </w:trPr>
        <w:tc>
          <w:tcPr>
            <w:tcW w:w="9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w:t>
            </w:r>
          </w:p>
        </w:tc>
      </w:tr>
      <w:tr>
        <w:trPr>
          <w:trHeight w:val="213"/>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10,458</w:t>
            </w:r>
          </w:p>
        </w:tc>
      </w:tr>
      <w:tr>
        <w:trPr>
          <w:trHeight w:val="202"/>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undiscounted lease payments</w:t>
            </w: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53,790</w:t>
            </w:r>
          </w:p>
        </w:tc>
      </w:tr>
      <w:tr>
        <w:trPr>
          <w:trHeight w:val="204"/>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(9,269)</w:t>
            </w:r>
          </w:p>
        </w:tc>
      </w:tr>
      <w:tr>
        <w:trPr>
          <w:trHeight w:val="206"/>
        </w:trPr>
        <w:tc>
          <w:tcPr>
            <w:tcW w:w="9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44,521</w:t>
            </w:r>
          </w:p>
        </w:tc>
      </w:tr>
      <w:tr>
        <w:trPr>
          <w:trHeight w:val="20"/>
        </w:trPr>
        <w:tc>
          <w:tcPr>
            <w:tcW w:w="9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40" w:firstLine="396"/>
        <w:spacing w:after="0" w:line="257" w:lineRule="auto"/>
        <w:rPr>
          <w:sz w:val="20"/>
          <w:szCs w:val="20"/>
          <w:color w:val="auto"/>
        </w:rPr>
      </w:pPr>
      <w:r>
        <w:rPr>
          <w:rFonts w:ascii="Times New Roman" w:cs="Times New Roman" w:eastAsia="Times New Roman" w:hAnsi="Times New Roman"/>
          <w:sz w:val="18"/>
          <w:szCs w:val="18"/>
          <w:color w:val="auto"/>
        </w:rPr>
        <w:t>The Company’s most significant lease is for its headquarters in New York City, which was entered into in March 2013 and was amended in January 2016 (“ESB Lease”). As amended, the ESB Lease will expire in 2029, and the undiscounted remaining future minimum lease payments are approximately $44.7 million. The Company is also party to a letter of credit as a security deposit for this leased facility, in the amount of $1.7 million.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Lease and Related Assets</w:t>
      </w:r>
    </w:p>
    <w:p>
      <w:pPr>
        <w:spacing w:after="0" w:line="230" w:lineRule="exact"/>
        <w:rPr>
          <w:sz w:val="20"/>
          <w:szCs w:val="20"/>
          <w:color w:val="auto"/>
        </w:rPr>
      </w:pPr>
    </w:p>
    <w:p>
      <w:pPr>
        <w:jc w:val="both"/>
        <w:ind w:right="300" w:firstLine="396"/>
        <w:spacing w:after="0" w:line="257" w:lineRule="auto"/>
        <w:rPr>
          <w:sz w:val="20"/>
          <w:szCs w:val="20"/>
          <w:color w:val="auto"/>
        </w:rPr>
      </w:pPr>
      <w:r>
        <w:rPr>
          <w:rFonts w:ascii="Times New Roman" w:cs="Times New Roman" w:eastAsia="Times New Roman" w:hAnsi="Times New Roman"/>
          <w:sz w:val="18"/>
          <w:szCs w:val="18"/>
          <w:color w:val="auto"/>
        </w:rPr>
        <w:t>In the fourth quarter of 2022, the Company completed an analysis of leased-office usage and (i) ceased using certain of its office space, including two floors of its headquarters in New York City as well as (ii) abandoned certain other smaller office spaces. This triggered the recognition of an $18.7 million impairment charge, of which $15.9 million and $2.8 million relates to right-of-use assets and property and equipment, respectively.</w:t>
      </w:r>
    </w:p>
    <w:p>
      <w:pPr>
        <w:spacing w:after="0" w:line="113" w:lineRule="exact"/>
        <w:rPr>
          <w:sz w:val="20"/>
          <w:szCs w:val="20"/>
          <w:color w:val="auto"/>
        </w:rPr>
      </w:pPr>
    </w:p>
    <w:p>
      <w:pPr>
        <w:ind w:right="240" w:firstLine="396"/>
        <w:spacing w:after="0" w:line="250" w:lineRule="auto"/>
        <w:rPr>
          <w:sz w:val="20"/>
          <w:szCs w:val="20"/>
          <w:color w:val="auto"/>
        </w:rPr>
      </w:pPr>
      <w:r>
        <w:rPr>
          <w:rFonts w:ascii="Times New Roman" w:cs="Times New Roman" w:eastAsia="Times New Roman" w:hAnsi="Times New Roman"/>
          <w:sz w:val="18"/>
          <w:szCs w:val="18"/>
          <w:color w:val="auto"/>
        </w:rPr>
        <w:t>The Company calculated the fair value of the right-of-use asset and property and equipment for the impacted office spaces based on estimated future discounted cash flows using significant unobservable inputs. These inputs include (i) the length of time necessary to market the office space and commence receiving sub-lease income, (ii) the anticipated amount of sub-lease income and tenant improvement allowances, and (iii) a discount rate incorporating risks associated with these projected cash flows. This fair value measurement is classified as Level 3 in the fair value hierarchy. The Company fully impaired the Right-of-use assets and Property and equipment associated with the abandoned smaller office spaces.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Non-Lease Obligations</w:t>
      </w:r>
    </w:p>
    <w:p>
      <w:pPr>
        <w:spacing w:after="0" w:line="114" w:lineRule="exact"/>
        <w:rPr>
          <w:sz w:val="20"/>
          <w:szCs w:val="20"/>
          <w:color w:val="auto"/>
        </w:rPr>
      </w:pPr>
    </w:p>
    <w:p>
      <w:pPr>
        <w:ind w:right="360"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2022, the Company’s other unconditional cash obligations, consisting primarily of unconditional purchase obligations related to contracts for cloud-based services, infrastructure and other business services as well as minimum royalty guarantees in connection with certain content licenses, are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Other Obligations</w:t>
            </w:r>
          </w:p>
        </w:tc>
      </w:tr>
      <w:tr>
        <w:trPr>
          <w:trHeight w:val="207"/>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48,600</w:t>
            </w:r>
          </w:p>
        </w:tc>
      </w:tr>
      <w:tr>
        <w:trPr>
          <w:trHeight w:val="20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w:t>
            </w:r>
          </w:p>
        </w:tc>
      </w:tr>
      <w:tr>
        <w:trPr>
          <w:trHeight w:val="21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9,900</w:t>
            </w:r>
          </w:p>
        </w:tc>
      </w:tr>
      <w:tr>
        <w:trPr>
          <w:trHeight w:val="20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09"/>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31"/>
        </w:trPr>
        <w:tc>
          <w:tcPr>
            <w:tcW w:w="9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non-lease unconditional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97" w:name="page98"/>
    <w:bookmarkEnd w:id="9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40" w:lineRule="exact"/>
        <w:rPr>
          <w:sz w:val="20"/>
          <w:szCs w:val="20"/>
          <w:color w:val="auto"/>
        </w:rPr>
      </w:pPr>
    </w:p>
    <w:p>
      <w:pPr>
        <w:ind w:firstLine="396"/>
        <w:spacing w:after="0" w:line="281" w:lineRule="auto"/>
        <w:rPr>
          <w:sz w:val="20"/>
          <w:szCs w:val="20"/>
          <w:color w:val="auto"/>
        </w:rPr>
      </w:pPr>
      <w:r>
        <w:rPr>
          <w:rFonts w:ascii="Times New Roman" w:cs="Times New Roman" w:eastAsia="Times New Roman" w:hAnsi="Times New Roman"/>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Indemnifications</w:t>
      </w:r>
    </w:p>
    <w:p>
      <w:pPr>
        <w:spacing w:after="0" w:line="153" w:lineRule="exact"/>
        <w:rPr>
          <w:sz w:val="20"/>
          <w:szCs w:val="20"/>
          <w:color w:val="auto"/>
        </w:rPr>
      </w:pPr>
    </w:p>
    <w:p>
      <w:pPr>
        <w:ind w:right="20" w:firstLine="396"/>
        <w:spacing w:after="0" w:line="248"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As of December 31, 2022, the Company has recorded no liabilities related to indemnification for loss contingencies. Additionally, the Company believes that it has the appropriate insurance coverage in place to adequately cover such indemnification obligations, if necessary.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153" w:lineRule="exact"/>
        <w:rPr>
          <w:sz w:val="20"/>
          <w:szCs w:val="20"/>
          <w:color w:val="auto"/>
        </w:rPr>
      </w:pPr>
    </w:p>
    <w:p>
      <w:pPr>
        <w:jc w:val="both"/>
        <w:ind w:right="220" w:firstLine="396"/>
        <w:spacing w:after="0" w:line="257" w:lineRule="auto"/>
        <w:rPr>
          <w:sz w:val="20"/>
          <w:szCs w:val="20"/>
          <w:color w:val="auto"/>
        </w:rPr>
      </w:pPr>
      <w:r>
        <w:rPr>
          <w:rFonts w:ascii="Times New Roman" w:cs="Times New Roman" w:eastAsia="Times New Roman" w:hAnsi="Times New Roman"/>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sectPr>
      </w:pPr>
    </w:p>
    <w:bookmarkStart w:id="98" w:name="page99"/>
    <w:bookmarkEnd w:id="9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0" w:type="dxa"/>
            <w:vAlign w:val="bottom"/>
            <w:gridSpan w:val="25"/>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53"/>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40" w:type="dxa"/>
            <w:vAlign w:val="bottom"/>
            <w:gridSpan w:val="3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1"/>
        </w:trPr>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80" w:type="dxa"/>
            <w:vAlign w:val="bottom"/>
          </w:tcPr>
          <w:p>
            <w:pPr>
              <w:jc w:val="right"/>
              <w:ind w:right="10"/>
              <w:spacing w:after="0" w:line="144" w:lineRule="exact"/>
              <w:rPr>
                <w:sz w:val="20"/>
                <w:szCs w:val="20"/>
                <w:color w:val="auto"/>
              </w:rPr>
            </w:pPr>
            <w:r>
              <w:rPr>
                <w:rFonts w:ascii="Times New Roman" w:cs="Times New Roman" w:eastAsia="Times New Roman" w:hAnsi="Times New Roman"/>
                <w:sz w:val="14"/>
                <w:szCs w:val="14"/>
                <w:color w:val="auto"/>
              </w:rPr>
              <w:t>2.1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20" w:type="dxa"/>
            <w:vAlign w:val="bottom"/>
            <w:gridSpan w:val="45"/>
          </w:tcPr>
          <w:p>
            <w:pPr>
              <w:spacing w:after="0" w:line="144"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Agreement and Plan of Merger, dated as of October 5, 2012, between the Registrant and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80" w:type="dxa"/>
            <w:vAlign w:val="bottom"/>
            <w:tcBorders>
              <w:top w:val="single" w:sz="8" w:color="0000FF"/>
            </w:tcBorders>
            <w:gridSpan w:val="29"/>
          </w:tcPr>
          <w:p>
            <w:pPr>
              <w:spacing w:after="0" w:line="125"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Shutterstock Images LLC.</w:t>
              </w:r>
            </w:hyperlink>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Agreement and Plan of Merger, dated as of October 5, 2012, among the Registrant, Shutterstock</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60" w:type="dxa"/>
            <w:vAlign w:val="bottom"/>
            <w:tcBorders>
              <w:top w:val="single" w:sz="8" w:color="0000FF"/>
            </w:tcBorders>
            <w:gridSpan w:val="40"/>
          </w:tcPr>
          <w:p>
            <w:pPr>
              <w:spacing w:after="0" w:line="125"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Investors II, Inc., Insight Venture Partners (Cayman) V, L.P., Shutterstock Investors III, Inc. and</w:t>
              </w:r>
            </w:hyperlink>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0" w:type="dxa"/>
            <w:vAlign w:val="bottom"/>
            <w:tcBorders>
              <w:top w:val="single" w:sz="8" w:color="0000FF"/>
            </w:tcBorders>
            <w:gridSpan w:val="37"/>
          </w:tcPr>
          <w:p>
            <w:pPr>
              <w:spacing w:after="0" w:line="112" w:lineRule="exact"/>
              <w:rPr>
                <w:rFonts w:ascii="Times New Roman" w:cs="Times New Roman" w:eastAsia="Times New Roman" w:hAnsi="Times New Roman"/>
                <w:sz w:val="12"/>
                <w:szCs w:val="12"/>
                <w:color w:val="0000FF"/>
              </w:rPr>
            </w:pPr>
            <w:hyperlink r:id="rId116">
              <w:r>
                <w:rPr>
                  <w:rFonts w:ascii="Times New Roman" w:cs="Times New Roman" w:eastAsia="Times New Roman" w:hAnsi="Times New Roman"/>
                  <w:sz w:val="12"/>
                  <w:szCs w:val="12"/>
                  <w:color w:val="0000FF"/>
                </w:rPr>
                <w:t>Insight Venture Partners V Coinvestment Fund, L.P.</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w w:val="99"/>
              </w:rPr>
            </w:pPr>
            <w:hyperlink r:id="rId117">
              <w:r>
                <w:rPr>
                  <w:rFonts w:ascii="Times New Roman" w:cs="Times New Roman" w:eastAsia="Times New Roman" w:hAnsi="Times New Roman"/>
                  <w:sz w:val="14"/>
                  <w:szCs w:val="14"/>
                  <w:color w:val="0000FF"/>
                  <w:w w:val="99"/>
                </w:rPr>
                <w:t>Agreement and Plan of Merger, dated as of May 10, 2022.</w:t>
              </w:r>
            </w:hyperlink>
          </w:p>
        </w:tc>
        <w:tc>
          <w:tcPr>
            <w:tcW w:w="234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top w:val="single" w:sz="8" w:color="0000FF"/>
              <w:bottom w:val="single" w:sz="8" w:color="0000FF"/>
            </w:tcBorders>
            <w:gridSpan w:val="23"/>
          </w:tcPr>
          <w:p>
            <w:pPr>
              <w:spacing w:after="0"/>
              <w:rPr>
                <w:rFonts w:ascii="Times New Roman" w:cs="Times New Roman" w:eastAsia="Times New Roman" w:hAnsi="Times New Roman"/>
                <w:sz w:val="14"/>
                <w:szCs w:val="14"/>
                <w:color w:val="0000FF"/>
                <w:w w:val="99"/>
              </w:rPr>
            </w:pPr>
            <w:hyperlink r:id="rId119">
              <w:r>
                <w:rPr>
                  <w:rFonts w:ascii="Times New Roman" w:cs="Times New Roman" w:eastAsia="Times New Roman" w:hAnsi="Times New Roman"/>
                  <w:sz w:val="14"/>
                  <w:szCs w:val="14"/>
                  <w:color w:val="0000FF"/>
                  <w:w w:val="99"/>
                </w:rPr>
                <w:t>Amended and Restated Bylaws of the Registrant, as currently in effect.</w:t>
              </w:r>
            </w:hyperlink>
          </w:p>
        </w:tc>
        <w:tc>
          <w:tcPr>
            <w:tcW w:w="1120" w:type="dxa"/>
            <w:vAlign w:val="bottom"/>
            <w:tcBorders>
              <w:top w:val="single" w:sz="8" w:color="0000FF"/>
            </w:tcBorders>
            <w:gridSpan w:val="8"/>
          </w:tcPr>
          <w:p>
            <w:pPr>
              <w:spacing w:after="0"/>
              <w:rPr>
                <w:sz w:val="15"/>
                <w:szCs w:val="15"/>
                <w:color w:val="auto"/>
              </w:rPr>
            </w:pPr>
          </w:p>
        </w:tc>
        <w:tc>
          <w:tcPr>
            <w:tcW w:w="50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w w:val="99"/>
              </w:rPr>
            </w:pPr>
            <w:hyperlink r:id="rId120">
              <w:r>
                <w:rPr>
                  <w:rFonts w:ascii="Times New Roman" w:cs="Times New Roman" w:eastAsia="Times New Roman" w:hAnsi="Times New Roman"/>
                  <w:sz w:val="14"/>
                  <w:szCs w:val="14"/>
                  <w:color w:val="0000FF"/>
                  <w:w w:val="99"/>
                </w:rPr>
                <w:t>Specimen Stock Certificate of the Registrant</w:t>
              </w:r>
            </w:hyperlink>
          </w:p>
        </w:tc>
        <w:tc>
          <w:tcPr>
            <w:tcW w:w="3100" w:type="dxa"/>
            <w:vAlign w:val="bottom"/>
            <w:gridSpan w:val="32"/>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w w:val="99"/>
              </w:rPr>
            </w:pPr>
            <w:hyperlink r:id="rId121">
              <w:r>
                <w:rPr>
                  <w:rFonts w:ascii="Times New Roman" w:cs="Times New Roman" w:eastAsia="Times New Roman" w:hAnsi="Times New Roman"/>
                  <w:sz w:val="14"/>
                  <w:szCs w:val="14"/>
                  <w:color w:val="0000FF"/>
                  <w:w w:val="99"/>
                </w:rPr>
                <w:t>Description of the Registrant’s Securities</w:t>
              </w:r>
            </w:hyperlink>
          </w:p>
        </w:tc>
        <w:tc>
          <w:tcPr>
            <w:tcW w:w="3300" w:type="dxa"/>
            <w:vAlign w:val="bottom"/>
            <w:gridSpan w:val="34"/>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5560" w:type="dxa"/>
            <w:vAlign w:val="bottom"/>
            <w:tcBorders>
              <w:bottom w:val="single" w:sz="8" w:color="0000FF"/>
            </w:tcBorders>
            <w:gridSpan w:val="42"/>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Form of Indemnification Agreement between the Registrant and each of its Officers and Directors.</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10.2</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398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w w:val="99"/>
              </w:rPr>
            </w:pPr>
            <w:hyperlink r:id="rId123">
              <w:r>
                <w:rPr>
                  <w:rFonts w:ascii="Times New Roman" w:cs="Times New Roman" w:eastAsia="Times New Roman" w:hAnsi="Times New Roman"/>
                  <w:sz w:val="14"/>
                  <w:szCs w:val="14"/>
                  <w:color w:val="0000FF"/>
                  <w:w w:val="99"/>
                </w:rPr>
                <w:t>2012 Omnibus Equity Incentive Plan and Form of Award Agreements.</w:t>
              </w:r>
            </w:hyperlink>
          </w:p>
        </w:tc>
        <w:tc>
          <w:tcPr>
            <w:tcW w:w="164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2022 Omnibus Equity Incentive Plan and Form of Award Agreement</w:t>
              </w:r>
            </w:hyperlink>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10.4</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4"/>
                <w:szCs w:val="14"/>
                <w:color w:val="0000FF"/>
                <w:w w:val="99"/>
              </w:rPr>
            </w:pPr>
            <w:hyperlink r:id="rId125">
              <w:r>
                <w:rPr>
                  <w:rFonts w:ascii="Times New Roman" w:cs="Times New Roman" w:eastAsia="Times New Roman" w:hAnsi="Times New Roman"/>
                  <w:sz w:val="14"/>
                  <w:szCs w:val="14"/>
                  <w:color w:val="0000FF"/>
                  <w:w w:val="99"/>
                </w:rPr>
                <w:t>Shutterstock, Inc. Short-Term Incentive Plan.</w:t>
              </w:r>
            </w:hyperlink>
          </w:p>
        </w:tc>
        <w:tc>
          <w:tcPr>
            <w:tcW w:w="1320" w:type="dxa"/>
            <w:vAlign w:val="bottom"/>
            <w:tcBorders>
              <w:top w:val="single" w:sz="8" w:color="0000FF"/>
            </w:tcBorders>
            <w:gridSpan w:val="7"/>
          </w:tcPr>
          <w:p>
            <w:pPr>
              <w:spacing w:after="0"/>
              <w:rPr>
                <w:sz w:val="15"/>
                <w:szCs w:val="15"/>
                <w:color w:val="auto"/>
              </w:rPr>
            </w:pPr>
          </w:p>
        </w:tc>
        <w:tc>
          <w:tcPr>
            <w:tcW w:w="174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10.5(a)</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Employment Agreement between Shutterstock Images LLC and Jonathan Oringer dated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60" w:type="dxa"/>
            <w:vAlign w:val="bottom"/>
            <w:tcBorders>
              <w:top w:val="single" w:sz="8" w:color="0000FF"/>
            </w:tcBorders>
            <w:gridSpan w:val="28"/>
          </w:tcPr>
          <w:p>
            <w:pPr>
              <w:spacing w:after="0" w:line="125"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September 24, 2012.</w:t>
              </w:r>
            </w:hyperlink>
          </w:p>
        </w:tc>
        <w:tc>
          <w:tcPr>
            <w:tcW w:w="40" w:type="dxa"/>
            <w:vAlign w:val="bottom"/>
            <w:gridSpan w:val="2"/>
          </w:tcPr>
          <w:p>
            <w:pPr>
              <w:spacing w:after="0"/>
              <w:rPr>
                <w:sz w:val="10"/>
                <w:szCs w:val="10"/>
                <w:color w:val="auto"/>
              </w:rPr>
            </w:pPr>
          </w:p>
        </w:tc>
        <w:tc>
          <w:tcPr>
            <w:tcW w:w="2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10.5(b)</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Severance and Change in Control Agreement between Shutterstock Images LLC and Jonathan</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Borders>
              <w:top w:val="single" w:sz="8" w:color="0000FF"/>
              <w:bottom w:val="single" w:sz="8" w:color="0000FF"/>
            </w:tcBorders>
            <w:gridSpan w:val="8"/>
          </w:tcPr>
          <w:p>
            <w:pPr>
              <w:spacing w:after="0" w:line="125" w:lineRule="exact"/>
              <w:rPr>
                <w:rFonts w:ascii="Times New Roman" w:cs="Times New Roman" w:eastAsia="Times New Roman" w:hAnsi="Times New Roman"/>
                <w:sz w:val="14"/>
                <w:szCs w:val="14"/>
                <w:color w:val="0000FF"/>
                <w:w w:val="99"/>
              </w:rPr>
            </w:pPr>
            <w:hyperlink r:id="rId127">
              <w:r>
                <w:rPr>
                  <w:rFonts w:ascii="Times New Roman" w:cs="Times New Roman" w:eastAsia="Times New Roman" w:hAnsi="Times New Roman"/>
                  <w:sz w:val="14"/>
                  <w:szCs w:val="14"/>
                  <w:color w:val="0000FF"/>
                  <w:w w:val="99"/>
                </w:rPr>
                <w:t>Oringer dated September 24, 2012.</w:t>
              </w:r>
            </w:hyperlink>
          </w:p>
        </w:tc>
        <w:tc>
          <w:tcPr>
            <w:tcW w:w="3320" w:type="dxa"/>
            <w:vAlign w:val="bottom"/>
            <w:tcBorders>
              <w:top w:val="single" w:sz="8" w:color="0000FF"/>
            </w:tcBorders>
            <w:gridSpan w:val="26"/>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10.5(c)</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Summary of Compensatory Arrangements with Jonathan Oringer, dated April 24, 2014.</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10.5(d)</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Amendment to Employment Agreement, dated February 11, 2020, by and between Jon Oringer</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0" w:type="dxa"/>
            <w:vAlign w:val="bottom"/>
            <w:tcBorders>
              <w:top w:val="single" w:sz="8" w:color="0000FF"/>
            </w:tcBorders>
            <w:gridSpan w:val="44"/>
          </w:tcPr>
          <w:p>
            <w:pPr>
              <w:spacing w:after="0" w:line="125"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and Shutterstock, Inc.</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10.5(e)</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Amendment to Severance and Change in Control Agreement, dated February 11, 2020, by and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bottom w:val="single" w:sz="8" w:color="0000FF"/>
            </w:tcBorders>
            <w:gridSpan w:val="12"/>
          </w:tcPr>
          <w:p>
            <w:pPr>
              <w:spacing w:after="0" w:line="125" w:lineRule="exact"/>
              <w:rPr>
                <w:rFonts w:ascii="Times New Roman" w:cs="Times New Roman" w:eastAsia="Times New Roman" w:hAnsi="Times New Roman"/>
                <w:sz w:val="14"/>
                <w:szCs w:val="14"/>
                <w:color w:val="0000FF"/>
                <w:w w:val="99"/>
              </w:rPr>
            </w:pPr>
            <w:hyperlink r:id="rId130">
              <w:r>
                <w:rPr>
                  <w:rFonts w:ascii="Times New Roman" w:cs="Times New Roman" w:eastAsia="Times New Roman" w:hAnsi="Times New Roman"/>
                  <w:sz w:val="14"/>
                  <w:szCs w:val="14"/>
                  <w:color w:val="0000FF"/>
                  <w:w w:val="99"/>
                </w:rPr>
                <w:t>between Jon Oringer and Shutterstock, Inc.</w:t>
              </w:r>
            </w:hyperlink>
          </w:p>
        </w:tc>
        <w:tc>
          <w:tcPr>
            <w:tcW w:w="3140" w:type="dxa"/>
            <w:vAlign w:val="bottom"/>
            <w:tcBorders>
              <w:top w:val="single" w:sz="8" w:color="0000FF"/>
            </w:tcBorders>
            <w:gridSpan w:val="31"/>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Lease Agreement, between Shutterstock, Inc. and Empire State Building Company LLC, dated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0000FF"/>
              <w:bottom w:val="single" w:sz="8" w:color="0000FF"/>
            </w:tcBorders>
            <w:gridSpan w:val="2"/>
          </w:tcPr>
          <w:p>
            <w:pPr>
              <w:spacing w:after="0" w:line="125" w:lineRule="exact"/>
              <w:rPr>
                <w:rFonts w:ascii="Times New Roman" w:cs="Times New Roman" w:eastAsia="Times New Roman" w:hAnsi="Times New Roman"/>
                <w:sz w:val="14"/>
                <w:szCs w:val="14"/>
                <w:color w:val="0000FF"/>
                <w:w w:val="99"/>
              </w:rPr>
            </w:pPr>
            <w:hyperlink r:id="rId131">
              <w:r>
                <w:rPr>
                  <w:rFonts w:ascii="Times New Roman" w:cs="Times New Roman" w:eastAsia="Times New Roman" w:hAnsi="Times New Roman"/>
                  <w:sz w:val="14"/>
                  <w:szCs w:val="14"/>
                  <w:color w:val="0000FF"/>
                  <w:w w:val="99"/>
                </w:rPr>
                <w:t>March 21, 2013.</w:t>
              </w:r>
            </w:hyperlink>
          </w:p>
        </w:tc>
        <w:tc>
          <w:tcPr>
            <w:tcW w:w="4400" w:type="dxa"/>
            <w:vAlign w:val="bottom"/>
            <w:tcBorders>
              <w:top w:val="single" w:sz="8" w:color="0000FF"/>
            </w:tcBorders>
            <w:gridSpan w:val="33"/>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First Lease Modification Agreement, by and between Shutterstock, Inc. and ESRT Empire State</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Borders>
              <w:top w:val="single" w:sz="8" w:color="0000FF"/>
              <w:bottom w:val="single" w:sz="8" w:color="0000FF"/>
            </w:tcBorders>
            <w:gridSpan w:val="11"/>
          </w:tcPr>
          <w:p>
            <w:pPr>
              <w:spacing w:after="0" w:line="125" w:lineRule="exact"/>
              <w:rPr>
                <w:rFonts w:ascii="Times New Roman" w:cs="Times New Roman" w:eastAsia="Times New Roman" w:hAnsi="Times New Roman"/>
                <w:sz w:val="14"/>
                <w:szCs w:val="14"/>
                <w:color w:val="0000FF"/>
                <w:w w:val="99"/>
              </w:rPr>
            </w:pPr>
            <w:hyperlink r:id="rId132">
              <w:r>
                <w:rPr>
                  <w:rFonts w:ascii="Times New Roman" w:cs="Times New Roman" w:eastAsia="Times New Roman" w:hAnsi="Times New Roman"/>
                  <w:sz w:val="14"/>
                  <w:szCs w:val="14"/>
                  <w:color w:val="0000FF"/>
                  <w:w w:val="99"/>
                </w:rPr>
                <w:t>Building, L.L.C., dated August 31, 2015.</w:t>
              </w:r>
            </w:hyperlink>
          </w:p>
        </w:tc>
        <w:tc>
          <w:tcPr>
            <w:tcW w:w="3100" w:type="dxa"/>
            <w:vAlign w:val="bottom"/>
            <w:tcBorders>
              <w:top w:val="single" w:sz="8" w:color="0000FF"/>
            </w:tcBorders>
            <w:gridSpan w:val="27"/>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Second Lease Modification and Extension Agreement, by and between Shutterstock, Inc. and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20" w:type="dxa"/>
            <w:vAlign w:val="bottom"/>
            <w:tcBorders>
              <w:top w:val="single" w:sz="8" w:color="0000FF"/>
              <w:bottom w:val="single" w:sz="8" w:color="0000FF"/>
            </w:tcBorders>
            <w:gridSpan w:val="20"/>
          </w:tcPr>
          <w:p>
            <w:pPr>
              <w:spacing w:after="0" w:line="125" w:lineRule="exact"/>
              <w:rPr>
                <w:rFonts w:ascii="Times New Roman" w:cs="Times New Roman" w:eastAsia="Times New Roman" w:hAnsi="Times New Roman"/>
                <w:sz w:val="14"/>
                <w:szCs w:val="14"/>
                <w:color w:val="0000FF"/>
                <w:w w:val="99"/>
              </w:rPr>
            </w:pPr>
            <w:hyperlink r:id="rId133">
              <w:r>
                <w:rPr>
                  <w:rFonts w:ascii="Times New Roman" w:cs="Times New Roman" w:eastAsia="Times New Roman" w:hAnsi="Times New Roman"/>
                  <w:sz w:val="14"/>
                  <w:szCs w:val="14"/>
                  <w:color w:val="0000FF"/>
                  <w:w w:val="99"/>
                </w:rPr>
                <w:t>ESRT Empire State Building, L.L.C., dated January 8, 2016.</w:t>
              </w:r>
            </w:hyperlink>
          </w:p>
        </w:tc>
        <w:tc>
          <w:tcPr>
            <w:tcW w:w="1860" w:type="dxa"/>
            <w:vAlign w:val="bottom"/>
            <w:tcBorders>
              <w:top w:val="single" w:sz="8" w:color="0000FF"/>
            </w:tcBorders>
            <w:gridSpan w:val="13"/>
          </w:tcPr>
          <w:p>
            <w:pPr>
              <w:spacing w:after="0"/>
              <w:rPr>
                <w:sz w:val="10"/>
                <w:szCs w:val="10"/>
                <w:color w:val="auto"/>
              </w:rPr>
            </w:pPr>
          </w:p>
        </w:tc>
        <w:tc>
          <w:tcPr>
            <w:tcW w:w="10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Third Lease Modification Agreement, dated July 19, 2016, by and between Shutterstock, Inc. and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80" w:type="dxa"/>
            <w:vAlign w:val="bottom"/>
            <w:tcBorders>
              <w:top w:val="single" w:sz="8" w:color="0000FF"/>
              <w:bottom w:val="single" w:sz="8" w:color="0000FF"/>
            </w:tcBorders>
            <w:gridSpan w:val="10"/>
          </w:tcPr>
          <w:p>
            <w:pPr>
              <w:spacing w:after="0" w:line="125" w:lineRule="exact"/>
              <w:rPr>
                <w:rFonts w:ascii="Times New Roman" w:cs="Times New Roman" w:eastAsia="Times New Roman" w:hAnsi="Times New Roman"/>
                <w:sz w:val="14"/>
                <w:szCs w:val="14"/>
                <w:color w:val="0000FF"/>
                <w:w w:val="99"/>
              </w:rPr>
            </w:pPr>
            <w:hyperlink r:id="rId134">
              <w:r>
                <w:rPr>
                  <w:rFonts w:ascii="Times New Roman" w:cs="Times New Roman" w:eastAsia="Times New Roman" w:hAnsi="Times New Roman"/>
                  <w:sz w:val="14"/>
                  <w:szCs w:val="14"/>
                  <w:color w:val="0000FF"/>
                  <w:w w:val="99"/>
                </w:rPr>
                <w:t>ESRT Empire State Building, L.L.C.</w:t>
              </w:r>
            </w:hyperlink>
          </w:p>
        </w:tc>
        <w:tc>
          <w:tcPr>
            <w:tcW w:w="3420" w:type="dxa"/>
            <w:vAlign w:val="bottom"/>
            <w:tcBorders>
              <w:top w:val="single" w:sz="8" w:color="0000FF"/>
            </w:tcBorders>
            <w:gridSpan w:val="31"/>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274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w w:val="99"/>
              </w:rPr>
            </w:pPr>
            <w:hyperlink r:id="rId135">
              <w:r>
                <w:rPr>
                  <w:rFonts w:ascii="Times New Roman" w:cs="Times New Roman" w:eastAsia="Times New Roman" w:hAnsi="Times New Roman"/>
                  <w:sz w:val="14"/>
                  <w:szCs w:val="14"/>
                  <w:color w:val="0000FF"/>
                  <w:w w:val="99"/>
                </w:rPr>
                <w:t>Shutterstock, Inc. Director Compensation Policy</w:t>
              </w:r>
            </w:hyperlink>
          </w:p>
        </w:tc>
        <w:tc>
          <w:tcPr>
            <w:tcW w:w="2880" w:type="dxa"/>
            <w:vAlign w:val="bottom"/>
            <w:gridSpan w:val="30"/>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60" w:type="dxa"/>
            <w:vAlign w:val="bottom"/>
            <w:tcBorders>
              <w:top w:val="single" w:sz="8" w:color="0000FF"/>
            </w:tcBorders>
            <w:gridSpan w:val="32"/>
          </w:tcPr>
          <w:p>
            <w:pPr>
              <w:spacing w:after="0" w:line="125"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Agreement</w:t>
              </w:r>
            </w:hyperlink>
          </w:p>
        </w:tc>
        <w:tc>
          <w:tcPr>
            <w:tcW w:w="12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tcBorders>
              <w:top w:val="single" w:sz="8" w:color="0000FF"/>
              <w:bottom w:val="single" w:sz="8" w:color="0000FF"/>
            </w:tcBorders>
            <w:gridSpan w:val="9"/>
          </w:tcPr>
          <w:p>
            <w:pPr>
              <w:spacing w:after="0" w:line="125" w:lineRule="exact"/>
              <w:rPr>
                <w:rFonts w:ascii="Times New Roman" w:cs="Times New Roman" w:eastAsia="Times New Roman" w:hAnsi="Times New Roman"/>
                <w:sz w:val="14"/>
                <w:szCs w:val="14"/>
                <w:color w:val="0000FF"/>
                <w:w w:val="99"/>
              </w:rPr>
            </w:pPr>
            <w:hyperlink r:id="rId137">
              <w:r>
                <w:rPr>
                  <w:rFonts w:ascii="Times New Roman" w:cs="Times New Roman" w:eastAsia="Times New Roman" w:hAnsi="Times New Roman"/>
                  <w:sz w:val="14"/>
                  <w:szCs w:val="14"/>
                  <w:color w:val="0000FF"/>
                  <w:w w:val="99"/>
                </w:rPr>
                <w:t>Agreement for Canadian Employees</w:t>
              </w:r>
            </w:hyperlink>
          </w:p>
        </w:tc>
        <w:tc>
          <w:tcPr>
            <w:tcW w:w="3200" w:type="dxa"/>
            <w:vAlign w:val="bottom"/>
            <w:tcBorders>
              <w:top w:val="single" w:sz="8" w:color="0000FF"/>
            </w:tcBorders>
            <w:gridSpan w:val="23"/>
          </w:tcPr>
          <w:p>
            <w:pPr>
              <w:spacing w:after="0"/>
              <w:rPr>
                <w:sz w:val="10"/>
                <w:szCs w:val="10"/>
                <w:color w:val="auto"/>
              </w:rPr>
            </w:pPr>
          </w:p>
        </w:tc>
        <w:tc>
          <w:tcPr>
            <w:tcW w:w="12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Shutterstock, Inc. Form of 2012 Omnibus Equity Incentive Plan Deferred Restricted Stock Unit</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Borders>
              <w:top w:val="single" w:sz="8" w:color="0000FF"/>
              <w:bottom w:val="single" w:sz="8" w:color="0000FF"/>
            </w:tcBorders>
            <w:gridSpan w:val="3"/>
          </w:tcPr>
          <w:p>
            <w:pPr>
              <w:spacing w:after="0" w:line="125" w:lineRule="exact"/>
              <w:rPr>
                <w:rFonts w:ascii="Times New Roman" w:cs="Times New Roman" w:eastAsia="Times New Roman" w:hAnsi="Times New Roman"/>
                <w:sz w:val="14"/>
                <w:szCs w:val="14"/>
                <w:color w:val="0000FF"/>
                <w:w w:val="98"/>
              </w:rPr>
            </w:pPr>
            <w:hyperlink r:id="rId138">
              <w:r>
                <w:rPr>
                  <w:rFonts w:ascii="Times New Roman" w:cs="Times New Roman" w:eastAsia="Times New Roman" w:hAnsi="Times New Roman"/>
                  <w:sz w:val="14"/>
                  <w:szCs w:val="14"/>
                  <w:color w:val="0000FF"/>
                  <w:w w:val="98"/>
                </w:rPr>
                <w:t>Award Agreement</w:t>
              </w:r>
            </w:hyperlink>
          </w:p>
        </w:tc>
        <w:tc>
          <w:tcPr>
            <w:tcW w:w="4340" w:type="dxa"/>
            <w:vAlign w:val="bottom"/>
            <w:tcBorders>
              <w:top w:val="single" w:sz="8" w:color="0000FF"/>
            </w:tcBorders>
            <w:gridSpan w:val="33"/>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Shutterstock, Inc. Amended and Restated 2012 Omnibus 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1900" w:type="dxa"/>
            <w:vAlign w:val="bottom"/>
            <w:gridSpan w:val="11"/>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tcBorders>
              <w:top w:val="single" w:sz="8" w:color="0000FF"/>
              <w:bottom w:val="single" w:sz="8" w:color="0000FF"/>
            </w:tcBorders>
            <w:gridSpan w:val="17"/>
          </w:tcPr>
          <w:p>
            <w:pPr>
              <w:spacing w:after="0" w:line="125" w:lineRule="exact"/>
              <w:rPr>
                <w:rFonts w:ascii="Times New Roman" w:cs="Times New Roman" w:eastAsia="Times New Roman" w:hAnsi="Times New Roman"/>
                <w:sz w:val="14"/>
                <w:szCs w:val="14"/>
                <w:color w:val="0000FF"/>
                <w:w w:val="99"/>
              </w:rPr>
            </w:pPr>
            <w:hyperlink r:id="rId140">
              <w:r>
                <w:rPr>
                  <w:rFonts w:ascii="Times New Roman" w:cs="Times New Roman" w:eastAsia="Times New Roman" w:hAnsi="Times New Roman"/>
                  <w:sz w:val="14"/>
                  <w:szCs w:val="14"/>
                  <w:color w:val="0000FF"/>
                  <w:w w:val="99"/>
                </w:rPr>
                <w:t>Unit Award Agreement, as amended September 15, 2016</w:t>
              </w:r>
            </w:hyperlink>
          </w:p>
        </w:tc>
        <w:tc>
          <w:tcPr>
            <w:tcW w:w="2220" w:type="dxa"/>
            <w:vAlign w:val="bottom"/>
            <w:tcBorders>
              <w:top w:val="single" w:sz="8" w:color="0000FF"/>
            </w:tcBorders>
            <w:gridSpan w:val="22"/>
          </w:tcPr>
          <w:p>
            <w:pPr>
              <w:spacing w:after="0"/>
              <w:rPr>
                <w:sz w:val="10"/>
                <w:szCs w:val="10"/>
                <w:color w:val="auto"/>
              </w:rPr>
            </w:pPr>
          </w:p>
        </w:tc>
        <w:tc>
          <w:tcPr>
            <w:tcW w:w="12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bottom w:val="single" w:sz="8" w:color="0000FF"/>
            </w:tcBorders>
            <w:gridSpan w:val="26"/>
          </w:tcPr>
          <w:p>
            <w:pPr>
              <w:spacing w:after="0" w:line="125" w:lineRule="exact"/>
              <w:rPr>
                <w:rFonts w:ascii="Times New Roman" w:cs="Times New Roman" w:eastAsia="Times New Roman" w:hAnsi="Times New Roman"/>
                <w:sz w:val="14"/>
                <w:szCs w:val="14"/>
                <w:color w:val="0000FF"/>
                <w:w w:val="99"/>
              </w:rPr>
            </w:pPr>
            <w:hyperlink r:id="rId141">
              <w:r>
                <w:rPr>
                  <w:rFonts w:ascii="Times New Roman" w:cs="Times New Roman" w:eastAsia="Times New Roman" w:hAnsi="Times New Roman"/>
                  <w:sz w:val="14"/>
                  <w:szCs w:val="14"/>
                  <w:color w:val="0000FF"/>
                  <w:w w:val="99"/>
                </w:rPr>
                <w:t>Unit Award Agreement for Canadian Employees, as amended September 15, 2016</w:t>
              </w:r>
            </w:hyperlink>
          </w:p>
        </w:tc>
        <w:tc>
          <w:tcPr>
            <w:tcW w:w="800" w:type="dxa"/>
            <w:vAlign w:val="bottom"/>
            <w:tcBorders>
              <w:top w:val="single" w:sz="8" w:color="0000FF"/>
            </w:tcBorders>
            <w:gridSpan w:val="13"/>
          </w:tcPr>
          <w:p>
            <w:pPr>
              <w:spacing w:after="0"/>
              <w:rPr>
                <w:sz w:val="10"/>
                <w:szCs w:val="10"/>
                <w:color w:val="auto"/>
              </w:rPr>
            </w:pPr>
          </w:p>
        </w:tc>
        <w:tc>
          <w:tcPr>
            <w:tcW w:w="12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Shutterstock, Inc. 2012 Amended and Restated Omnibus Equity Incentive Plan Deferred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80" w:type="dxa"/>
            <w:vAlign w:val="bottom"/>
            <w:tcBorders>
              <w:top w:val="single" w:sz="8" w:color="0000FF"/>
              <w:bottom w:val="single" w:sz="8" w:color="0000FF"/>
            </w:tcBorders>
            <w:gridSpan w:val="24"/>
          </w:tcPr>
          <w:p>
            <w:pPr>
              <w:spacing w:after="0" w:line="125" w:lineRule="exact"/>
              <w:rPr>
                <w:rFonts w:ascii="Times New Roman" w:cs="Times New Roman" w:eastAsia="Times New Roman" w:hAnsi="Times New Roman"/>
                <w:sz w:val="14"/>
                <w:szCs w:val="14"/>
                <w:color w:val="0000FF"/>
                <w:w w:val="99"/>
              </w:rPr>
            </w:pPr>
            <w:hyperlink r:id="rId142">
              <w:r>
                <w:rPr>
                  <w:rFonts w:ascii="Times New Roman" w:cs="Times New Roman" w:eastAsia="Times New Roman" w:hAnsi="Times New Roman"/>
                  <w:sz w:val="14"/>
                  <w:szCs w:val="14"/>
                  <w:color w:val="0000FF"/>
                  <w:w w:val="99"/>
                </w:rPr>
                <w:t>Restricted Stock Unit Award Agreement, as amended September 15, 2016</w:t>
              </w:r>
            </w:hyperlink>
          </w:p>
        </w:tc>
        <w:tc>
          <w:tcPr>
            <w:tcW w:w="820" w:type="dxa"/>
            <w:vAlign w:val="bottom"/>
            <w:tcBorders>
              <w:top w:val="single" w:sz="8" w:color="0000FF"/>
            </w:tcBorders>
            <w:gridSpan w:val="6"/>
          </w:tcPr>
          <w:p>
            <w:pPr>
              <w:spacing w:after="0"/>
              <w:rPr>
                <w:sz w:val="10"/>
                <w:szCs w:val="10"/>
                <w:color w:val="auto"/>
              </w:rPr>
            </w:pPr>
          </w:p>
        </w:tc>
        <w:tc>
          <w:tcPr>
            <w:tcW w:w="560" w:type="dxa"/>
            <w:vAlign w:val="bottom"/>
            <w:gridSpan w:val="1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Shutterstock, Inc. 2012 Amended and Restated Omnibus Equity Incentive Plan Performance Stock</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Borders>
              <w:top w:val="single" w:sz="8" w:color="0000FF"/>
              <w:bottom w:val="single" w:sz="8" w:color="0000FF"/>
            </w:tcBorders>
            <w:gridSpan w:val="6"/>
          </w:tcPr>
          <w:p>
            <w:pPr>
              <w:spacing w:after="0" w:line="125" w:lineRule="exact"/>
              <w:rPr>
                <w:rFonts w:ascii="Times New Roman" w:cs="Times New Roman" w:eastAsia="Times New Roman" w:hAnsi="Times New Roman"/>
                <w:sz w:val="14"/>
                <w:szCs w:val="14"/>
                <w:color w:val="0000FF"/>
                <w:w w:val="98"/>
              </w:rPr>
            </w:pPr>
            <w:hyperlink r:id="rId143">
              <w:r>
                <w:rPr>
                  <w:rFonts w:ascii="Times New Roman" w:cs="Times New Roman" w:eastAsia="Times New Roman" w:hAnsi="Times New Roman"/>
                  <w:sz w:val="14"/>
                  <w:szCs w:val="14"/>
                  <w:color w:val="0000FF"/>
                  <w:w w:val="98"/>
                </w:rPr>
                <w:t>Unit Award Agreement</w:t>
              </w:r>
            </w:hyperlink>
          </w:p>
        </w:tc>
        <w:tc>
          <w:tcPr>
            <w:tcW w:w="4240" w:type="dxa"/>
            <w:vAlign w:val="bottom"/>
            <w:tcBorders>
              <w:top w:val="single" w:sz="8" w:color="0000FF"/>
            </w:tcBorders>
            <w:gridSpan w:val="36"/>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5620" w:type="dxa"/>
            <w:vAlign w:val="bottom"/>
            <w:gridSpan w:val="45"/>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40" w:type="dxa"/>
            <w:vAlign w:val="bottom"/>
            <w:tcBorders>
              <w:top w:val="single" w:sz="8" w:color="0000FF"/>
            </w:tcBorders>
            <w:gridSpan w:val="39"/>
          </w:tcPr>
          <w:p>
            <w:pPr>
              <w:spacing w:after="0" w:line="125"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Unit Award Agreement, for grants subsequent to April 2020</w:t>
              </w:r>
            </w:hyperlink>
          </w:p>
        </w:tc>
        <w:tc>
          <w:tcPr>
            <w:tcW w:w="18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891540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83"/>
        </w:trPr>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0" w:type="dxa"/>
            <w:vAlign w:val="bottom"/>
          </w:tcPr>
          <w:p>
            <w:pPr>
              <w:spacing w:after="0"/>
              <w:rPr>
                <w:sz w:val="15"/>
                <w:szCs w:val="15"/>
                <w:color w:val="auto"/>
              </w:rPr>
            </w:pPr>
          </w:p>
        </w:tc>
        <w:tc>
          <w:tcPr>
            <w:tcW w:w="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October 5, 2012</w:t>
            </w:r>
          </w:p>
        </w:tc>
      </w:tr>
      <w:tr>
        <w:trPr>
          <w:trHeight w:val="32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5, 2012</w:t>
            </w:r>
          </w:p>
        </w:tc>
      </w:tr>
      <w:tr>
        <w:trPr>
          <w:trHeight w:val="475"/>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11, 2022</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29, 2012</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S-3ASR</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333-243706</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10, 2020</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30, 2012</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27, 2015</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14A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N/A</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21, 2022</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30, 2012</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10.8(a)</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10.8(b)</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N/A</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28, 2014</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10, 2013</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6, 2015</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13, 2016</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4, 2016</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26, 2019</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2016</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2016</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2016</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4, 2016</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4, 2016</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4, 2016</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4, 2016</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11, 2020</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27, 2021</w:t>
            </w:r>
          </w:p>
        </w:tc>
      </w:tr>
    </w:tbl>
    <w:p>
      <w:pPr>
        <w:sectPr>
          <w:pgSz w:w="11900" w:h="16838" w:orient="portrait"/>
          <w:cols w:equalWidth="0" w:num="2">
            <w:col w:w="6780" w:space="100"/>
            <w:col w:w="4360"/>
          </w:cols>
          <w:pgMar w:left="320" w:top="121" w:right="339" w:bottom="1440" w:gutter="0" w:footer="0" w:header="0"/>
        </w:sectPr>
      </w:pPr>
    </w:p>
    <w:bookmarkStart w:id="99" w:name="page100"/>
    <w:bookmarkEnd w:id="99"/>
    <w:p>
      <w:pPr>
        <w:ind w:left="394"/>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34"/>
          </w:cols>
          <w:pgMar w:left="326"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5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 w:lineRule="exact"/>
        <w:rPr>
          <w:sz w:val="20"/>
          <w:szCs w:val="20"/>
          <w:color w:val="auto"/>
        </w:rPr>
      </w:pPr>
    </w:p>
    <w:p>
      <w:pPr>
        <w:ind w:left="134"/>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10.20(a)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4857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140" w:type="dxa"/>
            <w:vAlign w:val="bottom"/>
            <w:gridSpan w:val="3"/>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gridSpan w:val="3"/>
            <w:vMerge w:val="continue"/>
          </w:tcPr>
          <w:p>
            <w:pPr>
              <w:spacing w:after="0"/>
              <w:rPr>
                <w:sz w:val="16"/>
                <w:szCs w:val="16"/>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5"/>
        </w:trPr>
        <w:tc>
          <w:tcPr>
            <w:tcW w:w="20" w:type="dxa"/>
            <w:vAlign w:val="bottom"/>
            <w:tcBorders>
              <w:top w:val="single" w:sz="8" w:color="auto"/>
            </w:tcBorders>
          </w:tcPr>
          <w:p>
            <w:pPr>
              <w:spacing w:after="0"/>
              <w:rPr>
                <w:sz w:val="12"/>
                <w:szCs w:val="12"/>
                <w:color w:val="auto"/>
              </w:rPr>
            </w:pPr>
          </w:p>
        </w:tc>
        <w:tc>
          <w:tcPr>
            <w:tcW w:w="5600" w:type="dxa"/>
            <w:vAlign w:val="bottom"/>
            <w:tcBorders>
              <w:top w:val="single" w:sz="8" w:color="auto"/>
            </w:tcBorders>
            <w:gridSpan w:val="3"/>
          </w:tcPr>
          <w:p>
            <w:pPr>
              <w:spacing w:after="0" w:line="145"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Employment Agreement, dated August 5, 2019, by and between the Company and Steven</w:t>
              </w:r>
            </w:hyperlink>
          </w:p>
        </w:tc>
        <w:tc>
          <w:tcPr>
            <w:tcW w:w="100" w:type="dxa"/>
            <w:vAlign w:val="bottom"/>
          </w:tcPr>
          <w:p>
            <w:pPr>
              <w:spacing w:after="0"/>
              <w:rPr>
                <w:sz w:val="12"/>
                <w:szCs w:val="12"/>
                <w:color w:val="auto"/>
              </w:rPr>
            </w:pPr>
          </w:p>
        </w:tc>
        <w:tc>
          <w:tcPr>
            <w:tcW w:w="820" w:type="dxa"/>
            <w:vAlign w:val="bottom"/>
            <w:tcBorders>
              <w:top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2"/>
                <w:szCs w:val="12"/>
                <w:color w:val="auto"/>
              </w:rPr>
            </w:pPr>
          </w:p>
        </w:tc>
        <w:tc>
          <w:tcPr>
            <w:tcW w:w="980" w:type="dxa"/>
            <w:vAlign w:val="bottom"/>
            <w:tcBorders>
              <w:top w:val="single" w:sz="8" w:color="auto"/>
            </w:tcBorders>
          </w:tcPr>
          <w:p>
            <w:pPr>
              <w:jc w:val="right"/>
              <w:ind w:right="290"/>
              <w:spacing w:after="0" w:line="145" w:lineRule="exact"/>
              <w:rPr>
                <w:sz w:val="20"/>
                <w:szCs w:val="20"/>
                <w:color w:val="auto"/>
              </w:rPr>
            </w:pPr>
            <w:r>
              <w:rPr>
                <w:rFonts w:ascii="Times New Roman" w:cs="Times New Roman" w:eastAsia="Times New Roman" w:hAnsi="Times New Roman"/>
                <w:sz w:val="14"/>
                <w:szCs w:val="14"/>
                <w:color w:val="auto"/>
                <w:w w:val="98"/>
              </w:rPr>
              <w:t>001-35669</w:t>
            </w:r>
          </w:p>
        </w:tc>
        <w:tc>
          <w:tcPr>
            <w:tcW w:w="120" w:type="dxa"/>
            <w:vAlign w:val="bottom"/>
          </w:tcPr>
          <w:p>
            <w:pPr>
              <w:spacing w:after="0"/>
              <w:rPr>
                <w:sz w:val="12"/>
                <w:szCs w:val="12"/>
                <w:color w:val="auto"/>
              </w:rPr>
            </w:pPr>
          </w:p>
        </w:tc>
        <w:tc>
          <w:tcPr>
            <w:tcW w:w="70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ind w:left="360"/>
              <w:spacing w:after="0" w:line="145" w:lineRule="exact"/>
              <w:rPr>
                <w:sz w:val="20"/>
                <w:szCs w:val="20"/>
                <w:color w:val="auto"/>
              </w:rPr>
            </w:pPr>
            <w:r>
              <w:rPr>
                <w:rFonts w:ascii="Times New Roman" w:cs="Times New Roman" w:eastAsia="Times New Roman" w:hAnsi="Times New Roman"/>
                <w:sz w:val="14"/>
                <w:szCs w:val="14"/>
                <w:color w:val="auto"/>
              </w:rPr>
              <w:t>August 6, 2019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60" w:type="dxa"/>
            <w:vAlign w:val="bottom"/>
            <w:tcBorders>
              <w:top w:val="single" w:sz="8" w:color="0000FF"/>
            </w:tcBorders>
            <w:gridSpan w:val="2"/>
          </w:tcPr>
          <w:p>
            <w:pPr>
              <w:spacing w:after="0" w:line="125"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Ciardiello</w:t>
              </w:r>
            </w:hyperlink>
          </w:p>
        </w:tc>
        <w:tc>
          <w:tcPr>
            <w:tcW w:w="640" w:type="dxa"/>
            <w:vAlign w:val="bottom"/>
            <w:gridSpan w:val="2"/>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sectPr>
          <w:pgSz w:w="11900" w:h="16838" w:orient="portrait"/>
          <w:cols w:equalWidth="0" w:num="2">
            <w:col w:w="854" w:space="300"/>
            <w:col w:w="10080"/>
          </w:cols>
          <w:pgMar w:left="326" w:top="121" w:right="339" w:bottom="1440" w:gutter="0" w:footer="0" w:header="0"/>
          <w:type w:val="continuous"/>
        </w:sectPr>
      </w:pPr>
    </w:p>
    <w:tbl>
      <w:tblPr>
        <w:tblLayout w:type="fixed"/>
        <w:tblInd w:w="214" w:type="dxa"/>
        <w:tblCellMar>
          <w:top w:w="0" w:type="dxa"/>
          <w:left w:w="0" w:type="dxa"/>
          <w:bottom w:w="0" w:type="dxa"/>
          <w:right w:w="0" w:type="dxa"/>
        </w:tblCellMar>
      </w:tblPr>
      <w:tr>
        <w:trPr>
          <w:trHeight w:val="161"/>
        </w:trPr>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10.20(b) §</w:t>
            </w:r>
          </w:p>
        </w:tc>
        <w:tc>
          <w:tcPr>
            <w:tcW w:w="5620" w:type="dxa"/>
            <w:vAlign w:val="bottom"/>
            <w:gridSpan w:val="26"/>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Amendment to Employment Agreement, dated November 5, 2019, by and between the Company</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10.4</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5, 2019</w:t>
            </w: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60" w:type="dxa"/>
            <w:vAlign w:val="bottom"/>
            <w:tcBorders>
              <w:top w:val="single" w:sz="8" w:color="0000FF"/>
            </w:tcBorders>
            <w:gridSpan w:val="21"/>
          </w:tcPr>
          <w:p>
            <w:pPr>
              <w:spacing w:after="0" w:line="125"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and Steven Ciardiello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10.21(a) §</w:t>
            </w:r>
          </w:p>
        </w:tc>
        <w:tc>
          <w:tcPr>
            <w:tcW w:w="5620" w:type="dxa"/>
            <w:vAlign w:val="bottom"/>
            <w:gridSpan w:val="26"/>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Employment Agreement, dated March 13, 2019, by and between the Company and Stan</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25, 2019</w:t>
            </w: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960" w:type="dxa"/>
            <w:vAlign w:val="bottom"/>
            <w:tcBorders>
              <w:top w:val="single" w:sz="8" w:color="0000FF"/>
            </w:tcBorders>
            <w:gridSpan w:val="12"/>
          </w:tcPr>
          <w:p>
            <w:pPr>
              <w:spacing w:after="0" w:line="125"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Pavlovsky</w:t>
              </w:r>
            </w:hyperlink>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10.21(b) §</w:t>
            </w:r>
          </w:p>
        </w:tc>
        <w:tc>
          <w:tcPr>
            <w:tcW w:w="5620" w:type="dxa"/>
            <w:vAlign w:val="bottom"/>
            <w:gridSpan w:val="26"/>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Amendment to Employment Agreement, dated November 5, 2019, by and between the Company</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5, 2019</w:t>
            </w: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tcPr>
          <w:p>
            <w:pPr>
              <w:spacing w:after="0" w:line="125" w:lineRule="exact"/>
              <w:rPr>
                <w:rFonts w:ascii="Times New Roman" w:cs="Times New Roman" w:eastAsia="Times New Roman" w:hAnsi="Times New Roman"/>
                <w:sz w:val="14"/>
                <w:szCs w:val="14"/>
                <w:color w:val="0000FF"/>
                <w:w w:val="99"/>
              </w:rPr>
            </w:pPr>
            <w:hyperlink r:id="rId150">
              <w:r>
                <w:rPr>
                  <w:rFonts w:ascii="Times New Roman" w:cs="Times New Roman" w:eastAsia="Times New Roman" w:hAnsi="Times New Roman"/>
                  <w:sz w:val="14"/>
                  <w:szCs w:val="14"/>
                  <w:color w:val="0000FF"/>
                  <w:w w:val="99"/>
                </w:rPr>
                <w:t>and Stan Pavlovsky</w:t>
              </w:r>
            </w:hyperlink>
          </w:p>
        </w:tc>
        <w:tc>
          <w:tcPr>
            <w:tcW w:w="434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10.21(c) §</w:t>
            </w:r>
          </w:p>
        </w:tc>
        <w:tc>
          <w:tcPr>
            <w:tcW w:w="5620" w:type="dxa"/>
            <w:vAlign w:val="bottom"/>
            <w:gridSpan w:val="26"/>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Second Amendment to Employment Agreement, dated February 11, 2020, by and between Stan</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10.25(c)</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60" w:type="dxa"/>
            <w:vAlign w:val="bottom"/>
            <w:tcBorders>
              <w:top w:val="single" w:sz="8" w:color="0000FF"/>
              <w:bottom w:val="single" w:sz="8" w:color="0000FF"/>
            </w:tcBorders>
            <w:gridSpan w:val="7"/>
          </w:tcPr>
          <w:p>
            <w:pPr>
              <w:spacing w:after="0" w:line="125"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Pavlovsky and Shutterstock, Inc.</w:t>
              </w:r>
            </w:hyperlink>
          </w:p>
        </w:tc>
        <w:tc>
          <w:tcPr>
            <w:tcW w:w="352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5620" w:type="dxa"/>
            <w:vAlign w:val="bottom"/>
            <w:gridSpan w:val="26"/>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Employment Agreement, dated November 7, 2019, by and between the Company and Jarrod</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18, 2019</w:t>
            </w: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20" w:type="dxa"/>
            <w:vAlign w:val="bottom"/>
            <w:tcBorders>
              <w:top w:val="single" w:sz="8" w:color="0000FF"/>
            </w:tcBorders>
            <w:gridSpan w:val="17"/>
          </w:tcPr>
          <w:p>
            <w:pPr>
              <w:spacing w:after="0" w:line="125"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Yahes</w:t>
              </w:r>
            </w:hyperlink>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color w:val="auto"/>
              </w:rPr>
              <w:t>10.23(a) §</w:t>
            </w:r>
          </w:p>
        </w:tc>
        <w:tc>
          <w:tcPr>
            <w:tcW w:w="34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rPr>
              <w:t>10.2</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July 28, 2020</w:t>
            </w:r>
          </w:p>
        </w:tc>
        <w:tc>
          <w:tcPr>
            <w:tcW w:w="0" w:type="dxa"/>
            <w:vAlign w:val="bottom"/>
          </w:tcPr>
          <w:p>
            <w:pPr>
              <w:spacing w:after="0" w:line="20" w:lineRule="exact"/>
              <w:rPr>
                <w:sz w:val="1"/>
                <w:szCs w:val="1"/>
                <w:color w:val="auto"/>
              </w:rPr>
            </w:pPr>
          </w:p>
        </w:tc>
      </w:tr>
      <w:tr>
        <w:trPr>
          <w:trHeight w:val="178"/>
        </w:trPr>
        <w:tc>
          <w:tcPr>
            <w:tcW w:w="960" w:type="dxa"/>
            <w:vAlign w:val="bottom"/>
            <w:gridSpan w:val="2"/>
            <w:vMerge w:val="continue"/>
          </w:tcPr>
          <w:p>
            <w:pPr>
              <w:spacing w:after="0"/>
              <w:rPr>
                <w:sz w:val="15"/>
                <w:szCs w:val="15"/>
                <w:color w:val="auto"/>
              </w:rPr>
            </w:pPr>
          </w:p>
        </w:tc>
        <w:tc>
          <w:tcPr>
            <w:tcW w:w="518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Employment Agreement, dated November 4, 2019, between the Company and Pietro Silvio</w:t>
              </w:r>
            </w:hyperlink>
          </w:p>
        </w:tc>
        <w:tc>
          <w:tcPr>
            <w:tcW w:w="440" w:type="dxa"/>
            <w:vAlign w:val="bottom"/>
            <w:gridSpan w:val="10"/>
          </w:tcPr>
          <w:p>
            <w:pPr>
              <w:spacing w:after="0"/>
              <w:rPr>
                <w:sz w:val="15"/>
                <w:szCs w:val="15"/>
                <w:color w:val="auto"/>
              </w:rPr>
            </w:pPr>
          </w:p>
        </w:tc>
        <w:tc>
          <w:tcPr>
            <w:tcW w:w="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10.23(b) §</w:t>
            </w:r>
          </w:p>
        </w:tc>
        <w:tc>
          <w:tcPr>
            <w:tcW w:w="5620" w:type="dxa"/>
            <w:vAlign w:val="bottom"/>
            <w:gridSpan w:val="26"/>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Separation Agreement and General Release, between the Company and Peter Silvio, dated</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7, 2022</w:t>
            </w: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80" w:type="dxa"/>
            <w:vAlign w:val="bottom"/>
            <w:tcBorders>
              <w:top w:val="single" w:sz="8" w:color="0000FF"/>
            </w:tcBorders>
            <w:gridSpan w:val="13"/>
          </w:tcPr>
          <w:p>
            <w:pPr>
              <w:spacing w:after="0" w:line="125"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September 1, 2022</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5620" w:type="dxa"/>
            <w:vAlign w:val="bottom"/>
            <w:gridSpan w:val="26"/>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Employment Agreement, dated May 8, 2022, by and between the Company and Paul J. Hennessy</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10.2</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11, 2022</w:t>
            </w:r>
          </w:p>
        </w:tc>
        <w:tc>
          <w:tcPr>
            <w:tcW w:w="0" w:type="dxa"/>
            <w:vAlign w:val="bottom"/>
          </w:tcPr>
          <w:p>
            <w:pPr>
              <w:spacing w:after="0"/>
              <w:rPr>
                <w:sz w:val="1"/>
                <w:szCs w:val="1"/>
                <w:color w:val="auto"/>
              </w:rPr>
            </w:pPr>
          </w:p>
        </w:tc>
      </w:tr>
      <w:tr>
        <w:trPr>
          <w:trHeight w:val="178"/>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5480" w:type="dxa"/>
            <w:vAlign w:val="bottom"/>
            <w:tcBorders>
              <w:top w:val="single" w:sz="8" w:color="0000FF"/>
            </w:tcBorders>
            <w:gridSpan w:val="22"/>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Employment Agreement, dated January 12, 2023, by and between the Company and John Caine</w:t>
              </w:r>
            </w:hyperlink>
          </w:p>
        </w:tc>
        <w:tc>
          <w:tcPr>
            <w:tcW w:w="140" w:type="dxa"/>
            <w:vAlign w:val="bottom"/>
            <w:gridSpan w:val="4"/>
          </w:tcPr>
          <w:p>
            <w:pPr>
              <w:spacing w:after="0"/>
              <w:rPr>
                <w:sz w:val="15"/>
                <w:szCs w:val="15"/>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17, 2023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440" w:type="dxa"/>
            <w:vAlign w:val="bottom"/>
          </w:tcPr>
          <w:p>
            <w:pPr>
              <w:spacing w:after="0"/>
              <w:rPr>
                <w:sz w:val="15"/>
                <w:szCs w:val="15"/>
                <w:color w:val="auto"/>
              </w:rPr>
            </w:pPr>
          </w:p>
        </w:tc>
        <w:tc>
          <w:tcPr>
            <w:tcW w:w="5620" w:type="dxa"/>
            <w:vAlign w:val="bottom"/>
            <w:gridSpan w:val="26"/>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Credit Agreement, dated as of May 6, 2022, by and among Shutterstock, Inc., as borrower, certain</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11, 2022</w:t>
            </w: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520" w:type="dxa"/>
            <w:vAlign w:val="bottom"/>
            <w:tcBorders>
              <w:top w:val="single" w:sz="8" w:color="0000FF"/>
            </w:tcBorders>
            <w:gridSpan w:val="24"/>
          </w:tcPr>
          <w:p>
            <w:pPr>
              <w:spacing w:after="0" w:line="125"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subsidiary guarantors, certain financial institutions, as lenders, and Bank of America, N.A., as</w:t>
              </w:r>
            </w:hyperlink>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120" w:type="dxa"/>
            <w:vAlign w:val="bottom"/>
            <w:tcBorders>
              <w:top w:val="single" w:sz="8" w:color="0000FF"/>
              <w:bottom w:val="single" w:sz="8" w:color="0000FF"/>
            </w:tcBorders>
            <w:gridSpan w:val="8"/>
          </w:tcPr>
          <w:p>
            <w:pPr>
              <w:spacing w:after="0" w:line="112" w:lineRule="exact"/>
              <w:rPr>
                <w:rFonts w:ascii="Times New Roman" w:cs="Times New Roman" w:eastAsia="Times New Roman" w:hAnsi="Times New Roman"/>
                <w:sz w:val="12"/>
                <w:szCs w:val="12"/>
                <w:color w:val="0000FF"/>
              </w:rPr>
            </w:pPr>
            <w:hyperlink r:id="rId117">
              <w:r>
                <w:rPr>
                  <w:rFonts w:ascii="Times New Roman" w:cs="Times New Roman" w:eastAsia="Times New Roman" w:hAnsi="Times New Roman"/>
                  <w:sz w:val="12"/>
                  <w:szCs w:val="12"/>
                  <w:color w:val="0000FF"/>
                </w:rPr>
                <w:t>administrative agent for such lenders.</w:t>
              </w:r>
            </w:hyperlink>
          </w:p>
        </w:tc>
        <w:tc>
          <w:tcPr>
            <w:tcW w:w="3160" w:type="dxa"/>
            <w:vAlign w:val="bottom"/>
            <w:tcBorders>
              <w:top w:val="single" w:sz="8" w:color="0000FF"/>
            </w:tcBorders>
            <w:gridSpan w:val="10"/>
          </w:tcPr>
          <w:p>
            <w:pPr>
              <w:spacing w:after="0"/>
              <w:rPr>
                <w:sz w:val="9"/>
                <w:szCs w:val="9"/>
                <w:color w:val="auto"/>
              </w:rPr>
            </w:pPr>
          </w:p>
        </w:tc>
        <w:tc>
          <w:tcPr>
            <w:tcW w:w="220" w:type="dxa"/>
            <w:vAlign w:val="bottom"/>
            <w:gridSpan w:val="5"/>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5620" w:type="dxa"/>
            <w:vAlign w:val="bottom"/>
            <w:gridSpan w:val="26"/>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2022 Nonqualified Deferred Compensation Plan</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10.2</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25, 2022</w:t>
            </w:r>
          </w:p>
        </w:tc>
        <w:tc>
          <w:tcPr>
            <w:tcW w:w="0" w:type="dxa"/>
            <w:vAlign w:val="bottom"/>
          </w:tcPr>
          <w:p>
            <w:pPr>
              <w:spacing w:after="0"/>
              <w:rPr>
                <w:sz w:val="1"/>
                <w:szCs w:val="1"/>
                <w:color w:val="auto"/>
              </w:rPr>
            </w:pPr>
          </w:p>
        </w:tc>
      </w:tr>
      <w:tr>
        <w:trPr>
          <w:trHeight w:val="178"/>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List of Subsidiaries.</w:t>
            </w:r>
          </w:p>
        </w:tc>
        <w:tc>
          <w:tcPr>
            <w:tcW w:w="1580" w:type="dxa"/>
            <w:vAlign w:val="bottom"/>
            <w:tcBorders>
              <w:top w:val="single" w:sz="8" w:color="0000FF"/>
            </w:tcBorders>
            <w:gridSpan w:val="4"/>
          </w:tcPr>
          <w:p>
            <w:pPr>
              <w:spacing w:after="0"/>
              <w:rPr>
                <w:sz w:val="15"/>
                <w:szCs w:val="15"/>
                <w:color w:val="auto"/>
              </w:rPr>
            </w:pPr>
          </w:p>
        </w:tc>
        <w:tc>
          <w:tcPr>
            <w:tcW w:w="2900" w:type="dxa"/>
            <w:vAlign w:val="bottom"/>
            <w:gridSpan w:val="17"/>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w w:val="99"/>
              </w:rPr>
              <w:t>Consent of PricewaterhouseCoopers LLP, Independent Registered Public Accounting Firm.</w:t>
            </w:r>
          </w:p>
        </w:tc>
        <w:tc>
          <w:tcPr>
            <w:tcW w:w="460" w:type="dxa"/>
            <w:vAlign w:val="bottom"/>
            <w:gridSpan w:val="11"/>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2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Power of Attorney (included on signature page of this Annual Report on Form 10-K).</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Exchange Act Rules 13a-14(a) and 15d-14(a),</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540" w:type="dxa"/>
            <w:vAlign w:val="bottom"/>
            <w:tcBorders>
              <w:top w:val="single" w:sz="8" w:color="0000FF"/>
            </w:tcBorders>
            <w:gridSpan w:val="25"/>
          </w:tcPr>
          <w:p>
            <w:pPr>
              <w:spacing w:after="0" w:line="125" w:lineRule="exact"/>
              <w:rPr>
                <w:sz w:val="20"/>
                <w:szCs w:val="20"/>
                <w:color w:val="auto"/>
              </w:rPr>
            </w:pPr>
            <w:r>
              <w:rPr>
                <w:rFonts w:ascii="Times New Roman" w:cs="Times New Roman" w:eastAsia="Times New Roman" w:hAnsi="Times New Roman"/>
                <w:sz w:val="14"/>
                <w:szCs w:val="14"/>
                <w:color w:val="0000FF"/>
              </w:rPr>
              <w:t>as adopted pursuant to Section 302 of the Sarbanes-Oxley Act of 2002.</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Exchange Act Rules 13a-14(a) and 15d-14(a),</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500" w:type="dxa"/>
            <w:vAlign w:val="bottom"/>
            <w:tcBorders>
              <w:top w:val="single" w:sz="8" w:color="0000FF"/>
            </w:tcBorders>
            <w:gridSpan w:val="23"/>
          </w:tcPr>
          <w:p>
            <w:pPr>
              <w:spacing w:after="0" w:line="125" w:lineRule="exact"/>
              <w:rPr>
                <w:sz w:val="20"/>
                <w:szCs w:val="20"/>
                <w:color w:val="auto"/>
              </w:rPr>
            </w:pPr>
            <w:r>
              <w:rPr>
                <w:rFonts w:ascii="Times New Roman" w:cs="Times New Roman" w:eastAsia="Times New Roman" w:hAnsi="Times New Roman"/>
                <w:sz w:val="14"/>
                <w:szCs w:val="14"/>
                <w:color w:val="0000FF"/>
              </w:rPr>
              <w:t>as adopted pursuant to Section 302 of the Sarbanes-Oxley Act of 2002.</w:t>
            </w:r>
          </w:p>
        </w:tc>
        <w:tc>
          <w:tcPr>
            <w:tcW w:w="120" w:type="dxa"/>
            <w:vAlign w:val="bottom"/>
            <w:gridSpan w:val="3"/>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Certifications of Chief Executive Officer and Chief Financial Officer pursuant to 18 U.S.C.</w:t>
            </w: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140" w:type="dxa"/>
            <w:vAlign w:val="bottom"/>
            <w:tcBorders>
              <w:top w:val="single" w:sz="8" w:color="0000FF"/>
            </w:tcBorders>
            <w:gridSpan w:val="14"/>
          </w:tcPr>
          <w:p>
            <w:pPr>
              <w:spacing w:after="0" w:line="125" w:lineRule="exact"/>
              <w:rPr>
                <w:sz w:val="20"/>
                <w:szCs w:val="20"/>
                <w:color w:val="auto"/>
              </w:rPr>
            </w:pPr>
            <w:r>
              <w:rPr>
                <w:rFonts w:ascii="Times New Roman" w:cs="Times New Roman" w:eastAsia="Times New Roman" w:hAnsi="Times New Roman"/>
                <w:sz w:val="14"/>
                <w:szCs w:val="14"/>
                <w:color w:val="0000FF"/>
              </w:rPr>
              <w:t>Section 1350, as adopted pursuant to Section 906 of the Sarbanes-Oxley Act of 2002.</w:t>
            </w:r>
          </w:p>
        </w:tc>
        <w:tc>
          <w:tcPr>
            <w:tcW w:w="480" w:type="dxa"/>
            <w:vAlign w:val="bottom"/>
            <w:gridSpan w:val="12"/>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101.INS *</w:t>
            </w:r>
          </w:p>
        </w:tc>
        <w:tc>
          <w:tcPr>
            <w:tcW w:w="48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820" w:type="dxa"/>
            <w:vAlign w:val="bottom"/>
            <w:gridSpan w:val="15"/>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w w:val="99"/>
              </w:rPr>
              <w:t>101.SCH *</w:t>
            </w:r>
          </w:p>
        </w:tc>
        <w:tc>
          <w:tcPr>
            <w:tcW w:w="562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w w:val="98"/>
              </w:rPr>
              <w:t>101.CAL *</w:t>
            </w:r>
          </w:p>
        </w:tc>
        <w:tc>
          <w:tcPr>
            <w:tcW w:w="562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101.DEF *</w:t>
            </w:r>
          </w:p>
        </w:tc>
        <w:tc>
          <w:tcPr>
            <w:tcW w:w="562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w w:val="98"/>
              </w:rPr>
              <w:t>101.LAB *</w:t>
            </w:r>
          </w:p>
        </w:tc>
        <w:tc>
          <w:tcPr>
            <w:tcW w:w="562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101.PRE *</w:t>
            </w:r>
          </w:p>
        </w:tc>
        <w:tc>
          <w:tcPr>
            <w:tcW w:w="562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104 *</w:t>
            </w:r>
          </w:p>
        </w:tc>
        <w:tc>
          <w:tcPr>
            <w:tcW w:w="562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94"/>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left="-6" w:right="100" w:firstLine="6"/>
        <w:spacing w:after="0" w:line="262" w:lineRule="auto"/>
        <w:tabs>
          <w:tab w:leader="none" w:pos="205"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79" w:lineRule="exact"/>
        <w:rPr>
          <w:sz w:val="20"/>
          <w:szCs w:val="20"/>
          <w:color w:val="auto"/>
        </w:rPr>
      </w:pPr>
    </w:p>
    <w:p>
      <w:pPr>
        <w:ind w:left="214" w:hanging="214"/>
        <w:spacing w:after="0"/>
        <w:tabs>
          <w:tab w:leader="none" w:pos="21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116" w:lineRule="exact"/>
        <w:rPr>
          <w:sz w:val="20"/>
          <w:szCs w:val="20"/>
          <w:color w:val="auto"/>
        </w:rPr>
      </w:pPr>
    </w:p>
    <w:p>
      <w:pPr>
        <w:ind w:left="-6" w:right="160" w:firstLine="6"/>
        <w:spacing w:after="0" w:line="288" w:lineRule="auto"/>
        <w:tabs>
          <w:tab w:leader="none" w:pos="203"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49" w:lineRule="exact"/>
        <w:rPr>
          <w:sz w:val="20"/>
          <w:szCs w:val="20"/>
          <w:color w:val="auto"/>
        </w:rPr>
      </w:pPr>
    </w:p>
    <w:p>
      <w:pPr>
        <w:ind w:left="274" w:hanging="274"/>
        <w:spacing w:after="0"/>
        <w:tabs>
          <w:tab w:leader="none" w:pos="27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1055370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34"/>
          </w:cols>
          <w:pgMar w:left="326" w:top="121" w:right="339" w:bottom="1440" w:gutter="0" w:footer="0" w:header="0"/>
          <w:type w:val="continuous"/>
        </w:sectPr>
      </w:pPr>
    </w:p>
    <w:bookmarkStart w:id="100" w:name="page101"/>
    <w:bookmarkEnd w:id="10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1" w:lineRule="exact"/>
        <w:rPr>
          <w:sz w:val="20"/>
          <w:szCs w:val="20"/>
          <w:color w:val="auto"/>
        </w:rPr>
      </w:pPr>
    </w:p>
    <w:p>
      <w:pPr>
        <w:ind w:right="160" w:firstLine="396"/>
        <w:spacing w:after="0" w:line="269"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jc w:val="center"/>
        <w:ind w:left="480"/>
        <w:spacing w:after="0"/>
        <w:rPr>
          <w:sz w:val="20"/>
          <w:szCs w:val="20"/>
          <w:color w:val="auto"/>
        </w:rPr>
      </w:pPr>
      <w:r>
        <w:rPr>
          <w:rFonts w:ascii="Times New Roman" w:cs="Times New Roman" w:eastAsia="Times New Roman" w:hAnsi="Times New Roman"/>
          <w:sz w:val="16"/>
          <w:szCs w:val="16"/>
          <w:b w:val="1"/>
          <w:bCs w:val="1"/>
          <w:color w:val="auto"/>
        </w:rPr>
        <w:t>SHUTTERSTOCK, INC.</w:t>
      </w:r>
    </w:p>
    <w:p>
      <w:pPr>
        <w:spacing w:after="0" w:line="29" w:lineRule="exact"/>
        <w:rPr>
          <w:sz w:val="20"/>
          <w:szCs w:val="20"/>
          <w:color w:val="auto"/>
        </w:rPr>
      </w:pPr>
    </w:p>
    <w:p>
      <w:pPr>
        <w:ind w:left="20"/>
        <w:spacing w:after="0"/>
        <w:tabs>
          <w:tab w:leader="none" w:pos="4980" w:val="left"/>
          <w:tab w:leader="none" w:pos="7780" w:val="left"/>
        </w:tabs>
        <w:rPr>
          <w:sz w:val="20"/>
          <w:szCs w:val="20"/>
          <w:color w:val="auto"/>
        </w:rPr>
      </w:pPr>
      <w:r>
        <w:rPr>
          <w:rFonts w:ascii="Times New Roman" w:cs="Times New Roman" w:eastAsia="Times New Roman" w:hAnsi="Times New Roman"/>
          <w:sz w:val="16"/>
          <w:szCs w:val="16"/>
          <w:color w:val="auto"/>
        </w:rPr>
        <w:t>Dated: February 14,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PAUL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17780</wp:posOffset>
            </wp:positionV>
            <wp:extent cx="33331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3333115" cy="8255"/>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6"/>
          <w:szCs w:val="16"/>
          <w:color w:val="auto"/>
        </w:rPr>
        <w:t>Paul J. Hennessy</w:t>
      </w:r>
    </w:p>
    <w:p>
      <w:pPr>
        <w:jc w:val="center"/>
        <w:ind w:left="594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216"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Paul J. Hennessy and Jarrod Yahes,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25" w:lineRule="exact"/>
        <w:rPr>
          <w:sz w:val="20"/>
          <w:szCs w:val="20"/>
          <w:color w:val="auto"/>
        </w:rPr>
      </w:pPr>
    </w:p>
    <w:p>
      <w:pPr>
        <w:ind w:right="640" w:firstLine="396"/>
        <w:spacing w:after="0" w:line="26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57"/>
        </w:trPr>
        <w:tc>
          <w:tcPr>
            <w:tcW w:w="1300" w:type="dxa"/>
            <w:vAlign w:val="bottom"/>
          </w:tcPr>
          <w:p>
            <w:pPr>
              <w:spacing w:after="0"/>
              <w:rPr>
                <w:sz w:val="13"/>
                <w:szCs w:val="13"/>
                <w:color w:val="auto"/>
              </w:rPr>
            </w:pPr>
          </w:p>
        </w:tc>
        <w:tc>
          <w:tcPr>
            <w:tcW w:w="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Signature</w:t>
            </w:r>
          </w:p>
        </w:tc>
        <w:tc>
          <w:tcPr>
            <w:tcW w:w="1300" w:type="dxa"/>
            <w:vAlign w:val="bottom"/>
          </w:tcPr>
          <w:p>
            <w:pPr>
              <w:spacing w:after="0"/>
              <w:rPr>
                <w:sz w:val="13"/>
                <w:szCs w:val="13"/>
                <w:color w:val="auto"/>
              </w:rPr>
            </w:pPr>
          </w:p>
        </w:tc>
        <w:tc>
          <w:tcPr>
            <w:tcW w:w="5480" w:type="dxa"/>
            <w:vAlign w:val="bottom"/>
            <w:gridSpan w:val="3"/>
          </w:tcPr>
          <w:p>
            <w:pPr>
              <w:ind w:left="3040"/>
              <w:spacing w:after="0" w:line="157" w:lineRule="exact"/>
              <w:rPr>
                <w:sz w:val="20"/>
                <w:szCs w:val="20"/>
                <w:color w:val="auto"/>
              </w:rPr>
            </w:pPr>
            <w:r>
              <w:rPr>
                <w:rFonts w:ascii="Times New Roman" w:cs="Times New Roman" w:eastAsia="Times New Roman" w:hAnsi="Times New Roman"/>
                <w:sz w:val="14"/>
                <w:szCs w:val="14"/>
                <w:b w:val="1"/>
                <w:bCs w:val="1"/>
                <w:color w:val="auto"/>
              </w:rPr>
              <w:t>Title</w:t>
            </w:r>
          </w:p>
        </w:tc>
        <w:tc>
          <w:tcPr>
            <w:tcW w:w="2280" w:type="dxa"/>
            <w:vAlign w:val="bottom"/>
            <w:gridSpan w:val="3"/>
          </w:tcPr>
          <w:p>
            <w:pPr>
              <w:jc w:val="center"/>
              <w:ind w:left="1042"/>
              <w:spacing w:after="0" w:line="157" w:lineRule="exact"/>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2"/>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JONATHAN ORINGER</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Founder and Executive Chairman of the Board</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14, 2023</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Jonathan Oringer</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PAUL J. HENNESSY</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Chief Executive Officer and Director (Principal Executive Officer)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14, 2023</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Paul J. Hennessy</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JARROD YAHES</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14, 2023</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5"/>
              </w:rPr>
              <w:t>Jarrod Yahes</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/s/ STEVEN CIARDIELLO</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Chief Accounting Officer (Principal Accounting Officer)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14, 2023</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Steven Ciardiello</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RACHNA BHASIN</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14, 2023</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Rachna Bhasin</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/s/ DEIRDRE M. BIGLEY</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14, 2023</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Deirdre M. Bigley</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THOMAS R. EVANS</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14, 2023</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Thomas R. Evans</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ALFONSE UPSHAW</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14, 2023</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Alfonse Upshaw</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bl>
    <w:p>
      <w:pPr>
        <w:sectPr>
          <w:pgSz w:w="11900" w:h="16838" w:orient="portrait"/>
          <w:cols w:equalWidth="0" w:num="1">
            <w:col w:w="11240"/>
          </w:cols>
          <w:pgMar w:left="320" w:top="121" w:right="339" w:bottom="1440" w:gutter="0" w:footer="0" w:header="0"/>
        </w:sectPr>
      </w:pPr>
    </w:p>
    <w:bookmarkStart w:id="101" w:name="page102"/>
    <w:bookmarkEnd w:id="101"/>
    <w:p>
      <w:pPr>
        <w:ind w:left="10374"/>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37" w:lineRule="exact"/>
        <w:rPr>
          <w:sz w:val="20"/>
          <w:szCs w:val="20"/>
          <w:color w:val="auto"/>
        </w:rPr>
      </w:pPr>
    </w:p>
    <w:tbl>
      <w:tblPr>
        <w:tblLayout w:type="fixed"/>
        <w:tblInd w:w="14"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24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LIST OF SUBSIDIARIES</w:t>
            </w:r>
            <w:r>
              <w:rPr>
                <w:rFonts w:ascii="Times New Roman" w:cs="Times New Roman" w:eastAsia="Times New Roman" w:hAnsi="Times New Roman"/>
                <w:sz w:val="20"/>
                <w:szCs w:val="20"/>
                <w:b w:val="1"/>
                <w:bCs w:val="1"/>
                <w:color w:val="auto"/>
                <w:vertAlign w:val="superscript"/>
              </w:rPr>
              <w:t>(1)</w:t>
            </w:r>
          </w:p>
        </w:tc>
      </w:tr>
      <w:tr>
        <w:trPr>
          <w:trHeight w:val="156"/>
        </w:trPr>
        <w:tc>
          <w:tcPr>
            <w:tcW w:w="396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Name of Subsidiary</w:t>
            </w:r>
          </w:p>
        </w:tc>
        <w:tc>
          <w:tcPr>
            <w:tcW w:w="7240" w:type="dxa"/>
            <w:vAlign w:val="bottom"/>
            <w:gridSpan w:val="3"/>
          </w:tcPr>
          <w:p>
            <w:pPr>
              <w:ind w:left="5120"/>
              <w:spacing w:after="0" w:line="157" w:lineRule="exact"/>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33"/>
        </w:trPr>
        <w:tc>
          <w:tcPr>
            <w:tcW w:w="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211"/>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Images C.V.</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Netherlands B.V.</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GmbH</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Germany</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(UK)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International Services EMEA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Rex Features (Holdings)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Rex Features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(France) SAS</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France</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Hong Kong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Ireland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Ireland</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Italy Srl</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Italy</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Japan GK</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Japan</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Brazil Servicos de Imagem Ltda.</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Brazil</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Canada ULC</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Canada</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Australia Pty.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Korea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Korea</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Singapore Pte.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Singapore</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International Services APAC PTE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Singapore</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Romania Srl</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Romania</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Studios, LLC</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New York, US</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Shutterstock.AI, Inc.</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Delaware, US</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Shutterstock.AI International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Datasine Limited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Pattern89, Inc.</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Indiana, US</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TurboSquid, Inc.</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Louisiana, US</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General Purpose LLC</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New York, US</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Studios (UK)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Pond5, Inc.</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Hyperstock LLC</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Delaware, US</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Pond5 Media Ireland,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Ireland</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Pond5 Publishing,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Ireland</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Pond5 Media (Canada), Inc.</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Canada</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Pond5, GmbH</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Switzerland</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Pond5 s.r.o.</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Czech Republic</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SCP 2020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Splash News Europe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SN America Inc.</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Delaware, US</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SSCP One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SSCP Two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3549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61" w:lineRule="exact"/>
        <w:rPr>
          <w:sz w:val="20"/>
          <w:szCs w:val="20"/>
          <w:color w:val="auto"/>
        </w:rPr>
      </w:pPr>
    </w:p>
    <w:p>
      <w:pPr>
        <w:ind w:left="314" w:hanging="314"/>
        <w:spacing w:after="0"/>
        <w:tabs>
          <w:tab w:leader="none" w:pos="314"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subsidiaries of Shutterstock, Inc. have been omitted because, in the aggregate, they would not constitute a significant subsidiary.</w:t>
      </w:r>
    </w:p>
    <w:p>
      <w:pPr>
        <w:sectPr>
          <w:pgSz w:w="11900" w:h="16838" w:orient="portrait"/>
          <w:cols w:equalWidth="0" w:num="1">
            <w:col w:w="11214"/>
          </w:cols>
          <w:pgMar w:left="326" w:top="875" w:right="35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9" w:lineRule="exact"/>
        <w:rPr>
          <w:sz w:val="20"/>
          <w:szCs w:val="20"/>
          <w:color w:val="auto"/>
        </w:rPr>
      </w:pPr>
    </w:p>
    <w:p>
      <w:pPr>
        <w:ind w:right="280"/>
        <w:spacing w:after="0" w:line="244"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333-184371, 333-184544, 333-202395 and 333-268480) and Form S-3 (No. 333-243706) of Shutterstock, Inc. of our report dated February 14, 2023 relating to the financial statements and the effectiveness of internal control over financial reporting, which appears in this Form 10-K.</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6" w:lineRule="exact"/>
        <w:rPr>
          <w:sz w:val="20"/>
          <w:szCs w:val="20"/>
          <w:color w:val="auto"/>
        </w:rPr>
      </w:pPr>
    </w:p>
    <w:p>
      <w:pPr>
        <w:spacing w:after="0"/>
        <w:rPr>
          <w:sz w:val="20"/>
          <w:szCs w:val="20"/>
          <w:color w:val="auto"/>
        </w:rPr>
      </w:pPr>
      <w:r>
        <w:rPr>
          <w:rFonts w:ascii="Georgia" w:cs="Georgia" w:eastAsia="Georgia" w:hAnsi="Georgia"/>
          <w:sz w:val="18"/>
          <w:szCs w:val="18"/>
          <w:color w:val="auto"/>
        </w:rPr>
        <w:t>New York, New York</w:t>
      </w:r>
    </w:p>
    <w:p>
      <w:pPr>
        <w:spacing w:after="0" w:line="6"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14, 2023</w:t>
      </w:r>
    </w:p>
    <w:p>
      <w:pPr>
        <w:sectPr>
          <w:pgSz w:w="11900" w:h="16838" w:orient="portrait"/>
          <w:cols w:equalWidth="0" w:num="1">
            <w:col w:w="11240"/>
          </w:cols>
          <w:pgMar w:left="320" w:top="871"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3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238" w:lineRule="exact"/>
        <w:rPr>
          <w:sz w:val="20"/>
          <w:szCs w:val="20"/>
          <w:color w:val="auto"/>
        </w:rPr>
      </w:pPr>
    </w:p>
    <w:p>
      <w:pPr>
        <w:ind w:left="280" w:hanging="274"/>
        <w:spacing w:after="0"/>
        <w:tabs>
          <w:tab w:leader="none" w:pos="2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Shutterstock, Inc.;</w:t>
      </w:r>
    </w:p>
    <w:p>
      <w:pPr>
        <w:spacing w:after="0" w:line="238" w:lineRule="exact"/>
        <w:rPr>
          <w:rFonts w:ascii="Times New Roman" w:cs="Times New Roman" w:eastAsia="Times New Roman" w:hAnsi="Times New Roman"/>
          <w:sz w:val="16"/>
          <w:szCs w:val="16"/>
          <w:color w:val="auto"/>
        </w:rPr>
      </w:pPr>
    </w:p>
    <w:p>
      <w:pPr>
        <w:ind w:left="400" w:right="80" w:hanging="394"/>
        <w:spacing w:after="0" w:line="288" w:lineRule="auto"/>
        <w:tabs>
          <w:tab w:leader="none" w:pos="28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400" w:right="400" w:hanging="394"/>
        <w:spacing w:after="0" w:line="288" w:lineRule="auto"/>
        <w:tabs>
          <w:tab w:leader="none" w:pos="28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6"/>
          <w:szCs w:val="16"/>
          <w:color w:val="auto"/>
        </w:rPr>
      </w:pPr>
    </w:p>
    <w:p>
      <w:pPr>
        <w:ind w:left="400" w:right="60" w:hanging="394"/>
        <w:spacing w:after="0" w:line="270" w:lineRule="auto"/>
        <w:tabs>
          <w:tab w:leader="none" w:pos="27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1" w:lineRule="exact"/>
        <w:rPr>
          <w:rFonts w:ascii="Times New Roman" w:cs="Times New Roman" w:eastAsia="Times New Roman" w:hAnsi="Times New Roman"/>
          <w:sz w:val="16"/>
          <w:szCs w:val="16"/>
          <w:color w:val="auto"/>
        </w:rPr>
      </w:pPr>
    </w:p>
    <w:p>
      <w:pPr>
        <w:jc w:val="both"/>
        <w:ind w:left="800" w:right="140" w:hanging="399"/>
        <w:spacing w:after="0" w:line="255" w:lineRule="auto"/>
        <w:tabs>
          <w:tab w:leader="none" w:pos="791"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6"/>
          <w:szCs w:val="16"/>
          <w:color w:val="auto"/>
        </w:rPr>
      </w:pPr>
    </w:p>
    <w:p>
      <w:pPr>
        <w:ind w:left="800" w:right="180" w:hanging="399"/>
        <w:spacing w:after="0" w:line="264" w:lineRule="auto"/>
        <w:tabs>
          <w:tab w:leader="none" w:pos="80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800" w:right="620" w:hanging="399"/>
        <w:spacing w:after="0" w:line="270" w:lineRule="auto"/>
        <w:tabs>
          <w:tab w:leader="none" w:pos="791"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800" w:right="260" w:hanging="399"/>
        <w:spacing w:after="0" w:line="264" w:lineRule="auto"/>
        <w:tabs>
          <w:tab w:leader="none" w:pos="80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Times New Roman" w:cs="Times New Roman" w:eastAsia="Times New Roman" w:hAnsi="Times New Roman"/>
          <w:sz w:val="16"/>
          <w:szCs w:val="16"/>
          <w:color w:val="auto"/>
        </w:rPr>
      </w:pPr>
    </w:p>
    <w:p>
      <w:pPr>
        <w:ind w:left="400" w:right="160" w:hanging="394"/>
        <w:spacing w:after="0" w:line="270" w:lineRule="auto"/>
        <w:tabs>
          <w:tab w:leader="none" w:pos="27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8" w:lineRule="exact"/>
        <w:rPr>
          <w:rFonts w:ascii="Times New Roman" w:cs="Times New Roman" w:eastAsia="Times New Roman" w:hAnsi="Times New Roman"/>
          <w:sz w:val="16"/>
          <w:szCs w:val="16"/>
          <w:color w:val="auto"/>
        </w:rPr>
      </w:pPr>
    </w:p>
    <w:p>
      <w:pPr>
        <w:ind w:left="800" w:right="140" w:hanging="399"/>
        <w:spacing w:after="0" w:line="288" w:lineRule="auto"/>
        <w:tabs>
          <w:tab w:leader="none" w:pos="791"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Times New Roman" w:cs="Times New Roman" w:eastAsia="Times New Roman" w:hAnsi="Times New Roman"/>
          <w:sz w:val="16"/>
          <w:szCs w:val="16"/>
          <w:color w:val="auto"/>
        </w:rPr>
      </w:pPr>
    </w:p>
    <w:p>
      <w:pPr>
        <w:ind w:left="800" w:right="380" w:hanging="399"/>
        <w:spacing w:after="0" w:line="270" w:lineRule="auto"/>
        <w:tabs>
          <w:tab w:leader="none" w:pos="80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p>
      <w:pPr>
        <w:ind w:left="40"/>
        <w:spacing w:after="0"/>
        <w:tabs>
          <w:tab w:leader="none" w:pos="5460" w:val="left"/>
          <w:tab w:leader="none" w:pos="5880" w:val="left"/>
        </w:tabs>
        <w:rPr>
          <w:sz w:val="20"/>
          <w:szCs w:val="20"/>
          <w:color w:val="auto"/>
        </w:rPr>
      </w:pPr>
      <w:r>
        <w:rPr>
          <w:rFonts w:ascii="Times New Roman" w:cs="Times New Roman" w:eastAsia="Times New Roman" w:hAnsi="Times New Roman"/>
          <w:sz w:val="16"/>
          <w:szCs w:val="16"/>
          <w:color w:val="auto"/>
        </w:rPr>
        <w:t>Date: February 14, 2023</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3738880</wp:posOffset>
            </wp:positionH>
            <wp:positionV relativeFrom="paragraph">
              <wp:posOffset>17780</wp:posOffset>
            </wp:positionV>
            <wp:extent cx="31407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3140710" cy="8255"/>
                    </a:xfrm>
                    <a:prstGeom prst="rect">
                      <a:avLst/>
                    </a:prstGeom>
                    <a:noFill/>
                  </pic:spPr>
                </pic:pic>
              </a:graphicData>
            </a:graphic>
          </wp:anchor>
        </w:drawing>
      </w:r>
    </w:p>
    <w:p>
      <w:pPr>
        <w:spacing w:after="0" w:line="2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00"/>
          </w:cols>
          <w:pgMar w:left="320" w:top="875" w:right="37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3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Jarrod Yahes, certify that:</w:t>
      </w:r>
    </w:p>
    <w:p>
      <w:pPr>
        <w:spacing w:after="0" w:line="238" w:lineRule="exact"/>
        <w:rPr>
          <w:sz w:val="20"/>
          <w:szCs w:val="20"/>
          <w:color w:val="auto"/>
        </w:rPr>
      </w:pPr>
    </w:p>
    <w:p>
      <w:pPr>
        <w:ind w:left="280" w:hanging="274"/>
        <w:spacing w:after="0"/>
        <w:tabs>
          <w:tab w:leader="none" w:pos="2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Shutterstock, Inc.;</w:t>
      </w:r>
    </w:p>
    <w:p>
      <w:pPr>
        <w:spacing w:after="0" w:line="238" w:lineRule="exact"/>
        <w:rPr>
          <w:rFonts w:ascii="Times New Roman" w:cs="Times New Roman" w:eastAsia="Times New Roman" w:hAnsi="Times New Roman"/>
          <w:sz w:val="16"/>
          <w:szCs w:val="16"/>
          <w:color w:val="auto"/>
        </w:rPr>
      </w:pPr>
    </w:p>
    <w:p>
      <w:pPr>
        <w:ind w:left="480" w:right="80" w:hanging="474"/>
        <w:spacing w:after="0" w:line="288" w:lineRule="auto"/>
        <w:tabs>
          <w:tab w:leader="none" w:pos="28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480" w:right="400" w:hanging="474"/>
        <w:spacing w:after="0" w:line="288" w:lineRule="auto"/>
        <w:tabs>
          <w:tab w:leader="none" w:pos="28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6"/>
          <w:szCs w:val="16"/>
          <w:color w:val="auto"/>
        </w:rPr>
      </w:pPr>
    </w:p>
    <w:p>
      <w:pPr>
        <w:ind w:left="480" w:right="60" w:hanging="474"/>
        <w:spacing w:after="0" w:line="270" w:lineRule="auto"/>
        <w:tabs>
          <w:tab w:leader="none" w:pos="27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1" w:lineRule="exact"/>
        <w:rPr>
          <w:rFonts w:ascii="Times New Roman" w:cs="Times New Roman" w:eastAsia="Times New Roman" w:hAnsi="Times New Roman"/>
          <w:sz w:val="16"/>
          <w:szCs w:val="16"/>
          <w:color w:val="auto"/>
        </w:rPr>
      </w:pPr>
    </w:p>
    <w:p>
      <w:pPr>
        <w:jc w:val="both"/>
        <w:ind w:left="880" w:right="60" w:hanging="400"/>
        <w:spacing w:after="0" w:line="255" w:lineRule="auto"/>
        <w:tabs>
          <w:tab w:leader="none" w:pos="871"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6"/>
          <w:szCs w:val="16"/>
          <w:color w:val="auto"/>
        </w:rPr>
      </w:pPr>
    </w:p>
    <w:p>
      <w:pPr>
        <w:ind w:left="880" w:right="100" w:hanging="400"/>
        <w:spacing w:after="0" w:line="264" w:lineRule="auto"/>
        <w:tabs>
          <w:tab w:leader="none" w:pos="8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880" w:right="540" w:hanging="400"/>
        <w:spacing w:after="0" w:line="270" w:lineRule="auto"/>
        <w:tabs>
          <w:tab w:leader="none" w:pos="871"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880" w:right="200" w:hanging="400"/>
        <w:spacing w:after="0" w:line="264" w:lineRule="auto"/>
        <w:tabs>
          <w:tab w:leader="none" w:pos="8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Times New Roman" w:cs="Times New Roman" w:eastAsia="Times New Roman" w:hAnsi="Times New Roman"/>
          <w:sz w:val="16"/>
          <w:szCs w:val="16"/>
          <w:color w:val="auto"/>
        </w:rPr>
      </w:pPr>
    </w:p>
    <w:p>
      <w:pPr>
        <w:ind w:left="480" w:right="140" w:hanging="474"/>
        <w:spacing w:after="0" w:line="270" w:lineRule="auto"/>
        <w:tabs>
          <w:tab w:leader="none" w:pos="31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1" w:lineRule="exact"/>
        <w:rPr>
          <w:rFonts w:ascii="Times New Roman" w:cs="Times New Roman" w:eastAsia="Times New Roman" w:hAnsi="Times New Roman"/>
          <w:sz w:val="16"/>
          <w:szCs w:val="16"/>
          <w:color w:val="auto"/>
        </w:rPr>
      </w:pPr>
    </w:p>
    <w:p>
      <w:pPr>
        <w:ind w:left="880" w:right="120" w:hanging="400"/>
        <w:spacing w:after="0" w:line="270" w:lineRule="auto"/>
        <w:tabs>
          <w:tab w:leader="none" w:pos="81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Times New Roman" w:cs="Times New Roman" w:eastAsia="Times New Roman" w:hAnsi="Times New Roman"/>
          <w:sz w:val="16"/>
          <w:szCs w:val="16"/>
          <w:color w:val="auto"/>
        </w:rPr>
      </w:pPr>
    </w:p>
    <w:p>
      <w:pPr>
        <w:ind w:left="880" w:right="360" w:hanging="400"/>
        <w:spacing w:after="0" w:line="270" w:lineRule="auto"/>
        <w:tabs>
          <w:tab w:leader="none" w:pos="818"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p>
      <w:pPr>
        <w:ind w:left="60"/>
        <w:spacing w:after="0"/>
        <w:tabs>
          <w:tab w:leader="none" w:pos="5740" w:val="left"/>
          <w:tab w:leader="none" w:pos="6200" w:val="left"/>
        </w:tabs>
        <w:rPr>
          <w:sz w:val="20"/>
          <w:szCs w:val="20"/>
          <w:color w:val="auto"/>
        </w:rPr>
      </w:pPr>
      <w:r>
        <w:rPr>
          <w:rFonts w:ascii="Times New Roman" w:cs="Times New Roman" w:eastAsia="Times New Roman" w:hAnsi="Times New Roman"/>
          <w:sz w:val="16"/>
          <w:szCs w:val="16"/>
          <w:color w:val="auto"/>
        </w:rPr>
        <w:t>Date: February 14,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826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3182620" cy="8255"/>
                    </a:xfrm>
                    <a:prstGeom prst="rect">
                      <a:avLst/>
                    </a:prstGeom>
                    <a:noFill/>
                  </pic:spPr>
                </pic:pic>
              </a:graphicData>
            </a:graphic>
          </wp:anchor>
        </w:drawing>
      </w:r>
    </w:p>
    <w:p>
      <w:pPr>
        <w:spacing w:after="0" w:line="2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00"/>
          </w:cols>
          <w:pgMar w:left="320" w:top="875"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3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AND CHIEF FINANCIAL OFFICER</w:t>
      </w:r>
    </w:p>
    <w:p>
      <w:pPr>
        <w:spacing w:after="0" w:line="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71" w:lineRule="exact"/>
        <w:rPr>
          <w:sz w:val="20"/>
          <w:szCs w:val="20"/>
          <w:color w:val="auto"/>
        </w:rPr>
      </w:pPr>
    </w:p>
    <w:p>
      <w:pPr>
        <w:ind w:firstLine="316"/>
        <w:spacing w:after="0" w:line="279" w:lineRule="auto"/>
        <w:rPr>
          <w:sz w:val="20"/>
          <w:szCs w:val="20"/>
          <w:color w:val="auto"/>
        </w:rPr>
      </w:pPr>
      <w:r>
        <w:rPr>
          <w:rFonts w:ascii="Times New Roman" w:cs="Times New Roman" w:eastAsia="Times New Roman" w:hAnsi="Times New Roman"/>
          <w:sz w:val="15"/>
          <w:szCs w:val="15"/>
          <w:color w:val="auto"/>
        </w:rPr>
        <w:t>In connection with the Annual Report on Form 10-K of Shutterstock, Inc. for the year ended December 31, 2022 as filed with the Securities and Exchange Commission on the date hereof (the “Report”), I, Paul Hennessy, as Chief Executive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27"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February 14, 2023</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17780</wp:posOffset>
            </wp:positionV>
            <wp:extent cx="32492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346" w:lineRule="exact"/>
        <w:rPr>
          <w:sz w:val="20"/>
          <w:szCs w:val="20"/>
          <w:color w:val="auto"/>
        </w:rPr>
      </w:pPr>
    </w:p>
    <w:p>
      <w:pPr>
        <w:ind w:firstLine="316"/>
        <w:spacing w:after="0" w:line="279" w:lineRule="auto"/>
        <w:rPr>
          <w:sz w:val="20"/>
          <w:szCs w:val="20"/>
          <w:color w:val="auto"/>
        </w:rPr>
      </w:pPr>
      <w:r>
        <w:rPr>
          <w:rFonts w:ascii="Times New Roman" w:cs="Times New Roman" w:eastAsia="Times New Roman" w:hAnsi="Times New Roman"/>
          <w:sz w:val="15"/>
          <w:szCs w:val="15"/>
          <w:color w:val="auto"/>
        </w:rPr>
        <w:t>In connection with the Annual Report on Form 10-K of Shutterstock, Inc. for the year ended December 31, 2022 as filed with the Securities and Exchange Commission on the date hereof (the “Report”), I, Jarrod Yahes, as Chief Financial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27" w:lineRule="exact"/>
        <w:rPr>
          <w:sz w:val="20"/>
          <w:szCs w:val="20"/>
          <w:color w:val="auto"/>
        </w:rPr>
      </w:pPr>
    </w:p>
    <w:p>
      <w:pPr>
        <w:ind w:left="60"/>
        <w:spacing w:after="0"/>
        <w:tabs>
          <w:tab w:leader="none" w:pos="5740" w:val="left"/>
          <w:tab w:leader="none" w:pos="6200" w:val="left"/>
        </w:tabs>
        <w:rPr>
          <w:sz w:val="20"/>
          <w:szCs w:val="20"/>
          <w:color w:val="auto"/>
        </w:rPr>
      </w:pPr>
      <w:r>
        <w:rPr>
          <w:rFonts w:ascii="Times New Roman" w:cs="Times New Roman" w:eastAsia="Times New Roman" w:hAnsi="Times New Roman"/>
          <w:sz w:val="16"/>
          <w:szCs w:val="16"/>
          <w:color w:val="auto"/>
        </w:rPr>
        <w:t>Date: February 14,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826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3182620" cy="8255"/>
                    </a:xfrm>
                    <a:prstGeom prst="rect">
                      <a:avLst/>
                    </a:prstGeom>
                    <a:noFill/>
                  </pic:spPr>
                </pic:pic>
              </a:graphicData>
            </a:graphic>
          </wp:anchor>
        </w:drawing>
      </w:r>
    </w:p>
    <w:p>
      <w:pPr>
        <w:spacing w:after="0" w:line="2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140"/>
      </w:cols>
      <w:pgMar w:left="320" w:top="111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lvl w:ilvl="1">
      <w:lvlJc w:val="left"/>
      <w:lvlText w:val="•"/>
      <w:numFmt w:val="bullet"/>
      <w:start w:val="1"/>
    </w:lvl>
  </w:abstractNum>
  <w:abstractNum w:abstractNumId="24">
    <w:nsid w:val="3006C83E"/>
    <w:multiLevelType w:val="hybridMultilevel"/>
    <w:lvl w:ilvl="0">
      <w:lvlJc w:val="left"/>
      <w:lvlText w:val="1"/>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2"/>
    </w:lvl>
  </w:abstractNum>
  <w:abstractNum w:abstractNumId="31">
    <w:nsid w:val="77465F01"/>
    <w:multiLevelType w:val="hybridMultilevel"/>
    <w:lvl w:ilvl="0">
      <w:lvlJc w:val="left"/>
      <w:lvlText w:val="1"/>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lowerRoman"/>
      <w:start w:val="2"/>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15" Type="http://schemas.openxmlformats.org/officeDocument/2006/relationships/hyperlink" Target="http://www.sec.gov/Archives/edgar/data/1549346/000104746912009325/a2211285zex-2_1.htm" TargetMode="External"/><Relationship Id="rId116" Type="http://schemas.openxmlformats.org/officeDocument/2006/relationships/hyperlink" Target="http://www.sec.gov/Archives/edgar/data/1549346/000104746912009325/a2211285zex-2_2.htm" TargetMode="External"/><Relationship Id="rId117" Type="http://schemas.openxmlformats.org/officeDocument/2006/relationships/hyperlink" Target="https://www.sec.gov/Archives/edgar/data/1549346/000114036122018607/brhc10037452_ex2-1.htm" TargetMode="External"/><Relationship Id="rId118" Type="http://schemas.openxmlformats.org/officeDocument/2006/relationships/hyperlink" Target="http://www.sec.gov/Archives/edgar/data/1549346/000104746912006975/a2209974zex-3_2.htm" TargetMode="External"/><Relationship Id="rId119" Type="http://schemas.openxmlformats.org/officeDocument/2006/relationships/hyperlink" Target="http://www.sec.gov/Archives/edgar/data/1549346/000104746912009122/a2211147zex-3_4.htm" TargetMode="External"/><Relationship Id="rId120" Type="http://schemas.openxmlformats.org/officeDocument/2006/relationships/hyperlink" Target="http://www.sec.gov/Archives/edgar/data/1549346/000119312520214906/d91196dex41.htm" TargetMode="External"/><Relationship Id="rId121" Type="http://schemas.openxmlformats.org/officeDocument/2006/relationships/hyperlink" Target="http://www.sec.gov/Archives/edgar/data/1549346/000154934620000007/a201910kexhibit4descri.htm" TargetMode="External"/><Relationship Id="rId122" Type="http://schemas.openxmlformats.org/officeDocument/2006/relationships/hyperlink" Target="http://www.sec.gov/Archives/edgar/data/1549346/000104746912008610/a2210879zex-10_1.htm" TargetMode="External"/><Relationship Id="rId123" Type="http://schemas.openxmlformats.org/officeDocument/2006/relationships/hyperlink" Target="http://www.sec.gov/Archives/edgar/data/1549346/000104746915001422/a2223257zex-10_2.htm" TargetMode="External"/><Relationship Id="rId124" Type="http://schemas.openxmlformats.org/officeDocument/2006/relationships/hyperlink" Target="https://www.sec.gov/Archives/edgar/data/1549346/000154934622000012/a2022-def_14a.htm#i3bf29de65eff4d8499cec925401a1a2a_910" TargetMode="External"/><Relationship Id="rId125" Type="http://schemas.openxmlformats.org/officeDocument/2006/relationships/hyperlink" Target="http://www.sec.gov/Archives/edgar/data/1549346/000104746912008610/a2210879zex-10_7.htm" TargetMode="External"/><Relationship Id="rId126" Type="http://schemas.openxmlformats.org/officeDocument/2006/relationships/hyperlink" Target="http://www.sec.gov/Archives/edgar/data/1549346/000104746912009122/a2211147zex-10_8a.htm" TargetMode="External"/><Relationship Id="rId127" Type="http://schemas.openxmlformats.org/officeDocument/2006/relationships/hyperlink" Target="http://www.sec.gov/Archives/edgar/data/1549346/000104746912009122/a2211147zex-10_8b.htm" TargetMode="External"/><Relationship Id="rId128" Type="http://schemas.openxmlformats.org/officeDocument/2006/relationships/hyperlink" Target="http://www.sec.gov/Archives/edgar/data/1549346/000110465914031339/a14-11338_18k.htm" TargetMode="External"/><Relationship Id="rId129" Type="http://schemas.openxmlformats.org/officeDocument/2006/relationships/hyperlink" Target="http://www.sec.gov/Archives/edgar/data/1549346/000154934620000007/exhibit105djoringerame.htm" TargetMode="External"/><Relationship Id="rId130" Type="http://schemas.openxmlformats.org/officeDocument/2006/relationships/hyperlink" Target="http://www.sec.gov/Archives/edgar/data/1549346/000154934620000007/exhibit105ejoringerame.htm" TargetMode="External"/><Relationship Id="rId131" Type="http://schemas.openxmlformats.org/officeDocument/2006/relationships/hyperlink" Target="http://www.sec.gov/Archives/edgar/data/1549346/000110465913040280/a13-8713_1ex10d1.htm" TargetMode="External"/><Relationship Id="rId132" Type="http://schemas.openxmlformats.org/officeDocument/2006/relationships/hyperlink" Target="http://www.sec.gov/Archives/edgar/data/1549346/000154934615000014/exhibit103.htm" TargetMode="External"/><Relationship Id="rId133" Type="http://schemas.openxmlformats.org/officeDocument/2006/relationships/hyperlink" Target="http://www.sec.gov/Archives/edgar/data/1549346/000154934616000017/exhibit101.htm" TargetMode="External"/><Relationship Id="rId134" Type="http://schemas.openxmlformats.org/officeDocument/2006/relationships/hyperlink" Target="http://www.sec.gov/Archives/edgar/data/1549346/000154934616000055/exhibit101thirdleasemodifi.htm" TargetMode="External"/><Relationship Id="rId135" Type="http://schemas.openxmlformats.org/officeDocument/2006/relationships/hyperlink" Target="http://www.sec.gov/Archives/edgar/data/1549346/000154934619000008/a201810kexhibit1011.htm" TargetMode="External"/><Relationship Id="rId136" Type="http://schemas.openxmlformats.org/officeDocument/2006/relationships/hyperlink" Target="http://www.sec.gov/Archives/edgar/data/1549346/000154934616000033/qexhibit105.htm" TargetMode="External"/><Relationship Id="rId137" Type="http://schemas.openxmlformats.org/officeDocument/2006/relationships/hyperlink" Target="http://www.sec.gov/Archives/edgar/data/1549346/000154934616000033/qexhibit106.htm" TargetMode="External"/><Relationship Id="rId138" Type="http://schemas.openxmlformats.org/officeDocument/2006/relationships/hyperlink" Target="http://www.sec.gov/Archives/edgar/data/1549346/000154934616000033/qexhibit107.htm" TargetMode="External"/><Relationship Id="rId139" Type="http://schemas.openxmlformats.org/officeDocument/2006/relationships/hyperlink" Target="http://www.sec.gov/Archives/edgar/data/1549346/000154934616000055/exhibit104shutterstockamen.htm" TargetMode="External"/><Relationship Id="rId140" Type="http://schemas.openxmlformats.org/officeDocument/2006/relationships/hyperlink" Target="http://www.sec.gov/Archives/edgar/data/1549346/000154934616000060/qexhibit101.htm" TargetMode="External"/><Relationship Id="rId141" Type="http://schemas.openxmlformats.org/officeDocument/2006/relationships/hyperlink" Target="http://www.sec.gov/Archives/edgar/data/1549346/000154934616000060/qexhibit102.htm" TargetMode="External"/><Relationship Id="rId142" Type="http://schemas.openxmlformats.org/officeDocument/2006/relationships/hyperlink" Target="http://www.sec.gov/Archives/edgar/data/1549346/000154934616000060/qexhibit103.htm" TargetMode="External"/><Relationship Id="rId143" Type="http://schemas.openxmlformats.org/officeDocument/2006/relationships/hyperlink" Target="http://www.sec.gov/Archives/edgar/data/1549346/000154934619000015/exhibit101formofpsuawardag.htm" TargetMode="External"/><Relationship Id="rId144" Type="http://schemas.openxmlformats.org/officeDocument/2006/relationships/hyperlink" Target="http://www.sec.gov/Archives/edgar/data/1549346/000154934621000024/rsu21oga-updatedrsutemplate.htm" TargetMode="External"/><Relationship Id="rId147" Type="http://schemas.openxmlformats.org/officeDocument/2006/relationships/hyperlink" Target="http://www.sec.gov/Archives/edgar/data/1549346/000154934619000033/sciardielloemploymenta.htm" TargetMode="External"/><Relationship Id="rId148" Type="http://schemas.openxmlformats.org/officeDocument/2006/relationships/hyperlink" Target="http://www.sec.gov/Archives/edgar/data/1549346/000154934619000039/sciardielloamendment104.htm" TargetMode="External"/><Relationship Id="rId149" Type="http://schemas.openxmlformats.org/officeDocument/2006/relationships/hyperlink" Target="http://www.sec.gov/Archives/edgar/data/1549346/000154934619000020/stanpavlovskyemploymentagr.htm" TargetMode="External"/><Relationship Id="rId150" Type="http://schemas.openxmlformats.org/officeDocument/2006/relationships/hyperlink" Target="http://www.sec.gov/Archives/edgar/data/1549346/000154934619000039/spavlovskyamendment101.htm" TargetMode="External"/><Relationship Id="rId151" Type="http://schemas.openxmlformats.org/officeDocument/2006/relationships/hyperlink" Target="http://www.sec.gov/Archives/edgar/data/1549346/000154934620000007/exhibit1024cspavlovsky.htm" TargetMode="External"/><Relationship Id="rId152" Type="http://schemas.openxmlformats.org/officeDocument/2006/relationships/hyperlink" Target="http://www.sec.gov/Archives/edgar/data/1549346/000154934619000041/jarrodyahesexecutiveem.htm" TargetMode="External"/><Relationship Id="rId153" Type="http://schemas.openxmlformats.org/officeDocument/2006/relationships/hyperlink" Target="http://www.sec.gov/Archives/edgar/data/1549346/000154934620000033/petersilvioemploymenta.htm" TargetMode="External"/><Relationship Id="rId154" Type="http://schemas.openxmlformats.org/officeDocument/2006/relationships/hyperlink" Target="https://www.sec.gov/Archives/edgar/data/1549346/000114036122018607/brhc10037452_ex10-2.htm" TargetMode="External"/><Relationship Id="rId155" Type="http://schemas.openxmlformats.org/officeDocument/2006/relationships/hyperlink" Target="http://www.sec.gov/Archives/edgar/data/1549346/000154934623000003/executiveemploymentagreeme.htm" TargetMode="External"/><Relationship Id="rId156" Type="http://schemas.openxmlformats.org/officeDocument/2006/relationships/hyperlink" Target="https://www.sec.gov/Archives/edgar/data/1549346/000154934622000038/exhibit102-sstkdeferral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2023-02-14T07:21:30Z</dcterms:created>
  <dcterms:modified xsi:type="dcterms:W3CDTF">2023-02-14T07:21:30Z</dcterms:modified>
</cp:coreProperties>
</file>