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5" w:lineRule="exact"/>
        <w:rPr>
          <w:rFonts w:ascii="MS PGothic" w:cs="MS PGothic" w:eastAsia="MS PGothic" w:hAnsi="MS PGothic"/>
          <w:sz w:val="15"/>
          <w:szCs w:val="15"/>
          <w:color w:val="auto"/>
        </w:rPr>
      </w:pPr>
    </w:p>
    <w:p>
      <w:pPr>
        <w:ind w:left="412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21st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3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646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710-3417</w:t>
      </w:r>
    </w:p>
    <w:p>
      <w:pPr>
        <w:spacing w:after="0" w:line="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0"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2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99" w:lineRule="exact"/>
        <w:rPr>
          <w:sz w:val="24"/>
          <w:szCs w:val="24"/>
          <w:color w:val="auto"/>
        </w:rPr>
      </w:pPr>
    </w:p>
    <w:p>
      <w:pPr>
        <w:ind w:right="420" w:firstLine="395"/>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9" w:lineRule="exact"/>
        <w:rPr>
          <w:sz w:val="24"/>
          <w:szCs w:val="24"/>
          <w:color w:val="auto"/>
        </w:rPr>
      </w:pPr>
    </w:p>
    <w:p>
      <w:pPr>
        <w:ind w:right="300" w:firstLine="395"/>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July 22, 2022, 35,968,440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40" w:type="dxa"/>
            <w:vAlign w:val="bottom"/>
            <w:gridSpan w:val="2"/>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6"/>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7"/>
              </w:rPr>
              <w:t>For the Quarterly Period Ended June 30, 2022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26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60" w:type="dxa"/>
            <w:vAlign w:val="bottom"/>
            <w:gridSpan w:val="22"/>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7"/>
          </w:tcPr>
          <w:p>
            <w:pPr>
              <w:ind w:left="120"/>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Consolidated Balance Sheets</w:t>
            </w:r>
          </w:p>
        </w:tc>
        <w:tc>
          <w:tcPr>
            <w:tcW w:w="160" w:type="dxa"/>
            <w:vAlign w:val="bottom"/>
            <w:tcBorders>
              <w:top w:val="single" w:sz="8" w:color="0000FF"/>
            </w:tcBorders>
          </w:tcPr>
          <w:p>
            <w:pPr>
              <w:spacing w:after="0"/>
              <w:rPr>
                <w:sz w:val="16"/>
                <w:szCs w:val="16"/>
                <w:color w:val="auto"/>
              </w:rPr>
            </w:pPr>
          </w:p>
        </w:tc>
        <w:tc>
          <w:tcPr>
            <w:tcW w:w="7040" w:type="dxa"/>
            <w:vAlign w:val="bottom"/>
            <w:gridSpan w:val="8"/>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160" w:type="dxa"/>
            <w:vAlign w:val="bottom"/>
            <w:tcBorders>
              <w:top w:val="single" w:sz="8" w:color="0000FF"/>
            </w:tcBorders>
          </w:tcPr>
          <w:p>
            <w:pPr>
              <w:spacing w:after="0"/>
              <w:rPr>
                <w:sz w:val="16"/>
                <w:szCs w:val="16"/>
                <w:color w:val="auto"/>
              </w:rPr>
            </w:pPr>
          </w:p>
        </w:tc>
        <w:tc>
          <w:tcPr>
            <w:tcW w:w="5760" w:type="dxa"/>
            <w:vAlign w:val="bottom"/>
            <w:gridSpan w:val="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6520" w:type="dxa"/>
            <w:vAlign w:val="bottom"/>
            <w:gridSpan w:val="6"/>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6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340" w:type="dxa"/>
            <w:vAlign w:val="bottom"/>
            <w:gridSpan w:val="2"/>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6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20" w:type="dxa"/>
            <w:vAlign w:val="bottom"/>
            <w:tcBorders>
              <w:top w:val="single" w:sz="8" w:color="0000FF"/>
            </w:tcBorders>
            <w:gridSpan w:val="2"/>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Legal Proceedings</w:t>
            </w:r>
          </w:p>
        </w:tc>
        <w:tc>
          <w:tcPr>
            <w:tcW w:w="140" w:type="dxa"/>
            <w:vAlign w:val="bottom"/>
            <w:tcBorders>
              <w:top w:val="single" w:sz="8" w:color="0000FF"/>
            </w:tcBorders>
          </w:tcPr>
          <w:p>
            <w:pPr>
              <w:spacing w:after="0"/>
              <w:rPr>
                <w:sz w:val="21"/>
                <w:szCs w:val="21"/>
                <w:color w:val="auto"/>
              </w:rPr>
            </w:pPr>
          </w:p>
        </w:tc>
        <w:tc>
          <w:tcPr>
            <w:tcW w:w="7840" w:type="dxa"/>
            <w:vAlign w:val="bottom"/>
            <w:gridSpan w:val="11"/>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Item 1A.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8360" w:type="dxa"/>
            <w:vAlign w:val="bottom"/>
            <w:gridSpan w:val="1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9"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those discussed under the caption “Risk Factors” in our most recently filed Annual Report on Form 10-K, which was filed with the Securities and Exchange Commission (the “SEC”) on February 10, 2022 (our “2021 Form 10-K”), and in our consolidated financial statements, related notes, and the other information appearing elsewhere in the 2021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9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“Shutterstock Studios”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84,046</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$2,990 and $1,910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163,256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388,215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848,568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367,951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333,784</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419,475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383,228</w:t>
            </w:r>
          </w:p>
        </w:tc>
        <w:tc>
          <w:tcPr>
            <w:tcW w:w="0" w:type="dxa"/>
            <w:vAlign w:val="bottom"/>
          </w:tcPr>
          <w:p>
            <w:pPr>
              <w:spacing w:after="0"/>
              <w:rPr>
                <w:sz w:val="1"/>
                <w:szCs w:val="1"/>
                <w:color w:val="auto"/>
              </w:rPr>
            </w:pPr>
          </w:p>
        </w:tc>
      </w:tr>
      <w:tr>
        <w:trPr>
          <w:trHeight w:val="19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73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39,482 and 39,209 shares issued and 35,981 and</w:t>
            </w:r>
          </w:p>
        </w:tc>
        <w:tc>
          <w:tcPr>
            <w:tcW w:w="4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36,417 shares outstanding as of June 30, 2022 and December 31, 2021, respectively</w:t>
            </w:r>
          </w:p>
        </w:tc>
        <w:tc>
          <w:tcPr>
            <w:tcW w:w="4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Treasury stock, at cost; 3,501 and 2,792 shares as of June 30, 2022 and December 31, 2021, respectively</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(127,196)</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258,183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429,093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468,482</w:t>
            </w:r>
          </w:p>
        </w:tc>
        <w:tc>
          <w:tcPr>
            <w:tcW w:w="0" w:type="dxa"/>
            <w:vAlign w:val="bottom"/>
          </w:tcPr>
          <w:p>
            <w:pPr>
              <w:spacing w:after="0"/>
              <w:rPr>
                <w:sz w:val="1"/>
                <w:szCs w:val="1"/>
                <w:color w:val="auto"/>
              </w:rPr>
            </w:pPr>
          </w:p>
        </w:tc>
      </w:tr>
      <w:tr>
        <w:trPr>
          <w:trHeight w:val="202"/>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848,568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222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20" w:type="dxa"/>
            <w:vAlign w:val="bottom"/>
          </w:tcPr>
          <w:p>
            <w:pPr>
              <w:spacing w:after="0"/>
              <w:rPr>
                <w:sz w:val="16"/>
                <w:szCs w:val="16"/>
                <w:color w:val="auto"/>
              </w:rPr>
            </w:pPr>
          </w:p>
        </w:tc>
      </w:tr>
      <w:tr>
        <w:trPr>
          <w:trHeight w:val="37"/>
        </w:trPr>
        <w:tc>
          <w:tcPr>
            <w:tcW w:w="5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0"/>
        </w:trPr>
        <w:tc>
          <w:tcPr>
            <w:tcW w:w="5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38"/>
        </w:trPr>
        <w:tc>
          <w:tcPr>
            <w:tcW w:w="5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6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373,193</w:t>
            </w:r>
          </w:p>
        </w:tc>
      </w:tr>
      <w:tr>
        <w:trPr>
          <w:trHeight w:val="197"/>
        </w:trPr>
        <w:tc>
          <w:tcPr>
            <w:tcW w:w="5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129,589</w:t>
            </w:r>
          </w:p>
        </w:tc>
      </w:tr>
      <w:tr>
        <w:trPr>
          <w:trHeight w:val="212"/>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45,896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87,817</w:t>
            </w: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r>
      <w:tr>
        <w:trPr>
          <w:trHeight w:val="212"/>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31,041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61,720</w:t>
            </w:r>
          </w:p>
        </w:tc>
      </w:tr>
      <w:tr>
        <w:trPr>
          <w:trHeight w:val="202"/>
        </w:trPr>
        <w:tc>
          <w:tcPr>
            <w:tcW w:w="5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181,498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156,687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348,712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301,850</w:t>
            </w:r>
          </w:p>
        </w:tc>
      </w:tr>
      <w:tr>
        <w:trPr>
          <w:trHeight w:val="206"/>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33,225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71,343</w:t>
            </w:r>
          </w:p>
        </w:tc>
      </w:tr>
      <w:tr>
        <w:trPr>
          <w:trHeight w:val="20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0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70,204</w:t>
            </w:r>
          </w:p>
        </w:tc>
      </w:tr>
      <w:tr>
        <w:trPr>
          <w:trHeight w:val="20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11,236</w:t>
            </w:r>
          </w:p>
        </w:tc>
      </w:tr>
      <w:tr>
        <w:trPr>
          <w:trHeight w:val="204"/>
        </w:trPr>
        <w:tc>
          <w:tcPr>
            <w:tcW w:w="5920" w:type="dxa"/>
            <w:vAlign w:val="bottom"/>
            <w:tcBorders>
              <w:bottom w:val="single" w:sz="8" w:color="CCEEFF"/>
            </w:tcBorders>
            <w:shd w:val="clear" w:color="auto" w:fill="CCEEFF"/>
          </w:tcPr>
          <w:p>
            <w:pPr>
              <w:ind w:left="36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auto"/>
            </w:tcBorders>
            <w:shd w:val="clear" w:color="auto" w:fill="CCEEFF"/>
          </w:tcPr>
          <w:p>
            <w:pPr>
              <w:jc w:val="right"/>
              <w:ind w:right="2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19,445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29,454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46,017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58,968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40" w:type="dxa"/>
            <w:vAlign w:val="bottom"/>
            <w:gridSpan w:val="2"/>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5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36,453</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940" w:type="dxa"/>
            <w:vAlign w:val="bottom"/>
            <w:gridSpan w:val="5"/>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6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r>
      <w:tr>
        <w:trPr>
          <w:trHeight w:val="37"/>
        </w:trPr>
        <w:tc>
          <w:tcPr>
            <w:tcW w:w="6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0"/>
        </w:trPr>
        <w:tc>
          <w:tcPr>
            <w:tcW w:w="6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91"/>
        </w:trPr>
        <w:tc>
          <w:tcPr>
            <w:tcW w:w="6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19,445</w:t>
            </w:r>
          </w:p>
        </w:tc>
        <w:tc>
          <w:tcPr>
            <w:tcW w:w="6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29,454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46,017</w:t>
            </w:r>
          </w:p>
        </w:tc>
        <w:tc>
          <w:tcPr>
            <w:tcW w:w="62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58,968</w:t>
            </w:r>
          </w:p>
        </w:tc>
      </w:tr>
      <w:tr>
        <w:trPr>
          <w:trHeight w:val="209"/>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98"/>
              </w:rPr>
              <w:t>(4,945)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0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8"/>
              </w:rPr>
              <w:t>(4,945)</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02"/>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29,518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40,186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59,258</w:t>
            </w:r>
          </w:p>
        </w:tc>
      </w:tr>
      <w:tr>
        <w:trPr>
          <w:trHeight w:val="21"/>
        </w:trPr>
        <w:tc>
          <w:tcPr>
            <w:tcW w:w="6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Income / (Loss)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(165,465)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373,765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247,403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444,423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(8,665)</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429,093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(7,455)</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190,173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440,504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29,454</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465,334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(21,038)</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(17,371)</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46,017</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39,482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370,934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258,183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429,093</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(15,317)</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58,968</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39,173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211,956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465,334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5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91"/>
        </w:trPr>
        <w:tc>
          <w:tcPr>
            <w:tcW w:w="8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58,968</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59,574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107,216</w:t>
            </w:r>
          </w:p>
        </w:tc>
      </w:tr>
      <w:tr>
        <w:trPr>
          <w:trHeight w:val="192"/>
        </w:trPr>
        <w:tc>
          <w:tcPr>
            <w:tcW w:w="8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(15,337)</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(72,165)</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acquisitions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(90,963)</w:t>
            </w:r>
          </w:p>
        </w:tc>
      </w:tr>
      <w:tr>
        <w:trPr>
          <w:trHeight w:val="192"/>
        </w:trPr>
        <w:tc>
          <w:tcPr>
            <w:tcW w:w="8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(20,229)</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(15,317)</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(33,745)</w:t>
            </w:r>
          </w:p>
        </w:tc>
      </w:tr>
      <w:tr>
        <w:trPr>
          <w:trHeight w:val="74"/>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549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365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58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60"/>
        <w:spacing w:after="0"/>
        <w:tabs>
          <w:tab w:leader="none" w:pos="2140" w:val="left"/>
        </w:tabs>
        <w:rPr>
          <w:sz w:val="20"/>
          <w:szCs w:val="20"/>
          <w:color w:val="auto"/>
        </w:rPr>
      </w:pPr>
      <w:r>
        <w:rPr>
          <w:rFonts w:ascii="Times New Roman" w:cs="Times New Roman" w:eastAsia="Times New Roman" w:hAnsi="Times New Roman"/>
          <w:sz w:val="16"/>
          <w:szCs w:val="16"/>
          <w:color w:val="auto"/>
        </w:rPr>
        <w:t>(229,971)</w:t>
      </w:r>
      <w:r>
        <w:rPr>
          <w:sz w:val="20"/>
          <w:szCs w:val="20"/>
          <w:color w:val="auto"/>
        </w:rPr>
        <w:tab/>
      </w:r>
      <w:r>
        <w:rPr>
          <w:rFonts w:ascii="Times New Roman" w:cs="Times New Roman" w:eastAsia="Times New Roman" w:hAnsi="Times New Roman"/>
          <w:sz w:val="16"/>
          <w:szCs w:val="16"/>
          <w:color w:val="auto"/>
        </w:rPr>
        <w:t>(17,528)</w:t>
      </w:r>
    </w:p>
    <w:p>
      <w:pPr>
        <w:spacing w:after="0" w:line="78" w:lineRule="exact"/>
        <w:rPr>
          <w:sz w:val="20"/>
          <w:szCs w:val="20"/>
          <w:color w:val="auto"/>
        </w:rPr>
      </w:pPr>
    </w:p>
    <w:p>
      <w:pPr>
        <w:ind w:left="720"/>
        <w:spacing w:after="0"/>
        <w:tabs>
          <w:tab w:leader="none" w:pos="2120" w:val="left"/>
        </w:tabs>
        <w:rPr>
          <w:sz w:val="20"/>
          <w:szCs w:val="20"/>
          <w:color w:val="auto"/>
        </w:rPr>
      </w:pPr>
      <w:r>
        <w:rPr>
          <w:rFonts w:ascii="Times New Roman" w:cs="Times New Roman" w:eastAsia="Times New Roman" w:hAnsi="Times New Roman"/>
          <w:sz w:val="16"/>
          <w:szCs w:val="16"/>
          <w:color w:val="auto"/>
        </w:rPr>
        <w:t>314,017</w:t>
      </w:r>
      <w:r>
        <w:rPr>
          <w:sz w:val="20"/>
          <w:szCs w:val="20"/>
          <w:color w:val="auto"/>
        </w:rPr>
        <w:tab/>
      </w:r>
      <w:r>
        <w:rPr>
          <w:rFonts w:ascii="Times New Roman" w:cs="Times New Roman" w:eastAsia="Times New Roman" w:hAnsi="Times New Roman"/>
          <w:sz w:val="16"/>
          <w:szCs w:val="16"/>
          <w:color w:val="auto"/>
        </w:rPr>
        <w:t>428,574</w:t>
      </w:r>
    </w:p>
    <w:p>
      <w:pPr>
        <w:spacing w:after="0" w:line="40" w:lineRule="exact"/>
        <w:rPr>
          <w:sz w:val="20"/>
          <w:szCs w:val="20"/>
          <w:color w:val="auto"/>
        </w:rPr>
      </w:pPr>
    </w:p>
    <w:p>
      <w:pPr>
        <w:spacing w:after="0"/>
        <w:tabs>
          <w:tab w:leader="none" w:pos="780" w:val="left"/>
          <w:tab w:leader="none" w:pos="1400" w:val="left"/>
          <w:tab w:leader="none" w:pos="21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84,046</w:t>
        <w:tab/>
        <w:t>$</w:t>
      </w:r>
      <w:r>
        <w:rPr>
          <w:sz w:val="20"/>
          <w:szCs w:val="20"/>
          <w:color w:val="auto"/>
        </w:rPr>
        <w:tab/>
      </w:r>
      <w:r>
        <w:rPr>
          <w:rFonts w:ascii="Times New Roman" w:cs="Times New Roman" w:eastAsia="Times New Roman" w:hAnsi="Times New Roman"/>
          <w:sz w:val="16"/>
          <w:szCs w:val="16"/>
          <w:color w:val="auto"/>
        </w:rPr>
        <w:t>411,046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1737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79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720"/>
          </w:cols>
          <w:pgMar w:left="320" w:top="121" w:right="3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1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12,700</w:t>
            </w:r>
          </w:p>
        </w:tc>
        <w:tc>
          <w:tcPr>
            <w:tcW w:w="5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w:t>
            </w:r>
          </w:p>
        </w:tc>
      </w:tr>
      <w:tr>
        <w:trPr>
          <w:trHeight w:val="212"/>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3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90</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Shutterstock, Inc. (the “Company” or “Shutterstock”) is the leading global creative platform for transformative brands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key offerings include:</w:t>
      </w:r>
    </w:p>
    <w:p>
      <w:pPr>
        <w:spacing w:after="0" w:line="148" w:lineRule="exact"/>
        <w:rPr>
          <w:sz w:val="20"/>
          <w:szCs w:val="20"/>
          <w:color w:val="auto"/>
        </w:rPr>
      </w:pPr>
    </w:p>
    <w:p>
      <w:pPr>
        <w:ind w:left="960" w:right="22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4" w:lineRule="exact"/>
        <w:rPr>
          <w:rFonts w:ascii="Times New Roman" w:cs="Times New Roman" w:eastAsia="Times New Roman" w:hAnsi="Times New Roman"/>
          <w:sz w:val="18"/>
          <w:szCs w:val="18"/>
          <w:color w:val="auto"/>
        </w:rPr>
      </w:pPr>
    </w:p>
    <w:p>
      <w:pPr>
        <w:ind w:left="960" w:right="6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08" w:lineRule="exact"/>
        <w:rPr>
          <w:rFonts w:ascii="Times New Roman" w:cs="Times New Roman" w:eastAsia="Times New Roman" w:hAnsi="Times New Roman"/>
          <w:sz w:val="18"/>
          <w:szCs w:val="18"/>
          <w:color w:val="auto"/>
        </w:rPr>
      </w:pPr>
    </w:p>
    <w:p>
      <w:pPr>
        <w:ind w:left="960" w:right="20" w:hanging="323"/>
        <w:spacing w:after="0" w:line="256"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 This offering became available upon the Company’s acquisition of TurboSquid, Inc. on February 1, 2021.</w:t>
      </w:r>
    </w:p>
    <w:p>
      <w:pPr>
        <w:spacing w:after="0" w:line="74" w:lineRule="exact"/>
        <w:rPr>
          <w:rFonts w:ascii="Times New Roman" w:cs="Times New Roman" w:eastAsia="Times New Roman" w:hAnsi="Times New Roman"/>
          <w:sz w:val="18"/>
          <w:szCs w:val="18"/>
          <w:color w:val="auto"/>
        </w:rPr>
      </w:pPr>
    </w:p>
    <w:p>
      <w:pPr>
        <w:ind w:left="960" w:right="160" w:hanging="323"/>
        <w:spacing w:after="0" w:line="256"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Design Software - consisting of the Company’s online graphic design and image editing platform. This offering became available after the Company completed the acquisition of substantially all of the assets and assumption of certain liabilities from PicMonkey, LLC (“PicMonkey”) on September 3, 2021.</w:t>
      </w:r>
    </w:p>
    <w:p>
      <w:pPr>
        <w:spacing w:after="0" w:line="114" w:lineRule="exact"/>
        <w:rPr>
          <w:sz w:val="20"/>
          <w:szCs w:val="20"/>
          <w:color w:val="auto"/>
        </w:rPr>
      </w:pPr>
    </w:p>
    <w:p>
      <w:pPr>
        <w:jc w:val="both"/>
        <w:ind w:right="420" w:firstLine="395"/>
        <w:spacing w:after="0" w:line="256" w:lineRule="auto"/>
        <w:rPr>
          <w:sz w:val="20"/>
          <w:szCs w:val="20"/>
          <w:color w:val="auto"/>
        </w:rPr>
      </w:pPr>
      <w:r>
        <w:rPr>
          <w:rFonts w:ascii="Times New Roman" w:cs="Times New Roman" w:eastAsia="Times New Roman" w:hAnsi="Times New Roman"/>
          <w:sz w:val="18"/>
          <w:szCs w:val="18"/>
          <w:color w:val="auto"/>
        </w:rPr>
        <w:t>On May 11, 2022, the Company completed its acquisition of Pond5, Inc. (“Pond5”), a video-first content marketplace which expands Shutterstock’s content offerings across footage, image and music. On May 28, 2022, Shutterstock acquired SCP 2020 Limited (“Splash News”), an entertainment news network for newsrooms and media companies, which offers image and video content across celebrity, red carpet and live events.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2"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The interim Consolidated Balance Sheet as of June 30, 2022, and the Consolidated Statements of Operations, Comprehensive Income and Stockholders’ Equity for the three and six months ended June 30, 2022 and 2021, and the Consolidated Statements of Cash Flows for the six months ended June 30, 2022 and 2021, are unaudited. The Consolidated Balance Sheet as of December 31, 2021,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2022, and its consolidated results of operations, comprehensive income, stockholders’ equity and cash flows for the three and six months ended June 30, 2022 and 2021. The financial data and the other financial information disclosed in the notes to the financial statements related to these periods are also unaudited. The results of operations for the six months ended June 30, 2022 are not necessarily indicative of the results to be expected for the fiscal year ending December 31, 2022 or for any other future annual or interim period.</w:t>
      </w:r>
    </w:p>
    <w:p>
      <w:pPr>
        <w:spacing w:after="0" w:line="27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2021 included in the Company’s Annual Report on Form 10-K, which was filed with the SEC on February 10, 2022. The unaudited consolidated financial statements include the accounts of the Company and its wholly owned subsidiaries. All intercompany balances and transactions have been eliminated in</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20"/>
        <w:spacing w:after="0" w:line="396" w:lineRule="auto"/>
        <w:rPr>
          <w:sz w:val="20"/>
          <w:szCs w:val="20"/>
          <w:color w:val="auto"/>
        </w:rPr>
      </w:pPr>
      <w:r>
        <w:rPr>
          <w:rFonts w:ascii="Times New Roman" w:cs="Times New Roman" w:eastAsia="Times New Roman" w:hAnsi="Times New Roman"/>
          <w:sz w:val="18"/>
          <w:szCs w:val="18"/>
          <w:color w:val="auto"/>
        </w:rPr>
        <w:t xml:space="preserve">consolidation. Certain immaterial changes in presentation have been made to conform the prior period presentation to current period reporting.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 and money market funds.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13"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7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the Company recorded bad debt expense of $0.6 million. As of June 30, 2022 and December 31, 2021, the Company’s allowance for doubtful accounts was approximately $3.0 million and $1.9 million, respectively. The allowance for doubtful accounts is included as a reduction of accounts receivable on the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June 30, 2022 and December 31, 2021, the Company’s combined allowance for chargebacks and sales refunds was $0.4 million, which was included as a component of other current liabilities on the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Subsequent to the acquisition of PicMonkey, the Company also generates revenue from tools made available through the Company’s platform.</w:t>
      </w:r>
    </w:p>
    <w:p>
      <w:pPr>
        <w:spacing w:after="0" w:line="11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For content licenses,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made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0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200" w:lineRule="exact"/>
        <w:rPr>
          <w:sz w:val="20"/>
          <w:szCs w:val="20"/>
          <w:color w:val="auto"/>
        </w:rPr>
      </w:pPr>
    </w:p>
    <w:p>
      <w:pPr>
        <w:spacing w:after="0" w:line="39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2"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Interest expense is comprised of borrowing costs on debt. In addition, interest expense includes amortization of debt issuance costs and unused commitment fees associated with the Company’s credit facility.</w:t>
      </w:r>
    </w:p>
    <w:p>
      <w:pPr>
        <w:spacing w:after="0" w:line="64"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Debt issuance costs are recorded in prepaid expenses and other current assets and other assets in the Consolidated Balance Sheets and are amortized over the term of the credit facility.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36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June 30, 2022 or December 31, 2021, except as noted below. </w:t>
      </w:r>
      <w:r>
        <w:rPr>
          <w:rFonts w:ascii="Times New Roman" w:cs="Times New Roman" w:eastAsia="Times New Roman" w:hAnsi="Times New Roman"/>
          <w:sz w:val="18"/>
          <w:szCs w:val="18"/>
          <w:i w:val="1"/>
          <w:iCs w:val="1"/>
          <w:color w:val="auto"/>
        </w:rPr>
        <w:t>Cash Equivalents</w:t>
      </w: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Cash equivalents include money market accounts and are classified as a level 1 measurement based on quoted prices in active markets for identical assets that the reporting entity can access at the measurement date. As of December 31, 2021, the Company had cash equivalent balances of $195.1 million. As of June 30, 2022, the Company did not have any cash equivalent balances.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5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As of June 30, 2022 and December 31, 2021,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04" w:lineRule="exact"/>
        <w:rPr>
          <w:sz w:val="20"/>
          <w:szCs w:val="20"/>
          <w:color w:val="auto"/>
        </w:rPr>
      </w:pPr>
    </w:p>
    <w:p>
      <w:pPr>
        <w:jc w:val="both"/>
        <w:ind w:right="280" w:firstLine="395"/>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general market conditions. As of June 30, 2022,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97" w:lineRule="exact"/>
        <w:rPr>
          <w:sz w:val="20"/>
          <w:szCs w:val="20"/>
          <w:color w:val="auto"/>
        </w:rPr>
      </w:pPr>
    </w:p>
    <w:p>
      <w:pPr>
        <w:jc w:val="right"/>
        <w:ind w:left="400" w:right="10000" w:hanging="395"/>
        <w:spacing w:after="0" w:line="413" w:lineRule="auto"/>
        <w:tabs>
          <w:tab w:leader="none" w:pos="244"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i w:val="1"/>
          <w:iCs w:val="1"/>
          <w:color w:val="auto"/>
        </w:rPr>
        <w:t>Pond5, Inc.</w:t>
      </w: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On May 11, 2022, the Company completed its acquisition of Pond5, for approximately $218.3 million, subject to customary working capital adjustments. The total purchase price was paid with existing cash on hand as well as a $50 million drawdown on a newly established revolving credit facility (See Note 7). In connection with the acquisition, the Company incurred approximately $3.6 million of transaction costs, which is included in general and administrative expenses on the Consolidated Statements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64"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12.2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Splash News</w:t>
      </w:r>
    </w:p>
    <w:p>
      <w:pPr>
        <w:spacing w:after="0" w:line="111" w:lineRule="exact"/>
        <w:rPr>
          <w:sz w:val="20"/>
          <w:szCs w:val="20"/>
          <w:color w:val="auto"/>
        </w:rPr>
      </w:pPr>
    </w:p>
    <w:p>
      <w:pPr>
        <w:jc w:val="both"/>
        <w:ind w:right="520" w:firstLine="395"/>
        <w:spacing w:after="0" w:line="256" w:lineRule="auto"/>
        <w:rPr>
          <w:sz w:val="20"/>
          <w:szCs w:val="20"/>
          <w:color w:val="auto"/>
        </w:rPr>
      </w:pPr>
      <w:r>
        <w:rPr>
          <w:rFonts w:ascii="Times New Roman" w:cs="Times New Roman" w:eastAsia="Times New Roman" w:hAnsi="Times New Roman"/>
          <w:sz w:val="18"/>
          <w:szCs w:val="18"/>
          <w:color w:val="auto"/>
        </w:rPr>
        <w:t>On May 28, 2022, the Company completed its acquisition of Splash News, for approximately $6.3 million. The total purchase price was paid with existing cash on hand in the three months ended June 30, 2022. In connection with the acquisition, the Company incurred approximately $0.3 million of transaction costs, which is included in general and administrative expenses on the Consolidated Statements of Operations.</w:t>
      </w:r>
    </w:p>
    <w:p>
      <w:pPr>
        <w:spacing w:after="0" w:line="75"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64"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64"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Pond5 and Splash News transactions were accounted for using the acquisition method and, accordingly, the results of the acquired businesses have been included in the Company’s results of operations from the respective acquisition dates. For the three months ended June 30, 2022, revenue of $7.2 million was included in the Consolidated Statements of Operations related to these acquired companies.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Pond5</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Splash News</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26,563</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71,900</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160,514</w:t>
            </w:r>
          </w:p>
        </w:tc>
      </w:tr>
      <w:tr>
        <w:trPr>
          <w:trHeight w:val="209"/>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242,573</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250,606</w:t>
            </w:r>
          </w:p>
        </w:tc>
      </w:tr>
      <w:tr>
        <w:trPr>
          <w:trHeight w:val="204"/>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(9,618)</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(26,023)</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218,267</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224,583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w:t>
      </w:r>
    </w:p>
    <w:p>
      <w:pPr>
        <w:spacing w:after="0" w:line="147" w:lineRule="exact"/>
        <w:rPr>
          <w:sz w:val="20"/>
          <w:szCs w:val="20"/>
          <w:color w:val="auto"/>
        </w:rPr>
      </w:pPr>
    </w:p>
    <w:p>
      <w:pPr>
        <w:ind w:right="180" w:firstLine="5"/>
        <w:spacing w:after="0" w:line="199" w:lineRule="auto"/>
        <w:tabs>
          <w:tab w:leader="none" w:pos="10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allocation of the purchase price is preliminary and will be finalized within the allowable measurement period once independent valuations of the fair value of the assets acquired and liabilities assumed are completed.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PicMonkey, LLC</w:t>
      </w:r>
    </w:p>
    <w:p>
      <w:pPr>
        <w:spacing w:after="0" w:line="111"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September 3, 2021, the Company completed the acquisition of substantially all of the assets and assumption of certain liabilities from PicMonkey, for approximately $109.4 million. The total purchase price was paid with existing cash on hand in the three months ended September 30, 2021. In connection with the acquisition, the Company incurred approximately $2 million of transaction costs, which is included in general and administrative expenses on the Consolidated Statements of Operations.</w:t>
      </w:r>
    </w:p>
    <w:p>
      <w:pPr>
        <w:spacing w:after="0" w:line="78"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PicMonkey is a Washington-based company that operates an online graphic design and image editing platform that enables creators of any skill level to design high-quality visual assets. The Company believes this acquisition provides Shutterstock’s global customer community with professional-grade, easy-to-use design tools.</w:t>
      </w:r>
    </w:p>
    <w:p>
      <w:pPr>
        <w:spacing w:after="0" w:line="7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lives of approximately 12 years, 5 years and 10 years, respectively. The goodwill arising from the transaction is primarily attributable to expected operational synergies and is expected to be deductible for income tax purposes.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TurboSquid, Inc.</w:t>
      </w:r>
    </w:p>
    <w:p>
      <w:pPr>
        <w:spacing w:after="0" w:line="11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On February 1, 2021, the Company completed its acquisition of TurboSquid, Inc. (“TurboSquid”), for approximately $77.3 million. The total purchase price was paid with existing cash on hand in the three months ended March 31, 2021. In connection with the acquisition, the Company incurred approximately $1.6 million of transaction costs, which is included in general and administrative expenses on the Consolidated Statements of Operations.</w:t>
      </w:r>
    </w:p>
    <w:p>
      <w:pPr>
        <w:spacing w:after="0" w:line="75"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TurboSquid is a Louisiana-based company that operates a marketplace offering more than one million 3D models, a marketplace for 2D images derived from 3D objects and a digital asset management solution. The Company believes this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establishes Shutterstock as the premium destination for 3D models as well as 3D models in an easy-to-use 2D format.</w:t>
      </w:r>
    </w:p>
    <w:p>
      <w:pPr>
        <w:spacing w:after="0" w:line="109"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trade names and contributor content, have weighted average useful lives of approximately 12 years, 4.7 years, 10 years and 4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17"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PicMonkey and TurboSquid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PicMonkey</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TurboSquid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20,700</w:t>
            </w:r>
          </w:p>
        </w:tc>
      </w:tr>
      <w:tr>
        <w:trPr>
          <w:trHeight w:val="209"/>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Contributor content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6"/>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131,098</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120,685</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88,181</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208,866</w:t>
            </w:r>
          </w:p>
        </w:tc>
      </w:tr>
      <w:tr>
        <w:trPr>
          <w:trHeight w:val="35"/>
        </w:trPr>
        <w:tc>
          <w:tcPr>
            <w:tcW w:w="6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109,395</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77,330</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186,725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120" w:firstLine="395"/>
        <w:spacing w:after="0" w:line="283"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(in thousands) reflects the results of operations of the Company for the three and six months ended June 30, 2022 and 2021, as if the Pond5 and Splash News acquisitions had been completed on January 1, 2021 and as if the TurboSquid and PicMonkey acquisitions had been completed on January 1, 2020,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2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4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189,912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373,193</w:t>
            </w: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211,643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417,316</w:t>
            </w: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34,548</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70,204</w:t>
            </w: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35,978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240,535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221,429</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w:t>
            </w:r>
          </w:p>
        </w:tc>
      </w:tr>
      <w:tr>
        <w:trPr>
          <w:trHeight w:val="20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270,504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251,120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(217,955)</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(203,046)</w:t>
            </w:r>
          </w:p>
        </w:tc>
      </w:tr>
      <w:tr>
        <w:trPr>
          <w:trHeight w:val="20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00" w:firstLine="395"/>
        <w:spacing w:after="0" w:line="289" w:lineRule="auto"/>
        <w:rPr>
          <w:sz w:val="20"/>
          <w:szCs w:val="20"/>
          <w:color w:val="auto"/>
        </w:rPr>
      </w:pPr>
      <w:r>
        <w:rPr>
          <w:rFonts w:ascii="Times New Roman" w:cs="Times New Roman" w:eastAsia="Times New Roman" w:hAnsi="Times New Roman"/>
          <w:sz w:val="16"/>
          <w:szCs w:val="16"/>
          <w:color w:val="auto"/>
        </w:rPr>
        <w:t>Depreciation expense related to property and equipment was $8.3 million and $7.9 million for the three months ended June 30, 2022 and 2021, respectively, and $16.3 million and $15.9 million for the six months ended June 30, 2022 and 2021, respectively. Cost of revenues included depreciation expense of $7.5 million and $7.1 million for the three months ended June 30, 2022 and 2021, respectively, and $14.7 million and $14.2 million for the six months ended June 30, 2022 and 2021, respectively. General and administrative expense included depreciation expense of $0.8 million for the three months ended June 30, 2022 and 2021, and $1.6 million and $1.7 million for the six months ended June 30, 2022 and 2021,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$10.6 million and $7.2 million for the three months ended June 30,</w:t>
      </w:r>
    </w:p>
    <w:p>
      <w:pPr>
        <w:spacing w:after="0" w:line="44"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8"/>
          <w:szCs w:val="18"/>
          <w:color w:val="auto"/>
        </w:rPr>
        <w:t>2022 and 2021, respectively, and $20.1 million and $14.2 million for the six months ended June 30, 2022 and 2021, respectively. Capitalized amounts are included as a component of property and equipment under computer equipment and software on the Consolidated Balance Sheets.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$7.2 million and $6.6 million for the three months ended</w:t>
      </w:r>
    </w:p>
    <w:p>
      <w:pPr>
        <w:spacing w:after="0" w:line="2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June 30, 2022 and 2021, respectively, and $14.0 million and $13.3 million for the six months ended June 30, 2022 and 2021, respectively. Depreciation expense related to capitalized internal-use software is included in cost of revenue in the Consolidated Statements of Operations.</w:t>
      </w:r>
    </w:p>
    <w:p>
      <w:pPr>
        <w:spacing w:after="0" w:line="81"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As of June 30, 2022 and December 31, 2021, the Company had capitalized internal-use software of $45.1 million and $39.0 million, respectively, net of accumulated depreciation, which was included in property and equipment, net.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six months ended June 30, 2022.</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balance during the six months ended June 30, 2022 (in thousands):</w:t>
      </w:r>
    </w:p>
    <w:p>
      <w:pPr>
        <w:spacing w:after="0" w:line="37"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63" w:hanging="1163"/>
        <w:spacing w:after="0"/>
        <w:tabs>
          <w:tab w:leader="none" w:pos="116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219,816</w:t>
      </w:r>
    </w:p>
    <w:p>
      <w:pPr>
        <w:spacing w:after="0" w:line="26" w:lineRule="exact"/>
        <w:rPr>
          <w:rFonts w:ascii="Times New Roman" w:cs="Times New Roman" w:eastAsia="Times New Roman" w:hAnsi="Times New Roman"/>
          <w:sz w:val="16"/>
          <w:szCs w:val="16"/>
          <w:color w:val="auto"/>
        </w:rPr>
      </w:pPr>
    </w:p>
    <w:p>
      <w:pPr>
        <w:ind w:left="11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160,514</w:t>
      </w:r>
    </w:p>
    <w:p>
      <w:pPr>
        <w:spacing w:after="0" w:line="26" w:lineRule="exact"/>
        <w:rPr>
          <w:rFonts w:ascii="Times New Roman" w:cs="Times New Roman" w:eastAsia="Times New Roman" w:hAnsi="Times New Roman"/>
          <w:sz w:val="16"/>
          <w:szCs w:val="16"/>
          <w:color w:val="auto"/>
        </w:rPr>
      </w:pPr>
    </w:p>
    <w:p>
      <w:pPr>
        <w:ind w:left="12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(2,676)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9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31" w:lineRule="exact"/>
        <w:rPr>
          <w:sz w:val="20"/>
          <w:szCs w:val="20"/>
          <w:color w:val="auto"/>
        </w:rPr>
      </w:pPr>
    </w:p>
    <w:p>
      <w:pPr>
        <w:ind w:left="1163" w:hanging="1163"/>
        <w:spacing w:after="0"/>
        <w:tabs>
          <w:tab w:leader="none" w:pos="11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377,654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9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119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2022 and December 31, 2021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95,508</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92,231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44,465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248,385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185,860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was $8.2 million and $2.3 million for the three months ended June 30, 2022 and 2021, respectively, and $15.3 million and</w:t>
      </w:r>
    </w:p>
    <w:p>
      <w:pPr>
        <w:spacing w:after="0" w:line="2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$4.4 million for the six months ended June 30, 2022 and 2021, respectively. Cost of revenue included amortization expense of $7.7 million and $1.2 million for the three months ended June 30, 2022 and 2021, respectively, and $14.2 million and $2.3 million for the six months ended June 30, 2022 and 2021, respectively. General and administrative expense included amortization expense of $0.6 million and $1.1 million for the three months ended June 30, 2022 and 2021, respectively, and $1.1 million and $2.0 million for the six months ended June 30, 2022 and 2021, respectively.</w:t>
      </w:r>
    </w:p>
    <w:p>
      <w:pPr>
        <w:spacing w:after="0" w:line="84"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$19.0 million for the remaining six months of 2022, $37.7 million in 2023, $30.8 million in 2024, $20.6 million in 2025, $18.6 million in 2026, $13.1 million in 2027 and $46.1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8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28,077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43,529</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40" w:type="dxa"/>
            <w:vAlign w:val="bottom"/>
          </w:tcPr>
          <w:p>
            <w:pPr>
              <w:spacing w:after="0"/>
              <w:rPr>
                <w:sz w:val="18"/>
                <w:szCs w:val="18"/>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24,711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9,917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w:t>
            </w:r>
          </w:p>
        </w:tc>
      </w:tr>
      <w:tr>
        <w:trPr>
          <w:trHeight w:val="20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21,842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16,198</w:t>
            </w:r>
          </w:p>
        </w:tc>
      </w:tr>
      <w:tr>
        <w:trPr>
          <w:trHeight w:val="229"/>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84,547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1"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unused commitment fee ranging from 0.150% to 0.225%, determined based on the Company’s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On May 9, 2022, the Company borrowed $50 million for use in connection with the acquisition of Pond5, described under Note 3 (“Acquisitions”) and for general corporate purposes. As of June 30, 2022, the Company had outstanding borrowings under the Credit Facility of $50 million and had a remaining borrowing capacity of $48 million, net of standby letters of credit. As of December 31, 2021, the Company had no outstanding debt obligations. For the three and six months ended June 30, 2022, the Company recognized interest expense of $0.2 million.</w:t>
      </w:r>
    </w:p>
    <w:p>
      <w:pPr>
        <w:spacing w:after="0" w:line="78" w:lineRule="exact"/>
        <w:rPr>
          <w:sz w:val="20"/>
          <w:szCs w:val="20"/>
          <w:color w:val="auto"/>
        </w:rPr>
      </w:pPr>
    </w:p>
    <w:p>
      <w:pPr>
        <w:ind w:right="160" w:firstLine="395"/>
        <w:spacing w:after="0" w:line="303"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June 30, 2022, the Company was in compliance with these covenants.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130,000 and 163,000 shares of common stock during the three months ended June 30, 2022 and 2021,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repurchased approximately 286,700 and 708,700 shares of its common stock at an average per share cost of $63.95 and $79.87, respectively. During the six months ended June 30, 2021, the Company did not repurchase any shares of its common stock under the share repurchase program. As of June 30, 2022, the Company had $16.2 million of remaining authorization for purchases under the share repurchase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Company declared and paid cash dividends of $0.24 and $0.48 per share of common stock, or $8.7 million and $17.4 million, during the three and six months ended June 30, 2022, respectively, and $0.21 and $0.42 per share of common stock, or $7.7 million and $15.3 million, during the three and six months ended June 30, 2021, respectively.</w:t>
      </w:r>
    </w:p>
    <w:p>
      <w:pPr>
        <w:spacing w:after="0" w:line="180" w:lineRule="exact"/>
        <w:rPr>
          <w:sz w:val="20"/>
          <w:szCs w:val="20"/>
          <w:color w:val="auto"/>
        </w:rPr>
      </w:pPr>
    </w:p>
    <w:p>
      <w:pPr>
        <w:ind w:right="420" w:firstLine="395"/>
        <w:spacing w:after="0" w:line="250" w:lineRule="auto"/>
        <w:rPr>
          <w:sz w:val="20"/>
          <w:szCs w:val="20"/>
          <w:color w:val="auto"/>
        </w:rPr>
      </w:pPr>
      <w:r>
        <w:rPr>
          <w:rFonts w:ascii="Times New Roman" w:cs="Times New Roman" w:eastAsia="Times New Roman" w:hAnsi="Times New Roman"/>
          <w:sz w:val="18"/>
          <w:szCs w:val="18"/>
          <w:color w:val="auto"/>
        </w:rPr>
        <w:t>On July 18, 2022, the Company’s Board of Directors declared a quarterly cash dividend of $0.24 per share of outstanding common stock payable on September 15, 2022 to stockholders of record at the close of business on September 1, 2022.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six months ended June 30, 2022 and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4"/>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13,117</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14,869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17,896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accompanying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six months ended June 30, 2022 and 2021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4"/>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14,891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17,544</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14,869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17,896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jc w:val="both"/>
        <w:ind w:right="800" w:firstLine="395"/>
        <w:spacing w:after="0" w:line="303" w:lineRule="auto"/>
        <w:rPr>
          <w:sz w:val="20"/>
          <w:szCs w:val="20"/>
          <w:color w:val="auto"/>
        </w:rPr>
      </w:pPr>
      <w:r>
        <w:rPr>
          <w:rFonts w:ascii="Times New Roman" w:cs="Times New Roman" w:eastAsia="Times New Roman" w:hAnsi="Times New Roman"/>
          <w:sz w:val="16"/>
          <w:szCs w:val="16"/>
          <w:color w:val="auto"/>
        </w:rPr>
        <w:t>During the six months ended June 30, 2022, no options to purchase shares of its common stock were granted. As of June 30, 2022, there were approximately 319,000 options vested and exercisable with a weighted average exercise price of $34.46. As of June 30, 2022, the total unrecognized compensation expense related to non-vested options was approximately $0.2 million, which is expected to be recognized through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jc w:val="both"/>
        <w:ind w:right="240" w:firstLine="395"/>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2022, the Company had RSU grants, net of forfeitures, of approximately 745,000. As of June 30, 2022, there are approximately 1,393,000 non-vested RSUs outstanding with a weighted average grant-date fair value of $76.22. As of June 30, 2022, the total unrecognized non-cash equity-based compensation expense related to the non-vested RSUs was approximately $81.3 million, which is expected to be recognized through 2026.</w:t>
      </w:r>
    </w:p>
    <w:p>
      <w:pPr>
        <w:spacing w:after="0" w:line="7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2022 and 2021, shares of common stock with an aggregate value of $21.0 million and $20.2 million were withheld upon vesting of RSUs and paid in connection with related remittance of employee withholding taxes to taxing authorities.</w:t>
      </w:r>
    </w:p>
    <w:p>
      <w:pPr>
        <w:spacing w:after="0" w:line="64"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the Company had approximately $3 million in forfeitures associated with the resignation of its former Chief Executive Officer. On July 1, 2022, the Company awarded RSUs with a value of $30 million to its newly appointed Chief Executive Officer, which vest over a three-year service period. $15 million of these awards are subject to performance metrics.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channels:</w:t>
      </w:r>
    </w:p>
    <w:p>
      <w:pPr>
        <w:spacing w:after="0" w:line="10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make purchases of content licenses and tools directly through the Company’s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E-commerce customers have the flexibility to purchase subscription-based plans that are paid on a monthly or annual basis. Customer are also able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80" w:lineRule="exact"/>
        <w:rPr>
          <w:sz w:val="20"/>
          <w:szCs w:val="20"/>
          <w:color w:val="auto"/>
        </w:rPr>
      </w:pPr>
    </w:p>
    <w:p>
      <w:pPr>
        <w:ind w:right="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dedicated sales professionals, service and research teams which provide a number</w:t>
      </w:r>
    </w:p>
    <w:p>
      <w:pPr>
        <w:spacing w:after="0" w:line="200" w:lineRule="exact"/>
        <w:rPr>
          <w:sz w:val="20"/>
          <w:szCs w:val="20"/>
          <w:color w:val="auto"/>
        </w:rPr>
      </w:pPr>
    </w:p>
    <w:p>
      <w:pPr>
        <w:spacing w:after="0" w:line="3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40"/>
        <w:spacing w:after="0" w:line="332" w:lineRule="auto"/>
        <w:rPr>
          <w:sz w:val="20"/>
          <w:szCs w:val="20"/>
          <w:color w:val="auto"/>
        </w:rPr>
      </w:pPr>
      <w:r>
        <w:rPr>
          <w:rFonts w:ascii="Times New Roman" w:cs="Times New Roman" w:eastAsia="Times New Roman" w:hAnsi="Times New Roman"/>
          <w:sz w:val="16"/>
          <w:szCs w:val="16"/>
          <w:color w:val="auto"/>
        </w:rPr>
        <w:t>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six months ended June 30, 2022 and 2021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7"/>
        </w:trPr>
        <w:tc>
          <w:tcPr>
            <w:tcW w:w="5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254,458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239,115</w:t>
            </w:r>
          </w:p>
        </w:tc>
      </w:tr>
      <w:tr>
        <w:trPr>
          <w:trHeight w:val="20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79,484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151,546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134,078</w:t>
            </w:r>
          </w:p>
        </w:tc>
      </w:tr>
      <w:tr>
        <w:trPr>
          <w:trHeight w:val="23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373,193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June 30, 2022 deferred revenue balance will be earned as content is downloaded or upon the expiration of subscription-based products, and nearly all is expected to be earned within the next twelve months. $120.5 million of total revenue recognized for the six months ended June 30, 2022 was reflected in deferred revenue as of December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(Expense) /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six months ended June 30, 2022 and 2021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94</w:t>
            </w:r>
          </w:p>
        </w:tc>
      </w:tr>
      <w:tr>
        <w:trPr>
          <w:trHeight w:val="202"/>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 income</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1"/>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1"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yielded a net expense of 14.4% and 14.7% for the three months ended June 30, 2022 and 2021, respectively, and a net expense of 16.9% and 16.0% for the six months ended June 30, 2022 and 2021, respectively.</w:t>
      </w:r>
    </w:p>
    <w:p>
      <w:pPr>
        <w:spacing w:after="0" w:line="64"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June 30, 2022, the net effect of discrete items decreased the effective tax rate by 4.9%. For the six months ended June 30, 2022, the net effect of discrete items decreased the effective tax rate by 2.2%. The discrete items for the three and six months ended June 30, 2022, primarily relate to windfall tax benefits associated with equity-based compensation. Excluding discrete items, the Company’s effective tax rate would have been 19.3% and 19.1% for the three and six months ended June 30, 2022, respectively.</w:t>
      </w:r>
    </w:p>
    <w:p>
      <w:pPr>
        <w:spacing w:after="0" w:line="78"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June 30, 2021, the net effect of discrete items decreased the effective tax rate by 5.3%. For the six months ended June 30, 2021, the net effect of discrete items decreased the effective tax rate by 4.0%. The discrete items for the three and six months ended June 30, 2021, primarily relate to windfall tax benefits associated with equity-based compensation. Excluding discrete items, the Company’s effective tax rate would have been 20.0% for the three and six months ended June 30, 2021.</w:t>
      </w:r>
    </w:p>
    <w:p>
      <w:pPr>
        <w:spacing w:after="0" w:line="7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4"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uncertain tax positions recorded by the Company were not significant. To the extent the remaining uncertain tax positions are ultimately recognized, the Company’s effective tax rate may be impacted in future periods.</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six months ended June 30, 2022 and 2021.</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six months ended June 30, 2022 and 2021, the Company paid net cash taxes of $12.7 million and $9.5 million,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2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six months ended June 30,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19,445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29,454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36,123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36,570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36,213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36,453</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36,578</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37,189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840" w:type="dxa"/>
            <w:vAlign w:val="bottom"/>
            <w:gridSpan w:val="4"/>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2840" w:type="dxa"/>
            <w:vAlign w:val="bottom"/>
            <w:tcBorders>
              <w:bottom w:val="single" w:sz="8" w:color="auto"/>
            </w:tcBorders>
            <w:gridSpan w:val="4"/>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165,839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133,263</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127,055</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58,045</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114,681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112,875</w:t>
            </w:r>
          </w:p>
        </w:tc>
        <w:tc>
          <w:tcPr>
            <w:tcW w:w="0" w:type="dxa"/>
            <w:vAlign w:val="bottom"/>
          </w:tcPr>
          <w:p>
            <w:pPr>
              <w:spacing w:after="0"/>
              <w:rPr>
                <w:sz w:val="1"/>
                <w:szCs w:val="1"/>
                <w:color w:val="auto"/>
              </w:rPr>
            </w:pPr>
          </w:p>
        </w:tc>
      </w:tr>
      <w:tr>
        <w:trPr>
          <w:trHeight w:val="202"/>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373,193</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38% and 31% of consolidated revenue for the six months ended June 30, 2022 and 2021,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8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77% and 76% of total long-lived tangible assets as of June 30, 2022 and December 31, 2021, respectively. Ireland, included in Europe in the above table, accounted for 13% and 11% of total long-lived tangible assets as of June 30, 2022 and December 31, 2021, respectively. No other country accounts for more than 10% of the Company’s long-lived tangible assets in any period presented.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As of June 30, 2022, the Company had total non-lease obligations in the amount of approximately $103.3 million, which consisted primarily of minimum royalty guarantees and unconditional purchase obligations related to contracts for infrastructure and other business services. As of June 30, 2022, the Company’s non-lease obligations for the remainder of 2022 and for the years ending December 31, 2023, 2024, 2025 and 2026 were approximately $30.6 million, $37.3 million, $28.5 million, $6.3 million and $0.6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1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June 30, 2022,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85"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2021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2021 Form 10-K and this Quarterly Report on Form 10-Q for additional discussion of the risks and uncertainties that could cause our actual results to differ materially from those expressed or implied in our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the leading global creative platform for transformative brands and media companies. Our platform brings together users and contributors of content by providing readily-searchable content that our customers pay to license and by compensating contributors as their content is licensed.</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key offerings include:</w:t>
      </w:r>
    </w:p>
    <w:p>
      <w:pPr>
        <w:spacing w:after="0" w:line="135" w:lineRule="exact"/>
        <w:rPr>
          <w:sz w:val="20"/>
          <w:szCs w:val="20"/>
          <w:color w:val="auto"/>
        </w:rPr>
      </w:pPr>
    </w:p>
    <w:p>
      <w:pPr>
        <w:ind w:left="1040" w:right="160" w:hanging="403"/>
        <w:spacing w:after="0" w:line="268"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403"/>
        <w:spacing w:after="0" w:line="268"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35" w:lineRule="exact"/>
        <w:rPr>
          <w:rFonts w:ascii="Times New Roman" w:cs="Times New Roman" w:eastAsia="Times New Roman" w:hAnsi="Times New Roman"/>
          <w:sz w:val="18"/>
          <w:szCs w:val="18"/>
          <w:color w:val="auto"/>
        </w:rPr>
      </w:pPr>
    </w:p>
    <w:p>
      <w:pPr>
        <w:ind w:left="1040" w:right="200" w:hanging="403"/>
        <w:spacing w:after="0" w:line="256"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 This offering became available upon our acquisition of TurboSquid, Inc. (“TurboSquid”) on February 1, 2021.</w:t>
      </w:r>
    </w:p>
    <w:p>
      <w:pPr>
        <w:spacing w:after="0" w:line="114" w:lineRule="exact"/>
        <w:rPr>
          <w:rFonts w:ascii="Times New Roman" w:cs="Times New Roman" w:eastAsia="Times New Roman" w:hAnsi="Times New Roman"/>
          <w:sz w:val="18"/>
          <w:szCs w:val="18"/>
          <w:color w:val="auto"/>
        </w:rPr>
      </w:pPr>
    </w:p>
    <w:p>
      <w:pPr>
        <w:ind w:left="1040" w:right="600" w:hanging="403"/>
        <w:spacing w:after="0" w:line="256"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Design Software - consisting of our online graphic design and image editing platform. This offering became available after we completed the acquisition of substantially all of the assets and assumption of certain liabilities from PicMonkey, LLC (“PicMonkey”) on September 3, 2021.</w:t>
      </w:r>
    </w:p>
    <w:p>
      <w:pPr>
        <w:spacing w:after="0" w:line="114"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On May 11, 2022, we completed our acquisition of Pond5, Inc. (“Pond5”), a video-first content marketplace which expands our content offerings across footage, image and music. On May 28, 2022, we acquired SCP 2020 Limited (“Splash News”), an entertainment news network for newsrooms and media companies, which offers image and video content across celebrity, red carpet and live events.</w:t>
      </w:r>
    </w:p>
    <w:p>
      <w:pPr>
        <w:spacing w:after="0" w:line="10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customers seeking specialized solutions, Shutterstock Studios extends our offerings by providing custom, high-quality content matched with production tools and services at scale. Shutterstock Studios delivers end-to-end custom creative services providing data-driven content strategy and full-scale production for our customers. Shutterstock Editorial provides imagery and video content for the latest news, sports and entertainment, and Shutterstock Editorial also offers the Newsroom, for global breaking news, exclusives and archival content.</w:t>
      </w:r>
    </w:p>
    <w:p>
      <w:pPr>
        <w:spacing w:after="0" w:line="11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in July of 2021, through our newly formed entity Shutterstock.AI, Inc. (“Shutterstock.AI”), we acquired Pattern89, Inc., Datasine Limited, and assets from Shotzr, Inc., three artificial intelligence entities that provide data driven insights through their artificial intelligence platforms. Shutterstock.AI will commercialize data assets within our content library and enable companies to grow their capabilities in computer vision and content insights. The artificial intelligence tools obtained from these acquisitions will enable us to help customers make more data-informed content decisions.</w:t>
      </w:r>
    </w:p>
    <w:p>
      <w:pPr>
        <w:spacing w:after="0" w:line="118" w:lineRule="exact"/>
        <w:rPr>
          <w:sz w:val="20"/>
          <w:szCs w:val="20"/>
          <w:color w:val="auto"/>
        </w:rPr>
      </w:pPr>
    </w:p>
    <w:p>
      <w:pPr>
        <w:jc w:val="both"/>
        <w:ind w:right="180" w:firstLine="395"/>
        <w:spacing w:after="0" w:line="252" w:lineRule="auto"/>
        <w:rPr>
          <w:sz w:val="20"/>
          <w:szCs w:val="20"/>
          <w:color w:val="auto"/>
        </w:rPr>
      </w:pPr>
      <w:r>
        <w:rPr>
          <w:rFonts w:ascii="Times New Roman" w:cs="Times New Roman" w:eastAsia="Times New Roman" w:hAnsi="Times New Roman"/>
          <w:sz w:val="18"/>
          <w:szCs w:val="18"/>
          <w:color w:val="auto"/>
        </w:rPr>
        <w:t>Over 2.1 million active, paying customers contributed to our revenue for the twelve-month period ended June 30, 2022. As of June 30, 2022, more than 2.2 million approved contributors made their images, footage and music tracks available in our collection, which has grown to more than 415 million images and more than 26 million footage clips as of June 30, 2022. This makes our collection of content one of the largest of its kind, and we delivered 88.0 million paid downloads to our customers across all of our brands during the six months ended June 30, 2022.</w:t>
      </w:r>
    </w:p>
    <w:p>
      <w:pPr>
        <w:spacing w:after="0" w:line="200" w:lineRule="exact"/>
        <w:rPr>
          <w:sz w:val="20"/>
          <w:szCs w:val="20"/>
          <w:color w:val="auto"/>
        </w:rPr>
      </w:pPr>
    </w:p>
    <w:p>
      <w:pPr>
        <w:spacing w:after="0" w:line="33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Through our platform, we generate revenue as our customers make purchases of content licenses and tools. During the six months ended June 30, 2022, 63% of our revenue and the majority of our content licenses came from our E-commerce sales channel. The majority of our customers license content directly through our self-service web properties, including our shutterstock.com, bigstock.com, premiumbeat.com and turbosquid.com websites.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77"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which provides data-driven content strategy, brand storytelling and full scale production services. Our Enterprise sales channel provided approximately 37% of our revenue for the six months ended June 30, 2022.</w:t>
      </w:r>
    </w:p>
    <w:p>
      <w:pPr>
        <w:spacing w:after="0" w:line="121"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As the use cases for our creative solutions expand, we believe our customers are seeking alternative means to consume our offerings. As a result, we have seen strong growth in customers purchasing monthly subscription products, including our suite of multi-asset subscriptions, launched in 2021. These multi-asset products are credit-based and enable customers to license images, footage and music in a single subscription. Our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1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six months ended June 30, 2022 and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40" w:type="dxa"/>
            <w:vAlign w:val="bottom"/>
          </w:tcPr>
          <w:p>
            <w:pPr>
              <w:spacing w:after="0"/>
              <w:rPr>
                <w:sz w:val="14"/>
                <w:szCs w:val="14"/>
                <w:color w:val="auto"/>
              </w:rPr>
            </w:pPr>
          </w:p>
        </w:tc>
        <w:tc>
          <w:tcPr>
            <w:tcW w:w="2560" w:type="dxa"/>
            <w:vAlign w:val="bottom"/>
            <w:gridSpan w:val="3"/>
          </w:tcPr>
          <w:p>
            <w:pPr>
              <w:jc w:val="right"/>
              <w:ind w:right="64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6"/>
        </w:trPr>
        <w:tc>
          <w:tcPr>
            <w:tcW w:w="53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56"/>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368,000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368,000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321,000</w:t>
            </w: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84.7</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170.1</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92"/>
        </w:trPr>
        <w:tc>
          <w:tcPr>
            <w:tcW w:w="5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359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359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43.4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88.0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4.46</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4.34</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415</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415</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160" w:lineRule="exact"/>
        <w:rPr>
          <w:sz w:val="20"/>
          <w:szCs w:val="20"/>
          <w:color w:val="auto"/>
        </w:rPr>
      </w:pPr>
    </w:p>
    <w:p>
      <w:pPr>
        <w:ind w:right="80" w:firstLine="5"/>
        <w:spacing w:after="0" w:line="209" w:lineRule="auto"/>
        <w:tabs>
          <w:tab w:leader="none" w:pos="8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the three and six months ended June 30, 2021, Subscribers, Subscriber Revenue and Average Revenue Per Customer exclude customers and revenue related to our acquisitions of TurboSquid, PicMonkey, Pond5 and Splash News. For the three and six months ended June 30, 2022, Subscribers, Subscriber Revenue and Average Revenue Per Download exclude customers and revenue related to PicMonkey, Pond5 and Splash News.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6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For the three and six months ended June 30, 2021, Subscribers excludes customers related to our acquisitions of TurboSquid, PicMonkey, Pond5 and Splash News. For the three and six months ended June 30, 2022, subscribers excludes customers related to PicMonkey, Pond5 and Splash News.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6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For the three and six months ended June 30, 2021, subscriber revenue excludes revenues related to our acquisitions of TurboSquid, PicMonkey, Pond5 and Splash News. For the three and six months ended June 30, 2022, subscriber revenue excludes revenues related to PicMonkey, Pond5 and Splash News. We believe subscriber revenue, together with our number of subscribers, provide insight into the portion of our business and growth driven by our monthly recurring products.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For three and six months ended June 30, 2021, average revenue per customer excludes revenues and customers related to our acquisitions of TurboSquid, PicMonkey, Pond5 and Splash News. For the three and six months ended June 30, 2022, average revenue per customer excludes revenues and customers related to PicMonkey, Pond5 and Splash News. Changes in our average revenue per customer will be driven by changes in the mix of our subscription-based products and the pricing in our transactional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65"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12"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114"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2021 Form 10-K, under “Management’s Discussion and Analysis of Financial Condition and Results of Operations—Critical Accounting Policies and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content offerings through two primary channels:</w:t>
      </w:r>
    </w:p>
    <w:p>
      <w:pPr>
        <w:spacing w:after="0" w:line="107" w:lineRule="exact"/>
        <w:rPr>
          <w:sz w:val="20"/>
          <w:szCs w:val="20"/>
          <w:color w:val="auto"/>
        </w:rPr>
      </w:pPr>
    </w:p>
    <w:p>
      <w:pPr>
        <w:ind w:right="18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E-commerce: </w:t>
      </w:r>
      <w:r>
        <w:rPr>
          <w:rFonts w:ascii="Times New Roman" w:cs="Times New Roman" w:eastAsia="Times New Roman" w:hAnsi="Times New Roman"/>
          <w:sz w:val="16"/>
          <w:szCs w:val="16"/>
          <w:color w:val="auto"/>
        </w:rPr>
        <w:t>The majority of our customers make purchases of content licenses and tools directly through our self-service web properties. E-commerce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have the flexibility 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46"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We also have a base of customers with unique content, licensing and workflow needs. These customers benefit from communication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six months ended June 30, 2022 and 2021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6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0"/>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120,715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254,458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239,115</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79,484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151,546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134,078</w:t>
            </w:r>
          </w:p>
        </w:tc>
      </w:tr>
      <w:tr>
        <w:trPr>
          <w:trHeight w:val="23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373,193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7"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19"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14" w:lineRule="exact"/>
        <w:rPr>
          <w:sz w:val="20"/>
          <w:szCs w:val="20"/>
          <w:color w:val="auto"/>
        </w:rPr>
      </w:pPr>
    </w:p>
    <w:p>
      <w:pPr>
        <w:ind w:right="4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Other income / (expense),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interest income and expense.</w:t>
      </w:r>
    </w:p>
    <w:p>
      <w:pPr>
        <w:spacing w:after="0" w:line="98"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50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373,193</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129,589</w:t>
            </w:r>
          </w:p>
        </w:tc>
      </w:tr>
      <w:tr>
        <w:trPr>
          <w:trHeight w:val="212"/>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87,817</w:t>
            </w:r>
          </w:p>
        </w:tc>
      </w:tr>
      <w:tr>
        <w:trPr>
          <w:trHeight w:val="209"/>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22,724</w:t>
            </w:r>
          </w:p>
        </w:tc>
      </w:tr>
      <w:tr>
        <w:trPr>
          <w:trHeight w:val="212"/>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61,720</w:t>
            </w:r>
          </w:p>
        </w:tc>
      </w:tr>
      <w:tr>
        <w:trPr>
          <w:trHeight w:val="202"/>
        </w:trPr>
        <w:tc>
          <w:tcPr>
            <w:tcW w:w="5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156,687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348,712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301,850</w:t>
            </w:r>
          </w:p>
        </w:tc>
      </w:tr>
      <w:tr>
        <w:trPr>
          <w:trHeight w:val="20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71,343</w:t>
            </w:r>
          </w:p>
        </w:tc>
      </w:tr>
      <w:tr>
        <w:trPr>
          <w:trHeight w:val="20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0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70,204</w:t>
            </w:r>
          </w:p>
        </w:tc>
      </w:tr>
      <w:tr>
        <w:trPr>
          <w:trHeight w:val="20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11,236</w:t>
            </w:r>
          </w:p>
        </w:tc>
      </w:tr>
      <w:tr>
        <w:trPr>
          <w:trHeight w:val="229"/>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92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0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9"/>
        </w:trPr>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2"/>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9"/>
        </w:trPr>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2"/>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2"/>
        </w:trPr>
        <w:tc>
          <w:tcPr>
            <w:tcW w:w="4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06"/>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4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9"/>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4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1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12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w:t>
            </w: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w:t>
            </w:r>
          </w:p>
        </w:tc>
        <w:tc>
          <w:tcPr>
            <w:tcW w:w="12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r>
      <w:tr>
        <w:trPr>
          <w:trHeight w:val="202"/>
        </w:trPr>
        <w:tc>
          <w:tcPr>
            <w:tcW w:w="5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181,498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24,811</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(301)</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(34)</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(36)</w:t>
            </w:r>
          </w:p>
        </w:tc>
      </w:tr>
      <w:tr>
        <w:trPr>
          <w:trHeight w:val="229"/>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(10,009)</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$17.0 million, or 9%, to $206.9 million in the three months ended June 30, 2022 compared to the same period in 2021. On a constant currency basis, revenue increased approximately 13% in the three months ended June 30, 2022, compared to the same period in 2021.</w:t>
      </w:r>
    </w:p>
    <w:p>
      <w:pPr>
        <w:spacing w:after="0" w:line="10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Company’s E-commerce revenues increased by 6%, to $127.4 million in the three months ended June 30, 2022, compared to the same period in 2021. On a constant currency basis, E-commerce revenues increased by 9% in the three months ended June 30, 2022, compared to the same period in 2021. During the three months ended June 30, 2022, growth in our E-commerce sales channel was primarily driven by revenue generated from our acquisitions of PicMonkey and Pond5 which were completed on September 3, 2021 and May 11, 2022, respectively. E-commerce revenue also benefited from higher subscriber revenue, which was offset by a reduction in revenue generated from our transactional products.</w:t>
      </w:r>
    </w:p>
    <w:p>
      <w:pPr>
        <w:spacing w:after="0" w:line="11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Company’s Enterprise revenues increased by 15%, to $79.5 million in the three months ended June 30, 2022, compared to the same period in 2021. On a constant currency basis, the Company’s Enterprise revenues increased by 19% in the three months ended June 30, 2022, compared to the same period in 2021. Enterprise revenue growth was driven by our multi-asset product offerings and continued momentum in Shutterstock Studios and Shutterstock Editorial. Enterprise revenue growth also benefited from our acquisitions of Pond5 and Splash News, which were completed on May 11, 2022 and May 28, 2022, respectively.</w:t>
      </w:r>
    </w:p>
    <w:p>
      <w:pPr>
        <w:spacing w:after="0" w:line="106"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2022 and 2021, we delivered 43.4 million and 44.9 million paid downloads, respectively, and our revenue per download was $4.46 and $4.17 for the three months ended June 30, 2022 and 2021, respectively. During the three months ended June 30, 2022, the increase in revenue per download was primarily due to changes in product mix.</w:t>
      </w:r>
    </w:p>
    <w:p>
      <w:pPr>
        <w:spacing w:after="0" w:line="114" w:lineRule="exact"/>
        <w:rPr>
          <w:sz w:val="20"/>
          <w:szCs w:val="20"/>
          <w:color w:val="auto"/>
        </w:rPr>
      </w:pPr>
    </w:p>
    <w:p>
      <w:pPr>
        <w:ind w:right="4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$16.9 million, or 25%, to $85.9 million, revenue from Europe decreased by $1.8 million, or 3%, to $62.9 million and revenue from outside Europe and North America increased by $1.9 million, or 3%, to $58.0 million, in the three months ended June 30, 2022 compared to the same period in 2021.</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$9.3 million, or 14% to $77.0 million in the three months ended June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 line with changes in revenue and paid downloads.</w:t>
      </w:r>
    </w:p>
    <w:p>
      <w:pPr>
        <w:spacing w:after="0" w:line="75" w:lineRule="exact"/>
        <w:rPr>
          <w:sz w:val="20"/>
          <w:szCs w:val="20"/>
          <w:color w:val="auto"/>
        </w:rPr>
      </w:pPr>
    </w:p>
    <w:p>
      <w:pPr>
        <w:ind w:right="80"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Sales and Marketing. </w:t>
      </w:r>
      <w:r>
        <w:rPr>
          <w:rFonts w:ascii="Times New Roman" w:cs="Times New Roman" w:eastAsia="Times New Roman" w:hAnsi="Times New Roman"/>
          <w:sz w:val="16"/>
          <w:szCs w:val="16"/>
          <w:color w:val="auto"/>
        </w:rPr>
        <w:t>Sales and marketing expenses increased by $8.3 million, or 18%, to $54.2 million in the three months ended June 30,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the same period in 2021. As a percent of revenue, sales and marketing expenses increased to 26% for the three months ended June 30, 2022, from 24% for the same period in 2021. This was primarily driven by (i) $4.4 million in increased marketing spend, primarily related to performance marketing, and</w:t>
      </w:r>
    </w:p>
    <w:p>
      <w:pPr>
        <w:spacing w:after="0" w:line="1" w:lineRule="exact"/>
        <w:rPr>
          <w:sz w:val="20"/>
          <w:szCs w:val="20"/>
          <w:color w:val="auto"/>
        </w:rPr>
      </w:pPr>
    </w:p>
    <w:p>
      <w:pPr>
        <w:ind w:firstLine="5"/>
        <w:spacing w:after="0" w:line="246"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 higher employee-related costs. In addition, the Company has incurred additional marketing expenses associated with second quarter live events and festivals. We expect sales and marketing expenses to continue to fluctuate as we optimize our sales channels and invest in new customer acquisition, products and geographies.</w:t>
      </w:r>
    </w:p>
    <w:p>
      <w:pPr>
        <w:spacing w:after="0" w:line="8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$5.2 million, or 43%, to $17.2 million in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This increase was driven by $3.8 million in higher employee and third-party contractor related costs, net of capitalized labor, for the three months ended June 30, 2022,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$2.0 million, or 7%, to $33.1 million in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same period in 2021. During the three months ended June 30, 2022, general and administrative expenses included (i) $4.1 million in higher professional fees primarily related to our acquisitions of Pond5 and Splash News, (ii) $0.7 million related to realized foreign currency losses and (iii) $0.6 million in higher bad debt expense. This was partially offset by a $4.2 million decrease in non-cash compensation expense primarily related to the departure of certain executives of the Company.</w:t>
      </w:r>
    </w:p>
    <w:p>
      <w:pPr>
        <w:spacing w:after="0" w:line="8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In the three months ended June 30, 2022, other (expense) / income, net substantially consisted of $2.5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unrealized foreign currency fluctuations and $0.2 million of interest expense related to the Credit Facility. During the three months ended June 30, 2021, other (expense) / income, net substantially consisted of $1.3 million of 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5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decreased by $1.8 million for the three months ended June 30, 2022, compared to the same period in 2021.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14.4% and 14.7% for the three months ended June 30, 2022 and 2021, respectively.</w:t>
      </w:r>
    </w:p>
    <w:p>
      <w:pPr>
        <w:spacing w:after="0" w:line="61"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June 30, 2022, the effective tax rate decreased by 4.9% related primarily to windfall tax benefits associated with equity-based compensation. Excluding discrete items, our effective tax rate would have been 19.3% for the three months ended June 30, 2022.</w:t>
      </w:r>
    </w:p>
    <w:p>
      <w:pPr>
        <w:spacing w:after="0" w:line="64"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June 30, 2021, the effective tax rate decreased by 5.3% related primarily to windfall tax benefits associated with equity-based compensation. Excluding these items, our effective tax rate would have been 20.0% for the three months ended June 30, 2021.</w:t>
      </w:r>
    </w:p>
    <w:p>
      <w:pPr>
        <w:spacing w:after="0" w:line="10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373,193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129,589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61,720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348,712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301,850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46,862</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71,343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(14,051)</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70,204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11,236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9"/>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58,968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5" w:lineRule="exact"/>
        <w:rPr>
          <w:sz w:val="20"/>
          <w:szCs w:val="20"/>
          <w:color w:val="auto"/>
        </w:rPr>
      </w:pPr>
    </w:p>
    <w:p>
      <w:pPr>
        <w:ind w:left="400"/>
        <w:spacing w:after="0"/>
        <w:tabs>
          <w:tab w:leader="none" w:pos="6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Not meaningful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$32.8 million, or 9%, to $406.0 million in the six months ended June 30, 2022 compared to the same period in 2021. On a constant currency basis, revenue increased approximately 12% in the six months ended June 30, 2022, compared to the same period in 2021.</w:t>
      </w:r>
    </w:p>
    <w:p>
      <w:pPr>
        <w:spacing w:after="0" w:line="10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Company’s E-commerce revenues increased by 6%, to $254.5 million in the six months ended June 30, 2022, compared to the same period in 2021. On a constant currency basis, the Company’s E-commerce revenues increased by 9% in the six months ended June 30, 2022, compared to the same period in 2021. During the six months ended June 30, 2022, growth in our E-commerce sales channel was primarily driven by revenue generated from our acquisitions of TurboSquid, PicMonkey and Pond5, which were completed on February 1, 2021, September 3, 2021 and May 11, 2022, respectively. E-commerce revenue also benefited from higher subscriber revenue, which was offset by a reduction in revenue generated from our transactional products.</w:t>
      </w:r>
    </w:p>
    <w:p>
      <w:pPr>
        <w:spacing w:after="0" w:line="11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Company’s Enterprise revenues increased by 13%, to $151.5 million in the six months ended June 30, 2022, compared to the same period in 2021. On a constant currency basis, the Company’s Enterprise revenues increased by 16% in the six months ended June 30, 2022, compared to the same period in 2021. Enterprise revenue growth was driven by our multi-asset product offerings and continued momentum in Shutterstock Studios and Shutterstock Editorial. Enterprise revenue growth also benefited from our acquisitions of Pond5 and Splash News, which were completed on May 11, 2022 and May 28, 2022, respectively.</w:t>
      </w:r>
    </w:p>
    <w:p>
      <w:pPr>
        <w:spacing w:after="0" w:line="106"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2022 and 2021, we delivered 88.0 million and 90.7 million paid downloads, respectively, and our revenue per download was $4.34 and $4.07 for the six months ended June 30, 2022 and 2021, respectively. During the six months ended June 30, 2022, the increase in revenue per download was primarily due to changes in product mix.</w:t>
      </w:r>
    </w:p>
    <w:p>
      <w:pPr>
        <w:spacing w:after="0" w:line="75"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$32.6 million, or 24%, to $165.8 million, revenue from Europe decreased by $1.6 million, or 1%, to $125.5 million and revenue from outside Europe and North America increased by $1.8 million, or 2%, to $114.7 million, in the six months ended June 30, 2022 compared to the same period in 2021.</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6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$16.9 million, or 13%, to $146.5 million in the six months ended June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 line with changes in revenue and paid downloads.</w:t>
      </w:r>
    </w:p>
    <w:p>
      <w:pPr>
        <w:spacing w:after="0" w:line="75"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$19.7 million, or 22%, to $107.6 million in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As a percent of revenue, sales and marketing expenses increased to 26% for the six months ended June 30, 2022, from 24% for the same period in 2021. The increase in sales and marketing expenses was primarily driven by (i) $10.8 million in higher marketing spend, primarily related to performance marketing, and (ii) $4.7 million in higher employee-related costs. In addition, the Company has incurred additional marketing expenses associated with second quarter live events and festivals. We expect sales and marketing expenses to continue to fluctuate as we optimize our sales channels and invest in new customer acquisition, products and geographies.</w:t>
      </w:r>
    </w:p>
    <w:p>
      <w:pPr>
        <w:spacing w:after="0" w:line="8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$8.1 million, or 35%, to $30.8 million in the six months ended June 30,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This increase in product development was primarily driven by $6.3 million in higher employee and third-party contractor related costs, net of capitalized labor for the six months ended June 30, 2022.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$2.2 million, or 4%, to $63.9 million in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same period in 2021. This increase was primarily driven by: (i) $4.3 million in higher professional fees primarily related to our acquisitions of Pond5 and Splash News, (ii) $1 million related to a donation to provide direct assistance to Shutterstock’s contributors in Ukraine, (iii) $0.9 million related to realized foreign currency losses, (iv) $0.6 million in higher employee-related costs, and (v) $0.4 million increase in bad debt expense. These increases were partially offset by a $5.6 million decrease in non-cash compensation expense related to the departure of certain executives and expense associated with certain performance based awards.</w:t>
      </w:r>
    </w:p>
    <w:p>
      <w:pPr>
        <w:spacing w:after="0" w:line="8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During the six months ended June 30, 2022, other (expense) / income, net substantially consisted of $1.8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foreign currency fluctuations and $0.2 million of interest expense related to the Credit Facility. During the six months ended June 30, 2021, approximately $1.2 million of other (expense) / income, net consisted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$1.9 million for the six months ended June 30, 2022 as compared to the same period in 2021.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for the six months ended June 30, 2022 and 2021 were 16.9% and 16.0%, respectively.</w:t>
      </w:r>
    </w:p>
    <w:p>
      <w:pPr>
        <w:spacing w:after="0" w:line="61"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2022, the effective tax rate decreased by 2.2% related primarily to windfall tax benefits associated with equity-based compensation. Excluding discrete items, our effective tax rate would have been 19.1% for the six months ended June 30, 2022.</w:t>
      </w:r>
    </w:p>
    <w:p>
      <w:pPr>
        <w:spacing w:after="0" w:line="64"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2021, the effective tax rate decreased by 4.0% related primarily to windfall tax benefits associated with equity-based compensation. Excluding discrete items, our effective tax rate would have been 20.0% for the six months ended June 30, 2021.</w:t>
      </w:r>
    </w:p>
    <w:p>
      <w:pPr>
        <w:spacing w:after="0" w:line="64"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106"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11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See “Risks Related to the Coronavirus (“COVID-19”) Pandemic, The effect of the COVID-19 pandemic on our operations, and the operations of our customers, partners and suppliers, could have a material adverse effect on our business, financial condition, cash flows and results of operations” in Part I, Item 1A, “Risk Factors” in our 2021 Form 10-K for further discussion of the possible impact of the COVID-19 pandemic on our business.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As of June 30, 2022, we had cash and cash equivalents totaling $84.0 million which consisted of bank balances. Since inception, we have financed our operations primarily through cash flows generated from operations. In addition, if necessary, we have the ability to draw on our credit facility, which was obtained on May 6, 2022.</w:t>
      </w:r>
    </w:p>
    <w:p>
      <w:pPr>
        <w:spacing w:after="0" w:line="75"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$0.48 per share of common stock, or $17.4 million during the six months ended June 30, 2022.</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On July 18, 2022, our Board of Directors declared a quarterly cash dividend of $0.24 per share of outstanding common stock payable on September 15,</w:t>
      </w:r>
    </w:p>
    <w:p>
      <w:pPr>
        <w:spacing w:after="0" w:line="44"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2022 to stockholders of record at the close of business on September 1, 2022.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53"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As of June 30, 2022, we have repurchased approximately 3.5 million shares of our common stock under the share repurchase program at an average per-share cost of $52.50. During the six months ended June 30, 2022, we repurchased approximately 708,700 shares of our common stock at an average per share cost of $79.87. As of June 30, 2022, we had $16.2 million of remaining authorization for purchases under the share repurchase program.</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58"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Upon the vesting of restricted stock units (“RSUs”), we have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six months ended June 30, 2022, we paid $21.0 million related to employee taxes on RSU vestings.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0"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On May 9, 2022, we borrowed $50 million for use in connection with the acquisition of Pond5 and for general corporate purposes. As of June 30, 2022, we had outstanding borrowings under the Credit Facility of $50 million. As of December 31, 2021, we had no outstanding debt obligations. For the three and six months ended June 30, 2022, the Company paid cash interest totaling $0.1 million.</w:t>
      </w:r>
    </w:p>
    <w:p>
      <w:pPr>
        <w:spacing w:after="0" w:line="7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June 30, 2022, we are in compliance with these covenants.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and thereafter for the foreseeable future.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14 to our Unaudited Consolidated Financial Statements included in Part I, Item 1 of this Quarterly Report on Form 10-Q for information regarding our existing capital commitments as of June 30,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six months ended June 30, 2022 and 2021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107,216</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(240,323)</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8"/>
              </w:rPr>
              <w:t>(90,963)</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8"/>
              </w:rPr>
              <w:t>(33,745)</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200" w:lineRule="exact"/>
        <w:rPr>
          <w:sz w:val="20"/>
          <w:szCs w:val="20"/>
          <w:color w:val="auto"/>
        </w:rPr>
      </w:pPr>
    </w:p>
    <w:p>
      <w:pPr>
        <w:spacing w:after="0" w:line="30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$59.6 million for the six months ended June 30, 2022, compared to $107.2 million for the six months ended June 30, 2021. In the six months ended June 30, 2022, operating cash flows were unfavorably impacted from a reduction in operating income and changes in the timing of payments pertaining to operating expenses, which can cause operating cash flow to fluctuate from period to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$240.3 million, consisting primarily of (i) $212.1 million used in the acquisitions of Pond5 and Splash News, net of cash acquired, capital expenditures of $20.8 million for internal-use software and website development costs and purchases of software and equipment, and (ii) $7.0 million paid to acquire the rights to distribute certain digital content into perpetuity.</w:t>
      </w:r>
    </w:p>
    <w:p>
      <w:pPr>
        <w:spacing w:after="0" w:line="75"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2021 was $91.0 million, consisting primarily of cash used in the acquisition of TurboSquid of $72.2 million, net of cash acquired, capital expenditures of $15.3 million for internal-use software and website development costs and purchases of software and equipment and $3.4 million paid to acquire the rights to distribute certain digital content in perpetuity.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2022 was $45.4 million, consisting of (i) $56.9 million in connection with the repurchase of common stock under our share repurchase program; (ii) $21.0 million paid in settlement of tax withholding obligations related to employee stock-based compensation awards, and (iii) $17.4 million, related to the payment of the quarterly cash dividend. These amounts were partially offset by $50.0 million proceeds received from our Credit Facility.</w:t>
      </w:r>
    </w:p>
    <w:p>
      <w:pPr>
        <w:spacing w:after="0" w:line="78" w:lineRule="exact"/>
        <w:rPr>
          <w:sz w:val="20"/>
          <w:szCs w:val="20"/>
          <w:color w:val="auto"/>
        </w:rPr>
      </w:pPr>
    </w:p>
    <w:p>
      <w:pPr>
        <w:jc w:val="both"/>
        <w:ind w:right="60" w:firstLine="395"/>
        <w:spacing w:after="0" w:line="303" w:lineRule="auto"/>
        <w:rPr>
          <w:sz w:val="20"/>
          <w:szCs w:val="20"/>
          <w:color w:val="auto"/>
        </w:rPr>
      </w:pPr>
      <w:r>
        <w:rPr>
          <w:rFonts w:ascii="Times New Roman" w:cs="Times New Roman" w:eastAsia="Times New Roman" w:hAnsi="Times New Roman"/>
          <w:sz w:val="16"/>
          <w:szCs w:val="16"/>
          <w:color w:val="auto"/>
        </w:rPr>
        <w:t>Cash used in financing activities in the six months ended June 30, 2021 was $33.7 million, consisting primarily of $20.2 million, paid in settlement of tax withholding obligations related to employee stock-based compensation awards and $15.3 million, related to the payment of the quarterly cash dividend. These amounts were partially offset by approximately $1.8 million received from the issuance of common stock in connection with the exercise of stock options.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lease real estate under operating lease agreements that expire on various dates during the period from 2022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7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which was amended in 2016. The aggregate undiscounted future minimum lease payments under the lease, as amended, are approximately $47.6 million. We are also party to a letter of credit as a security deposit for this leased facility in the amount of $1.7 million.</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Additionally, as of June 30, 2022, aggregate undiscounted future minimum lease payments under other operating leases are approximately $8.3 million.</w:t>
      </w:r>
    </w:p>
    <w:p>
      <w:pPr>
        <w:spacing w:after="0" w:line="132" w:lineRule="exact"/>
        <w:rPr>
          <w:sz w:val="20"/>
          <w:szCs w:val="20"/>
          <w:color w:val="auto"/>
        </w:rPr>
      </w:pPr>
    </w:p>
    <w:p>
      <w:pPr>
        <w:ind w:right="320" w:firstLine="395"/>
        <w:spacing w:after="0" w:line="252" w:lineRule="auto"/>
        <w:rPr>
          <w:sz w:val="20"/>
          <w:szCs w:val="20"/>
          <w:color w:val="auto"/>
        </w:rPr>
      </w:pPr>
      <w:r>
        <w:rPr>
          <w:rFonts w:ascii="Times New Roman" w:cs="Times New Roman" w:eastAsia="Times New Roman" w:hAnsi="Times New Roman"/>
          <w:sz w:val="18"/>
          <w:szCs w:val="18"/>
          <w:color w:val="auto"/>
        </w:rPr>
        <w:t>We enter into unconditional purchase obligations related to contracts for cloud-based services, infrastructure and other business services as well as minimum royalty guarantees in connection with certain content licenses. As of June 30, 2022, our guaranteed royalty payments and unconditional purchase obligations for the remainder of 2022 and for the fiscal years ending December 31, 2023, 2024, 2025 and 2026 were approximately $30.6 million, $37.3 million, $28.5 million, $6.3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shd w:val="clear" w:color="auto" w:fill="CCEEFF"/>
          </w:tcPr>
          <w:p>
            <w:pPr>
              <w:spacing w:after="0"/>
              <w:rPr>
                <w:sz w:val="17"/>
                <w:szCs w:val="17"/>
                <w:color w:val="auto"/>
              </w:rPr>
            </w:pPr>
          </w:p>
        </w:tc>
        <w:tc>
          <w:tcPr>
            <w:tcW w:w="2620" w:type="dxa"/>
            <w:vAlign w:val="bottom"/>
            <w:gridSpan w:val="3"/>
            <w:shd w:val="clear" w:color="auto" w:fill="CCEEFF"/>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4"/>
        </w:trPr>
        <w:tc>
          <w:tcPr>
            <w:tcW w:w="49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48,927</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53,063</w:t>
            </w:r>
          </w:p>
        </w:tc>
        <w:tc>
          <w:tcPr>
            <w:tcW w:w="8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103,736</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109,482</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30,272</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37,935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67,456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74,571</w:t>
            </w: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21,564</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61,692</w:t>
            </w:r>
          </w:p>
        </w:tc>
        <w:tc>
          <w:tcPr>
            <w:tcW w:w="8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31,778</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88,483</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200" w:lineRule="exact"/>
        <w:rPr>
          <w:sz w:val="20"/>
          <w:szCs w:val="20"/>
          <w:color w:val="auto"/>
        </w:rPr>
      </w:pPr>
    </w:p>
    <w:p>
      <w:pPr>
        <w:spacing w:after="0" w:line="268"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8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GAAP financial measures should be considered in addition to other financial performance measures, including various cash flow metrics, net income and our other GAAP results.</w:t>
      </w:r>
    </w:p>
    <w:p>
      <w:pPr>
        <w:spacing w:after="0" w:line="64"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 xml:space="preserve">We define adjusted EBITDA as net income adjusted for depreciation and amortization, non-cash equity-based compensation, foreign currency transaction gains and losses, interest income and expense and income taxes. We define adjusted EBITDA margin as </w:t>
      </w:r>
      <w:r>
        <w:rPr>
          <w:rFonts w:ascii="Times New Roman" w:cs="Times New Roman" w:eastAsia="Times New Roman" w:hAnsi="Times New Roman"/>
          <w:sz w:val="16"/>
          <w:szCs w:val="16"/>
          <w:color w:val="auto"/>
        </w:rPr>
        <w:t>the ratio of adjusted EBITDA to revenue.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62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29,454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58,968</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16,510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10,152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31,575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20,243</w:t>
            </w:r>
          </w:p>
        </w:tc>
        <w:tc>
          <w:tcPr>
            <w:tcW w:w="0" w:type="dxa"/>
            <w:vAlign w:val="bottom"/>
          </w:tcPr>
          <w:p>
            <w:pPr>
              <w:spacing w:after="0"/>
              <w:rPr>
                <w:sz w:val="1"/>
                <w:szCs w:val="1"/>
                <w:color w:val="auto"/>
              </w:rPr>
            </w:pPr>
          </w:p>
        </w:tc>
      </w:tr>
      <w:tr>
        <w:trPr>
          <w:trHeight w:val="209"/>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7,043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9,686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14,869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17,896</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(1,323)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5,094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11,236</w:t>
            </w:r>
          </w:p>
        </w:tc>
        <w:tc>
          <w:tcPr>
            <w:tcW w:w="0" w:type="dxa"/>
            <w:vAlign w:val="bottom"/>
          </w:tcPr>
          <w:p>
            <w:pPr>
              <w:spacing w:after="0"/>
              <w:rPr>
                <w:sz w:val="1"/>
                <w:szCs w:val="1"/>
                <w:color w:val="auto"/>
              </w:rPr>
            </w:pPr>
          </w:p>
        </w:tc>
      </w:tr>
      <w:tr>
        <w:trPr>
          <w:trHeight w:val="23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48,927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53,063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103,736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109,482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23.7 %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27.9 %</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25.6 %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29.3 %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net includes unrealized foreign currency transaction gains and losses, and interest income and expense.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160" w:firstLine="395"/>
        <w:spacing w:after="0" w:line="247"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and the estimated tax impact of such adjustments. We define adjusted net income per diluted common share as </w:t>
      </w:r>
      <w:r>
        <w:rPr>
          <w:rFonts w:ascii="Times New Roman" w:cs="Times New Roman" w:eastAsia="Times New Roman" w:hAnsi="Times New Roman"/>
          <w:sz w:val="16"/>
          <w:szCs w:val="16"/>
          <w:color w:val="auto"/>
        </w:rPr>
        <w:t>adjusted net income divided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weighted average diluted shares.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5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5"/>
        </w:trPr>
        <w:tc>
          <w:tcPr>
            <w:tcW w:w="5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58,968</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17,896</w:t>
            </w:r>
          </w:p>
        </w:tc>
      </w:tr>
      <w:tr>
        <w:trPr>
          <w:trHeight w:val="211"/>
        </w:trPr>
        <w:tc>
          <w:tcPr>
            <w:tcW w:w="52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r>
      <w:tr>
        <w:trPr>
          <w:trHeight w:val="21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r>
      <w:tr>
        <w:trPr>
          <w:trHeight w:val="211"/>
        </w:trPr>
        <w:tc>
          <w:tcPr>
            <w:tcW w:w="522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bl>
    <w:p>
      <w:pPr>
        <w:spacing w:after="0" w:line="175"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640" w:type="dxa"/>
            <w:vAlign w:val="bottom"/>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5"/>
        </w:trPr>
        <w:tc>
          <w:tcPr>
            <w:tcW w:w="4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206,872</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189,912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406,004</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373,193</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r>
      <w:tr>
        <w:trPr>
          <w:trHeight w:val="21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13 %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12 %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r>
      <w:tr>
        <w:trPr>
          <w:trHeight w:val="53"/>
        </w:trPr>
        <w:tc>
          <w:tcPr>
            <w:tcW w:w="4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127,388</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120,715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254,458</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239,115</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6 %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6 %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r>
      <w:tr>
        <w:trPr>
          <w:trHeight w:val="21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r>
      <w:tr>
        <w:trPr>
          <w:trHeight w:val="92"/>
        </w:trPr>
        <w:tc>
          <w:tcPr>
            <w:tcW w:w="4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79,484</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69,197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151,546</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134,078</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36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15 %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13 %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r>
      <w:tr>
        <w:trPr>
          <w:trHeight w:val="21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19 %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16 %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5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5"/>
        </w:trPr>
        <w:tc>
          <w:tcPr>
            <w:tcW w:w="5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36,851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71,388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107,216</w:t>
            </w:r>
          </w:p>
        </w:tc>
      </w:tr>
      <w:tr>
        <w:trPr>
          <w:trHeight w:val="209"/>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(9,022)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(6,789)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(15,337)</w:t>
            </w:r>
          </w:p>
        </w:tc>
      </w:tr>
      <w:tr>
        <w:trPr>
          <w:trHeight w:val="21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8"/>
              </w:rPr>
              <w:t>(6,265)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8"/>
              </w:rPr>
              <w:t>(2,907)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21,564</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61,692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88,483</w:t>
            </w:r>
          </w:p>
        </w:tc>
      </w:tr>
      <w:tr>
        <w:trPr>
          <w:trHeight w:val="20"/>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33% and 36% for the six months ended June 30, 2022 and 2021,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2022,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800" w:type="dxa"/>
            <w:vAlign w:val="bottom"/>
            <w:tcBorders>
              <w:bottom w:val="single" w:sz="8" w:color="auto"/>
            </w:tcBorders>
          </w:tcPr>
          <w:p>
            <w:pPr>
              <w:spacing w:after="0"/>
              <w:rPr>
                <w:sz w:val="14"/>
                <w:szCs w:val="14"/>
                <w:color w:val="auto"/>
              </w:rPr>
            </w:pPr>
          </w:p>
        </w:tc>
      </w:tr>
      <w:tr>
        <w:trPr>
          <w:trHeight w:val="123"/>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2"/>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23"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40,024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36,743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38,753</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77,642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69,758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64,543</w:t>
            </w: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11,521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29,281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136,998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122,161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270,861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189,912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Credit Facility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June 30,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June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380" w:firstLine="395"/>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We completed the acquisitions of Pond5 and Splash News during the second quarter of 2022, and PicMonkey during the third quarter of 2021 and are in the process of integrating the acquired businesses into our overall internal control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24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2021 Form 10-K, which could materially affect our business, financial condition or future results. During the three months ended June 30, 2022, there were no material changes to these risk factors as described in our 2021 Form 10-K except as noted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113"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In addition, on May 6, 2022, we entered into a credit facility (the “Credit Facility”) among the Company, as borrower, certain direct and indirect subsidiaries of the Company as Subsidiary Guarantors, the Lenders party thereto, and Bank of America, N.A., as Administrative Agent for the lenders. The Credit Facility contains customary affirmative and negative covenants, including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Credit Facility. In addition, the Credit Facility also requires us to comply with certain financial ratio covenants, including a consolidated leverage ratio and a consolidated interest coverage ratio, in each case, determined in accordance with the terms of the Credit Facility. Our ability to comply with these ratios may be affected by events beyond our control. The existence of the Credit Facility, and any additional debt financing we secure in the future that may include restrictive covenants relating to our capital raising activities and other financial and operational matters,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200" w:lineRule="exact"/>
        <w:rPr>
          <w:sz w:val="20"/>
          <w:szCs w:val="20"/>
          <w:color w:val="auto"/>
        </w:rPr>
      </w:pPr>
    </w:p>
    <w:p>
      <w:pPr>
        <w:spacing w:after="0" w:line="230"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have incurred debt which could have a negative impact on our financing options and liquidity position, which could in turn adversely affect our business.</w:t>
      </w:r>
    </w:p>
    <w:p>
      <w:pPr>
        <w:spacing w:after="0" w:line="59"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As of June 30, 2022, we had $50 million in aggregate principal amount of total debt. Additionally, our revolving credit facility has remaining borrowing capacity of $48 million, net of standby letters of credit, as of June 30, 2022. Our overall leverage and the terms of our financing arrangements could:</w:t>
      </w:r>
    </w:p>
    <w:p>
      <w:pPr>
        <w:spacing w:after="0" w:line="17" w:lineRule="exact"/>
        <w:rPr>
          <w:sz w:val="20"/>
          <w:szCs w:val="20"/>
          <w:color w:val="auto"/>
        </w:rPr>
      </w:pPr>
    </w:p>
    <w:p>
      <w:pPr>
        <w:ind w:left="640" w:right="38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debt obligations;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200" w:lineRule="exact"/>
        <w:rPr>
          <w:sz w:val="20"/>
          <w:szCs w:val="20"/>
          <w:color w:val="auto"/>
        </w:rPr>
      </w:pPr>
    </w:p>
    <w:p>
      <w:pPr>
        <w:spacing w:after="0" w:line="3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right="240" w:hanging="319"/>
        <w:spacing w:after="0" w:line="268"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and increase our vulnerability to general adverse economic and industry conditions;</w:t>
      </w:r>
    </w:p>
    <w:p>
      <w:pPr>
        <w:spacing w:after="0" w:line="64" w:lineRule="exact"/>
        <w:rPr>
          <w:rFonts w:ascii="Times New Roman" w:cs="Times New Roman" w:eastAsia="Times New Roman" w:hAnsi="Times New Roman"/>
          <w:sz w:val="18"/>
          <w:szCs w:val="18"/>
          <w:color w:val="auto"/>
        </w:rPr>
      </w:pPr>
    </w:p>
    <w:p>
      <w:pPr>
        <w:ind w:left="640" w:right="120" w:hanging="319"/>
        <w:spacing w:after="0" w:line="256"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 and</w:t>
      </w:r>
    </w:p>
    <w:p>
      <w:pPr>
        <w:spacing w:after="0" w:line="7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200" w:lineRule="exact"/>
        <w:rPr>
          <w:sz w:val="20"/>
          <w:szCs w:val="20"/>
          <w:color w:val="auto"/>
        </w:rPr>
      </w:pPr>
    </w:p>
    <w:p>
      <w:pPr>
        <w:spacing w:after="0" w:line="251"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could be affected by financial, business, economic and other factors. In addition, a breach of any of the covenants in our outstanding debt agreements or our inability to comply with the required financial ratios could result in a default under our debt instruments, including the Credit Facility. If an event of default occurs, our creditors could elect to declare all borrowings outstanding, together with accrued and unpaid interest, to be immediately due and payable and/or require us to apply all of our available cash to repay borrowings. If we are not able to pay our debt service obligations we may be required to refinance all or part of our debt, sell assets, borrow more money or raise additional equity capital.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316"/>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4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420" w:type="dxa"/>
            <w:vAlign w:val="bottom"/>
            <w:gridSpan w:val="2"/>
          </w:tcPr>
          <w:p>
            <w:pPr>
              <w:ind w:left="3320"/>
              <w:spacing w:after="0"/>
              <w:rPr>
                <w:sz w:val="20"/>
                <w:szCs w:val="20"/>
                <w:color w:val="auto"/>
              </w:rPr>
            </w:pPr>
            <w:r>
              <w:rPr>
                <w:rFonts w:ascii="Times New Roman" w:cs="Times New Roman" w:eastAsia="Times New Roman" w:hAnsi="Times New Roman"/>
                <w:sz w:val="14"/>
                <w:szCs w:val="14"/>
                <w:b w:val="1"/>
                <w:bCs w:val="1"/>
                <w:color w:val="auto"/>
                <w:w w:val="99"/>
              </w:rPr>
              <w:t>ISSUER PURCHASES OF EQUITY SECURITIES</w:t>
            </w:r>
          </w:p>
        </w:tc>
        <w:tc>
          <w:tcPr>
            <w:tcW w:w="0" w:type="dxa"/>
            <w:vAlign w:val="bottom"/>
          </w:tcPr>
          <w:p>
            <w:pPr>
              <w:spacing w:after="0"/>
              <w:rPr>
                <w:sz w:val="1"/>
                <w:szCs w:val="1"/>
                <w:color w:val="auto"/>
              </w:rPr>
            </w:pPr>
          </w:p>
        </w:tc>
      </w:tr>
      <w:tr>
        <w:trPr>
          <w:trHeight w:val="578"/>
        </w:trPr>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40" w:type="dxa"/>
            <w:vAlign w:val="bottom"/>
          </w:tcPr>
          <w:p>
            <w:pPr>
              <w:jc w:val="center"/>
              <w:ind w:left="2165"/>
              <w:spacing w:after="0"/>
              <w:rPr>
                <w:sz w:val="20"/>
                <w:szCs w:val="20"/>
                <w:color w:val="auto"/>
              </w:rPr>
            </w:pPr>
            <w:r>
              <w:rPr>
                <w:rFonts w:ascii="Times New Roman" w:cs="Times New Roman" w:eastAsia="Times New Roman" w:hAnsi="Times New Roman"/>
                <w:sz w:val="14"/>
                <w:szCs w:val="14"/>
                <w:b w:val="1"/>
                <w:bCs w:val="1"/>
                <w:color w:val="auto"/>
                <w:w w:val="99"/>
              </w:rPr>
              <w:t>(a) Total Number of Shares (or</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 Price Paid Per</w:t>
            </w:r>
          </w:p>
        </w:tc>
        <w:tc>
          <w:tcPr>
            <w:tcW w:w="0" w:type="dxa"/>
            <w:vAlign w:val="bottom"/>
          </w:tcPr>
          <w:p>
            <w:pPr>
              <w:spacing w:after="0"/>
              <w:rPr>
                <w:sz w:val="1"/>
                <w:szCs w:val="1"/>
                <w:color w:val="auto"/>
              </w:rPr>
            </w:pPr>
          </w:p>
        </w:tc>
      </w:tr>
      <w:tr>
        <w:trPr>
          <w:trHeight w:val="185"/>
        </w:trPr>
        <w:tc>
          <w:tcPr>
            <w:tcW w:w="740" w:type="dxa"/>
            <w:vAlign w:val="bottom"/>
            <w:vMerge w:val="continue"/>
          </w:tcPr>
          <w:p>
            <w:pPr>
              <w:spacing w:after="0"/>
              <w:rPr>
                <w:sz w:val="16"/>
                <w:szCs w:val="16"/>
                <w:color w:val="auto"/>
              </w:rPr>
            </w:pPr>
          </w:p>
        </w:tc>
        <w:tc>
          <w:tcPr>
            <w:tcW w:w="4440" w:type="dxa"/>
            <w:vAlign w:val="bottom"/>
          </w:tcPr>
          <w:p>
            <w:pPr>
              <w:jc w:val="center"/>
              <w:ind w:left="2165"/>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7" w:hanging="87"/>
        <w:spacing w:after="0" w:line="236" w:lineRule="auto"/>
        <w:tabs>
          <w:tab w:leader="none" w:pos="181"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Total Number of Shares (or Units) Purchased as Part of</w:t>
      </w:r>
    </w:p>
    <w:p>
      <w:pPr>
        <w:jc w:val="center"/>
        <w:ind w:left="-6" w:right="40"/>
        <w:spacing w:after="0" w:line="218" w:lineRule="auto"/>
        <w:rPr>
          <w:sz w:val="20"/>
          <w:szCs w:val="20"/>
          <w:color w:val="auto"/>
        </w:rPr>
      </w:pPr>
      <w:r>
        <w:rPr>
          <w:rFonts w:ascii="Times New Roman" w:cs="Times New Roman" w:eastAsia="Times New Roman" w:hAnsi="Times New Roman"/>
          <w:sz w:val="14"/>
          <w:szCs w:val="14"/>
          <w:b w:val="1"/>
          <w:bCs w:val="1"/>
          <w:color w:val="auto"/>
        </w:rPr>
        <w:t>Publicly Announced Plans or Programs</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right="80" w:firstLine="94"/>
        <w:spacing w:after="0" w:line="236" w:lineRule="auto"/>
        <w:tabs>
          <w:tab w:leader="none" w:pos="368"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Maximum Number (or Approximate Dollar Value) of</w:t>
      </w:r>
    </w:p>
    <w:p>
      <w:pPr>
        <w:jc w:val="center"/>
        <w:ind w:right="40"/>
        <w:spacing w:after="0" w:line="211" w:lineRule="auto"/>
        <w:rPr>
          <w:sz w:val="20"/>
          <w:szCs w:val="20"/>
          <w:color w:val="auto"/>
        </w:rPr>
      </w:pPr>
      <w:r>
        <w:rPr>
          <w:rFonts w:ascii="Times New Roman" w:cs="Times New Roman" w:eastAsia="Times New Roman" w:hAnsi="Times New Roman"/>
          <w:sz w:val="14"/>
          <w:szCs w:val="14"/>
          <w:b w:val="1"/>
          <w:bCs w:val="1"/>
          <w:color w:val="auto"/>
        </w:rPr>
        <w:t>Shares (or Units) That May Yet Be Purchased Under the Plans or Programs</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3">
            <w:col w:w="7160" w:space="113"/>
            <w:col w:w="1827" w:space="200"/>
            <w:col w:w="19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1 - 30, 2022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83.04</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1 - 31, 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61.09</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1 - 30,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129,562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6"/>
        </w:trPr>
        <w:tc>
          <w:tcPr>
            <w:tcW w:w="312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286,712</w:t>
            </w:r>
          </w:p>
        </w:tc>
        <w:tc>
          <w:tcPr>
            <w:tcW w:w="920" w:type="dxa"/>
            <w:vAlign w:val="bottom"/>
            <w:gridSpan w:val="2"/>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63.95</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286,712</w:t>
            </w: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16,227,150</w:t>
            </w:r>
          </w:p>
        </w:tc>
      </w:tr>
      <w:tr>
        <w:trPr>
          <w:trHeight w:val="20"/>
        </w:trPr>
        <w:tc>
          <w:tcPr>
            <w:tcW w:w="3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right="80" w:hanging="315"/>
        <w:spacing w:after="0" w:line="261"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shares of our common stock in open market purchases pursuant to share repurchases authorized by our Board of Directors. In October 2015, our Board of Directors authorized the repurchase of up to $100 million of our common stock, and in February 2017, our Board of Directors approved an increase to the share repurchase program, authorizing us to repurchase an additional $100 million of our outstanding common stock. As of June 30, 2022, $16.2 million remained available for purchase under this authorization.</w:t>
      </w: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6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60" w:type="dxa"/>
            <w:vAlign w:val="bottom"/>
            <w:gridSpan w:val="7"/>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33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7"/>
              </w:rPr>
            </w:pPr>
            <w:hyperlink r:id="rId63">
              <w:r>
                <w:rPr>
                  <w:rFonts w:ascii="Times New Roman" w:cs="Times New Roman" w:eastAsia="Times New Roman" w:hAnsi="Times New Roman"/>
                  <w:sz w:val="16"/>
                  <w:szCs w:val="16"/>
                  <w:color w:val="0000FF"/>
                  <w:w w:val="97"/>
                </w:rPr>
                <w:t>Agreement and Plan of Merger, dated May 10, 2022</w:t>
              </w:r>
            </w:hyperlink>
          </w:p>
        </w:tc>
        <w:tc>
          <w:tcPr>
            <w:tcW w:w="6660" w:type="dxa"/>
            <w:vAlign w:val="bottom"/>
            <w:gridSpan w:val="7"/>
          </w:tcPr>
          <w:p>
            <w:pPr>
              <w:spacing w:after="0"/>
              <w:rPr>
                <w:sz w:val="16"/>
                <w:szCs w:val="16"/>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960" w:type="dxa"/>
            <w:vAlign w:val="bottom"/>
            <w:gridSpan w:val="10"/>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Credit Agreement, dated as of May 6, 2022, by and among Shutterstock, Inc., as borrower, certain subsidiary guarantors, certain financial institutions, as</w:t>
              </w:r>
            </w:hyperlink>
          </w:p>
        </w:tc>
      </w:tr>
      <w:tr>
        <w:trPr>
          <w:trHeight w:val="138"/>
        </w:trPr>
        <w:tc>
          <w:tcPr>
            <w:tcW w:w="960" w:type="dxa"/>
            <w:vAlign w:val="bottom"/>
          </w:tcPr>
          <w:p>
            <w:pPr>
              <w:spacing w:after="0"/>
              <w:rPr>
                <w:sz w:val="11"/>
                <w:szCs w:val="11"/>
                <w:color w:val="auto"/>
              </w:rPr>
            </w:pPr>
          </w:p>
        </w:tc>
        <w:tc>
          <w:tcPr>
            <w:tcW w:w="9640" w:type="dxa"/>
            <w:vAlign w:val="bottom"/>
            <w:tcBorders>
              <w:top w:val="single" w:sz="8" w:color="0000FF"/>
            </w:tcBorders>
            <w:gridSpan w:val="6"/>
          </w:tcPr>
          <w:p>
            <w:pPr>
              <w:spacing w:after="0" w:line="138" w:lineRule="exact"/>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lenders, and Bank of America, N.A., as administrative agent for such lenders</w:t>
              </w:r>
            </w:hyperlink>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58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8"/>
              </w:rPr>
            </w:pPr>
            <w:hyperlink r:id="rId65">
              <w:r>
                <w:rPr>
                  <w:rFonts w:ascii="Times New Roman" w:cs="Times New Roman" w:eastAsia="Times New Roman" w:hAnsi="Times New Roman"/>
                  <w:sz w:val="16"/>
                  <w:szCs w:val="16"/>
                  <w:color w:val="0000FF"/>
                  <w:w w:val="98"/>
                </w:rPr>
                <w:t>Employment Agreement between Paul J. Hennessy and Shutterstock, Inc. dated May 8, 2022</w:t>
              </w:r>
            </w:hyperlink>
          </w:p>
        </w:tc>
        <w:tc>
          <w:tcPr>
            <w:tcW w:w="4080" w:type="dxa"/>
            <w:vAlign w:val="bottom"/>
            <w:gridSpan w:val="5"/>
          </w:tcPr>
          <w:p>
            <w:pPr>
              <w:spacing w:after="0"/>
              <w:rPr>
                <w:sz w:val="16"/>
                <w:szCs w:val="16"/>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6"/>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9"/>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8"/>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9960" w:type="dxa"/>
            <w:vAlign w:val="bottom"/>
            <w:gridSpan w:val="10"/>
          </w:tcPr>
          <w:p>
            <w:pPr>
              <w:spacing w:after="0" w:line="178"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1" w:right="59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380" w:type="dxa"/>
            <w:vAlign w:val="bottom"/>
          </w:tcPr>
          <w:p>
            <w:pPr>
              <w:spacing w:after="0"/>
              <w:rPr>
                <w:sz w:val="18"/>
                <w:szCs w:val="18"/>
                <w:color w:val="auto"/>
              </w:rPr>
            </w:pPr>
          </w:p>
        </w:tc>
        <w:tc>
          <w:tcPr>
            <w:tcW w:w="782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Dated: July 26, 2022</w:t>
            </w:r>
          </w:p>
        </w:tc>
        <w:tc>
          <w:tcPr>
            <w:tcW w:w="270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3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Dated: July 26, 2022</w:t>
            </w:r>
          </w:p>
        </w:tc>
        <w:tc>
          <w:tcPr>
            <w:tcW w:w="270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3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21"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July 26, 2022</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July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June 30, 2022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July 26, 2022</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June 30, 2022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July 26,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1)"/>
      <w:numFmt w:val="lowerRoman"/>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lowerLetter"/>
      <w:start w:val="4"/>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04"/>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3" Type="http://schemas.openxmlformats.org/officeDocument/2006/relationships/hyperlink" Target="http://www.sec.gov/Archives/edgar/data/1549346/000114036122018607/brhc10037452_ex2-1.htm" TargetMode="External"/><Relationship Id="rId64" Type="http://schemas.openxmlformats.org/officeDocument/2006/relationships/hyperlink" Target="http://www.sec.gov/Archives/edgar/data/1549346/000114036122018607/brhc10037452_ex10-1.htm" TargetMode="External"/><Relationship Id="rId65" Type="http://schemas.openxmlformats.org/officeDocument/2006/relationships/hyperlink" Target="http://www.sec.gov/Archives/edgar/data/1549346/000114036122018607/brhc1003745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2022-07-26T06:08:55Z</dcterms:created>
  <dcterms:modified xsi:type="dcterms:W3CDTF">2022-07-26T06:08:55Z</dcterms:modified>
</cp:coreProperties>
</file>