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ind w:left="0" w:right="0" w:firstLine="45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60"/>
        <w:ind w:left="0" w:right="0" w:firstLine="450"/>
        <w:jc w:val="center"/>
        <w:rPr/>
      </w:pPr>
      <w:r>
        <w:rPr>
          <w:color w:val="000000"/>
        </w:rPr>
        <w:t>☒   </w:t>
      </w:r>
      <w:r>
        <w:rPr>
          <w:rFonts w:ascii="Times New Roman;serif" w:hAnsi="Times New Roman;serif"/>
          <w:b/>
          <w:color w:val="000000"/>
          <w:sz w:val="18"/>
        </w:rPr>
        <w:t>QUARTERLY REPORT PURSUANT TO SECTION 13 OR 15(d) OF THE SECURITIES EXCHANGE ACT OF 1934 </w:t>
      </w:r>
    </w:p>
    <w:p>
      <w:pPr>
        <w:pStyle w:val="TextBody"/>
        <w:bidi w:val="0"/>
        <w:spacing w:lineRule="auto" w:line="288" w:before="0" w:after="60"/>
        <w:ind w:left="0" w:right="0" w:firstLine="45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ind w:left="0" w:right="0" w:firstLine="45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60"/>
        <w:ind w:left="0" w:right="0" w:firstLine="45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ind w:left="0" w:right="0" w:firstLine="45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6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001-35669 </w:t>
      </w:r>
    </w:p>
    <w:p>
      <w:pPr>
        <w:pStyle w:val="TextBody"/>
        <w:bidi w:val="0"/>
        <w:spacing w:lineRule="auto" w:line="288" w:before="0" w:after="80"/>
        <w:ind w:left="0" w:right="0" w:firstLine="450"/>
        <w:jc w:val="center"/>
        <w:rPr>
          <w:color w:val="000000"/>
        </w:rPr>
      </w:pPr>
      <w:r>
        <w:rPr>
          <w:color w:val="000000"/>
        </w:rPr>
        <w:t> </w:t>
      </w:r>
      <w:r>
        <w:rPr>
          <w:rFonts w:ascii="Times New Roman;serif" w:hAnsi="Times New Roman;serif"/>
          <w:b w:val="false"/>
          <w:color w:val="000000"/>
          <w:sz w:val="16"/>
        </w:rPr>
        <w:t>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SHUTTERSTOCK,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40"/>
        <w:ind w:left="0" w:right="0" w:firstLine="450"/>
        <w:jc w:val="center"/>
        <w:rPr>
          <w:color w:val="000000"/>
        </w:rPr>
      </w:pPr>
      <w:r>
        <w:rPr>
          <w:color w:val="000000"/>
        </w:rPr>
        <w:t> </w:t>
      </w:r>
      <w:r>
        <w:rPr>
          <w:rFonts w:ascii="Times New Roman;serif" w:hAnsi="Times New Roman;serif"/>
          <w:b w:val="false"/>
          <w:color w:val="000000"/>
          <w:sz w:val="20"/>
        </w:rPr>
        <w:t>________________________________________________________</w:t>
      </w:r>
    </w:p>
    <w:tbl>
      <w:tblPr>
        <w:tblW w:w="8394" w:type="dxa"/>
        <w:jc w:val="center"/>
        <w:tblInd w:w="0" w:type="dxa"/>
        <w:tblLayout w:type="fixed"/>
        <w:tblCellMar>
          <w:top w:w="28" w:type="dxa"/>
          <w:left w:w="28" w:type="dxa"/>
          <w:bottom w:w="28" w:type="dxa"/>
          <w:right w:w="28" w:type="dxa"/>
        </w:tblCellMar>
      </w:tblPr>
      <w:tblGrid>
        <w:gridCol w:w="1716"/>
        <w:gridCol w:w="1507"/>
        <w:gridCol w:w="1516"/>
        <w:gridCol w:w="178"/>
        <w:gridCol w:w="178"/>
        <w:gridCol w:w="180"/>
        <w:gridCol w:w="421"/>
        <w:gridCol w:w="421"/>
        <w:gridCol w:w="2277"/>
      </w:tblGrid>
      <w:tr>
        <w:trPr/>
        <w:tc>
          <w:tcPr>
            <w:tcW w:w="17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8"/>
              </w:rPr>
            </w:pPr>
            <w:r>
              <w:rPr>
                <w:rFonts w:ascii="Times New Roman;serif" w:hAnsi="Times New Roman;serif"/>
                <w:b/>
                <w:color w:val="000000"/>
                <w:sz w:val="18"/>
              </w:rPr>
              <w:t>Delaware</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8"/>
              </w:rPr>
            </w:pPr>
            <w:r>
              <w:rPr>
                <w:rFonts w:ascii="Times New Roman;serif" w:hAnsi="Times New Roman;serif"/>
                <w:b/>
                <w:color w:val="000000"/>
                <w:sz w:val="18"/>
              </w:rPr>
              <w:t>80-0812659</w:t>
            </w:r>
          </w:p>
        </w:tc>
      </w:tr>
      <w:tr>
        <w:trPr/>
        <w:tc>
          <w:tcPr>
            <w:tcW w:w="4739"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ind w:left="0" w:right="0" w:firstLine="450"/>
        <w:jc w:val="center"/>
        <w:rPr>
          <w:rFonts w:ascii="Times New Roman;serif" w:hAnsi="Times New Roman;serif"/>
          <w:b/>
          <w:color w:val="000000"/>
          <w:sz w:val="18"/>
        </w:rPr>
      </w:pPr>
      <w:r>
        <w:rPr>
          <w:rFonts w:ascii="Times New Roman;serif" w:hAnsi="Times New Roman;serif"/>
          <w:b/>
          <w:color w:val="000000"/>
          <w:sz w:val="18"/>
        </w:rPr>
        <w:t>350 Fifth Avenue, 20th Floor</w:t>
      </w:r>
    </w:p>
    <w:p>
      <w:pPr>
        <w:pStyle w:val="TextBody"/>
        <w:bidi w:val="0"/>
        <w:spacing w:lineRule="auto" w:line="288" w:before="0" w:after="0"/>
        <w:ind w:left="0" w:right="0" w:firstLine="450"/>
        <w:jc w:val="center"/>
        <w:rPr>
          <w:rFonts w:ascii="Times New Roman;serif" w:hAnsi="Times New Roman;serif"/>
          <w:b/>
          <w:color w:val="000000"/>
          <w:sz w:val="18"/>
        </w:rPr>
      </w:pPr>
      <w:r>
        <w:rPr>
          <w:rFonts w:ascii="Times New Roman;serif" w:hAnsi="Times New Roman;serif"/>
          <w:b/>
          <w:color w:val="000000"/>
          <w:sz w:val="18"/>
        </w:rPr>
        <w:t>New York, NY 10118</w:t>
      </w:r>
    </w:p>
    <w:p>
      <w:pPr>
        <w:pStyle w:val="TextBody"/>
        <w:bidi w:val="0"/>
        <w:spacing w:lineRule="auto" w:line="288" w:before="0" w:after="60"/>
        <w:ind w:left="0" w:right="0" w:firstLine="45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ind w:left="0" w:right="0" w:firstLine="450"/>
        <w:jc w:val="center"/>
        <w:rPr>
          <w:rFonts w:ascii="Times New Roman;serif" w:hAnsi="Times New Roman;serif"/>
          <w:b w:val="false"/>
          <w:color w:val="000000"/>
          <w:sz w:val="18"/>
        </w:rPr>
      </w:pPr>
      <w:r>
        <w:rPr>
          <w:rFonts w:ascii="Times New Roman;serif" w:hAnsi="Times New Roman;serif"/>
          <w:b w:val="false"/>
          <w:color w:val="000000"/>
          <w:sz w:val="18"/>
        </w:rPr>
        <w:t>(646) 710-3417</w:t>
      </w:r>
    </w:p>
    <w:p>
      <w:pPr>
        <w:pStyle w:val="TextBody"/>
        <w:bidi w:val="0"/>
        <w:spacing w:lineRule="auto" w:line="288" w:before="0" w:after="60"/>
        <w:ind w:left="0" w:right="0" w:firstLine="45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ind w:left="0" w:right="0" w:firstLine="450"/>
        <w:jc w:val="center"/>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lineRule="auto" w:line="288" w:before="0" w:after="0"/>
        <w:ind w:left="0" w:right="0" w:firstLine="45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ind w:left="0" w:right="0" w:firstLine="45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w:t>
      </w:r>
    </w:p>
    <w:p>
      <w:pPr>
        <w:pStyle w:val="TextBody"/>
        <w:bidi w:val="0"/>
        <w:spacing w:before="0" w:after="0"/>
        <w:ind w:left="0" w:right="0" w:firstLine="450"/>
        <w:jc w:val="center"/>
        <w:rPr/>
      </w:pPr>
      <w:r>
        <w:rPr/>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299" w:type="dxa"/>
        <w:jc w:val="center"/>
        <w:tblInd w:w="0" w:type="dxa"/>
        <w:tblLayout w:type="fixed"/>
        <w:tblCellMar>
          <w:top w:w="28" w:type="dxa"/>
          <w:left w:w="28" w:type="dxa"/>
          <w:bottom w:w="28" w:type="dxa"/>
          <w:right w:w="28" w:type="dxa"/>
        </w:tblCellMar>
      </w:tblPr>
      <w:tblGrid>
        <w:gridCol w:w="1312"/>
        <w:gridCol w:w="1157"/>
        <w:gridCol w:w="1161"/>
        <w:gridCol w:w="634"/>
        <w:gridCol w:w="634"/>
        <w:gridCol w:w="636"/>
        <w:gridCol w:w="513"/>
        <w:gridCol w:w="513"/>
        <w:gridCol w:w="2739"/>
      </w:tblGrid>
      <w:tr>
        <w:trPr/>
        <w:tc>
          <w:tcPr>
            <w:tcW w:w="13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45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Common Stock, $0.01 par value per share</w:t>
            </w:r>
          </w:p>
        </w:tc>
        <w:tc>
          <w:tcPr>
            <w:tcW w:w="1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firstLine="450"/>
              <w:jc w:val="center"/>
              <w:rPr>
                <w:rFonts w:ascii="Times New Roman;serif" w:hAnsi="Times New Roman;serif"/>
                <w:b/>
                <w:color w:val="000000"/>
                <w:sz w:val="16"/>
              </w:rPr>
            </w:pPr>
            <w:r>
              <w:rPr>
                <w:rFonts w:ascii="Times New Roman;serif" w:hAnsi="Times New Roman;serif"/>
                <w:b/>
                <w:color w:val="000000"/>
                <w:sz w:val="16"/>
              </w:rPr>
              <w:t>SSTK</w:t>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0" w:after="60"/>
        <w:ind w:left="0" w:right="0" w:firstLine="450"/>
        <w:jc w:val="left"/>
        <w:rPr/>
      </w:pPr>
      <w:r>
        <w:rPr>
          <w:rFonts w:ascii="Times New Roman;serif" w:hAnsi="Times New Roman;serif"/>
          <w:b w:val="false"/>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7"/>
        </w:rPr>
        <w:t>Yes   </w:t>
      </w:r>
      <w:r>
        <w:rPr>
          <w:color w:val="000000"/>
        </w:rPr>
        <w:t>☐ </w:t>
      </w:r>
      <w:r>
        <w:rPr>
          <w:rFonts w:ascii="Times New Roman;serif" w:hAnsi="Times New Roman;serif"/>
          <w:b w:val="false"/>
          <w:color w:val="000000"/>
          <w:sz w:val="17"/>
        </w:rPr>
        <w:t>No</w:t>
      </w:r>
    </w:p>
    <w:p>
      <w:pPr>
        <w:pStyle w:val="TextBody"/>
        <w:bidi w:val="0"/>
        <w:spacing w:lineRule="auto" w:line="288" w:before="0" w:after="60"/>
        <w:jc w:val="left"/>
        <w:rPr/>
      </w:pPr>
      <w:r>
        <w:rPr>
          <w:rFonts w:ascii="Times New Roman;serif" w:hAnsi="Times New Roman;serif"/>
          <w:b w:val="false"/>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7"/>
        </w:rPr>
        <w:t>Yes   </w:t>
      </w:r>
      <w:r>
        <w:rPr>
          <w:color w:val="000000"/>
        </w:rPr>
        <w:t>☐ </w:t>
      </w:r>
      <w:r>
        <w:rPr>
          <w:rFonts w:ascii="Times New Roman;serif" w:hAnsi="Times New Roman;serif"/>
          <w:b w:val="false"/>
          <w:color w:val="000000"/>
          <w:sz w:val="17"/>
        </w:rPr>
        <w:t>No</w:t>
      </w:r>
    </w:p>
    <w:p>
      <w:pPr>
        <w:pStyle w:val="TextBody"/>
        <w:bidi w:val="0"/>
        <w:spacing w:lineRule="auto" w:line="288" w:before="0" w:after="6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940"/>
        <w:gridCol w:w="709"/>
        <w:gridCol w:w="658"/>
        <w:gridCol w:w="397"/>
        <w:gridCol w:w="397"/>
        <w:gridCol w:w="398"/>
        <w:gridCol w:w="277"/>
        <w:gridCol w:w="277"/>
        <w:gridCol w:w="280"/>
        <w:gridCol w:w="1303"/>
        <w:gridCol w:w="1303"/>
        <w:gridCol w:w="1310"/>
        <w:gridCol w:w="169"/>
        <w:gridCol w:w="169"/>
        <w:gridCol w:w="169"/>
        <w:gridCol w:w="213"/>
        <w:gridCol w:w="169"/>
        <w:gridCol w:w="169"/>
        <w:gridCol w:w="169"/>
        <w:gridCol w:w="169"/>
        <w:gridCol w:w="169"/>
        <w:gridCol w:w="110"/>
        <w:gridCol w:w="110"/>
        <w:gridCol w:w="171"/>
      </w:tblGrid>
      <w:tr>
        <w:trPr/>
        <w:tc>
          <w:tcPr>
            <w:tcW w:w="94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450"/>
              <w:jc w:val="left"/>
              <w:rPr>
                <w:color w:val="000000"/>
              </w:rPr>
            </w:pPr>
            <w:r>
              <w:rPr>
                <w:color w:val="000000"/>
              </w:rPr>
              <w:t>☒</w:t>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right"/>
              <w:rPr>
                <w:rFonts w:ascii="Times New Roman;serif" w:hAnsi="Times New Roman;serif"/>
                <w:b w:val="false"/>
                <w:color w:val="000000"/>
                <w:sz w:val="17"/>
              </w:rPr>
            </w:pPr>
            <w:r>
              <w:rPr>
                <w:rFonts w:ascii="Times New Roman;serif" w:hAnsi="Times New Roman;serif"/>
                <w:b w:val="false"/>
                <w:color w:val="000000"/>
                <w:sz w:val="17"/>
              </w:rPr>
              <w:t>Accelerated filer </w:t>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right"/>
              <w:rPr>
                <w:rFonts w:ascii="Times New Roman;serif" w:hAnsi="Times New Roman;serif"/>
                <w:b w:val="false"/>
                <w:color w:val="000000"/>
                <w:sz w:val="17"/>
              </w:rPr>
            </w:pPr>
            <w:r>
              <w:rPr>
                <w:rFonts w:ascii="Times New Roman;serif" w:hAnsi="Times New Roman;serif"/>
                <w:b w:val="false"/>
                <w:color w:val="000000"/>
                <w:sz w:val="17"/>
              </w:rPr>
              <w:t>Smaller reporting company </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right"/>
              <w:rPr>
                <w:rFonts w:ascii="Times New Roman;serif" w:hAnsi="Times New Roman;serif"/>
                <w:b w:val="false"/>
                <w:color w:val="000000"/>
                <w:sz w:val="17"/>
              </w:rPr>
            </w:pPr>
            <w:r>
              <w:rPr>
                <w:rFonts w:ascii="Times New Roman;serif" w:hAnsi="Times New Roman;serif"/>
                <w:b w:val="false"/>
                <w:color w:val="000000"/>
                <w:sz w:val="17"/>
              </w:rPr>
              <w:t>Emerging growth company </w:t>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Yes </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r>
      <w:tr>
        <w:trPr/>
        <w:tc>
          <w:tcPr>
            <w:tcW w:w="9814"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rFonts w:ascii="Times New Roman;serif" w:hAnsi="Times New Roman;serif"/>
          <w:b w:val="false"/>
          <w:color w:val="000000"/>
          <w:sz w:val="17"/>
        </w:rPr>
      </w:pPr>
      <w:r>
        <w:rPr>
          <w:rFonts w:ascii="Times New Roman;serif" w:hAnsi="Times New Roman;serif"/>
          <w:b w:val="false"/>
          <w:color w:val="000000"/>
          <w:sz w:val="17"/>
        </w:rPr>
        <w:t xml:space="preserve">As of July 31, 2026, 36,947,684 shares of the registrant’s common stock, $0.01 par value per share, were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pPr>
      <w:r>
        <w:rPr>
          <w:rFonts w:ascii="Times New Roman;serif" w:hAnsi="Times New Roman;serif"/>
          <w:b/>
          <w:color w:val="000000"/>
          <w:sz w:val="20"/>
        </w:rPr>
        <w:t>Table of Contents</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0"/>
        <w:jc w:val="center"/>
        <w:rPr/>
      </w:pPr>
      <w:r>
        <w:rPr/>
      </w:r>
    </w:p>
    <w:tbl>
      <w:tblPr>
        <w:tblW w:w="8972" w:type="dxa"/>
        <w:jc w:val="center"/>
        <w:tblInd w:w="0" w:type="dxa"/>
        <w:tblLayout w:type="fixed"/>
        <w:tblCellMar>
          <w:top w:w="28" w:type="dxa"/>
          <w:left w:w="28" w:type="dxa"/>
          <w:bottom w:w="28" w:type="dxa"/>
          <w:right w:w="28" w:type="dxa"/>
        </w:tblCellMar>
      </w:tblPr>
      <w:tblGrid>
        <w:gridCol w:w="604"/>
        <w:gridCol w:w="531"/>
        <w:gridCol w:w="531"/>
        <w:gridCol w:w="2152"/>
        <w:gridCol w:w="2152"/>
        <w:gridCol w:w="2191"/>
        <w:gridCol w:w="237"/>
        <w:gridCol w:w="237"/>
        <w:gridCol w:w="337"/>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1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 No.</w:t>
            </w:r>
          </w:p>
        </w:tc>
      </w:tr>
      <w:tr>
        <w:trPr/>
        <w:tc>
          <w:tcPr>
            <w:tcW w:w="81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3">
              <w:r>
                <w:rPr>
                  <w:rStyle w:val="InternetLink"/>
                  <w:rFonts w:ascii="Times New Roman;serif" w:hAnsi="Times New Roman;serif"/>
                  <w:b/>
                  <w:color w:val="0000FF"/>
                  <w:sz w:val="18"/>
                  <w:u w:val="single"/>
                </w:rPr>
                <w:t>PART I. FINANCIAL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
              <w:r>
                <w:rPr>
                  <w:rStyle w:val="InternetLink"/>
                  <w:rFonts w:ascii="Times New Roman;serif" w:hAnsi="Times New Roman;serif"/>
                  <w:b w:val="false"/>
                  <w:color w:val="0000FF"/>
                  <w:sz w:val="18"/>
                  <w:u w:val="single"/>
                </w:rPr>
                <w:t>Financial Statements (Unaudited)</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6">
              <w:r>
                <w:rPr>
                  <w:rStyle w:val="InternetLink"/>
                  <w:rFonts w:ascii="Times New Roman;serif" w:hAnsi="Times New Roman;serif"/>
                  <w:b w:val="false"/>
                  <w:strike w:val="false"/>
                  <w:dstrike w:val="false"/>
                  <w:color w:val="0000FF"/>
                  <w:sz w:val="18"/>
                  <w:u w:val="none"/>
                  <w:effect w:val="none"/>
                </w:rPr>
                <w:t>4</w:t>
              </w:r>
            </w:hyperlink>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9">
              <w:r>
                <w:rPr>
                  <w:rStyle w:val="InternetLink"/>
                  <w:rFonts w:ascii="Times New Roman;serif" w:hAnsi="Times New Roman;serif"/>
                  <w:b w:val="false"/>
                  <w:color w:val="0000FF"/>
                  <w:sz w:val="18"/>
                  <w:u w:val="single"/>
                </w:rPr>
                <w:t>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9">
              <w:r>
                <w:rPr>
                  <w:rStyle w:val="InternetLink"/>
                  <w:rFonts w:ascii="Times New Roman;serif" w:hAnsi="Times New Roman;serif"/>
                  <w:b w:val="false"/>
                  <w:strike w:val="false"/>
                  <w:dstrike w:val="false"/>
                  <w:color w:val="0000FF"/>
                  <w:sz w:val="18"/>
                  <w:u w:val="none"/>
                  <w:effect w:val="none"/>
                </w:rPr>
                <w:t>4</w:t>
              </w:r>
            </w:hyperlink>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22">
              <w:r>
                <w:rPr>
                  <w:rStyle w:val="InternetLink"/>
                  <w:rFonts w:ascii="Times New Roman;serif" w:hAnsi="Times New Roman;serif"/>
                  <w:b w:val="false"/>
                  <w:color w:val="0000FF"/>
                  <w:sz w:val="18"/>
                  <w:u w:val="single"/>
                </w:rPr>
                <w:t>Consolidated Statements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22">
              <w:r>
                <w:rPr>
                  <w:rStyle w:val="InternetLink"/>
                  <w:rFonts w:ascii="Times New Roman;serif" w:hAnsi="Times New Roman;serif"/>
                  <w:b w:val="false"/>
                  <w:strike w:val="false"/>
                  <w:dstrike w:val="false"/>
                  <w:color w:val="0000FF"/>
                  <w:sz w:val="18"/>
                  <w:u w:val="none"/>
                  <w:effect w:val="none"/>
                </w:rPr>
                <w:t>5</w:t>
              </w:r>
            </w:hyperlink>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25">
              <w:r>
                <w:rPr>
                  <w:rStyle w:val="InternetLink"/>
                  <w:rFonts w:ascii="Times New Roman;serif" w:hAnsi="Times New Roman;serif"/>
                  <w:b w:val="false"/>
                  <w:color w:val="0000FF"/>
                  <w:sz w:val="18"/>
                  <w:u w:val="single"/>
                </w:rPr>
                <w:t>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25">
              <w:r>
                <w:rPr>
                  <w:rStyle w:val="InternetLink"/>
                  <w:rFonts w:ascii="Times New Roman;serif" w:hAnsi="Times New Roman;serif"/>
                  <w:b w:val="false"/>
                  <w:strike w:val="false"/>
                  <w:dstrike w:val="false"/>
                  <w:color w:val="0000FF"/>
                  <w:sz w:val="18"/>
                  <w:u w:val="none"/>
                  <w:effect w:val="none"/>
                </w:rPr>
                <w:t>6</w:t>
              </w:r>
            </w:hyperlink>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28">
              <w:r>
                <w:rPr>
                  <w:rStyle w:val="InternetLink"/>
                  <w:rFonts w:ascii="Times New Roman;serif" w:hAnsi="Times New Roman;serif"/>
                  <w:b w:val="false"/>
                  <w:color w:val="0000FF"/>
                  <w:sz w:val="18"/>
                  <w:u w:val="single"/>
                </w:rPr>
                <w:t>Consolidated Statements of Stockholders’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28">
              <w:r>
                <w:rPr>
                  <w:rStyle w:val="InternetLink"/>
                  <w:rFonts w:ascii="Times New Roman;serif" w:hAnsi="Times New Roman;serif"/>
                  <w:b w:val="false"/>
                  <w:strike w:val="false"/>
                  <w:dstrike w:val="false"/>
                  <w:color w:val="0000FF"/>
                  <w:sz w:val="18"/>
                  <w:u w:val="none"/>
                  <w:effect w:val="none"/>
                </w:rPr>
                <w:t>7</w:t>
              </w:r>
            </w:hyperlink>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31">
              <w:r>
                <w:rPr>
                  <w:rStyle w:val="InternetLink"/>
                  <w:rFonts w:ascii="Times New Roman;serif" w:hAnsi="Times New Roman;serif"/>
                  <w:b w:val="false"/>
                  <w:color w:val="0000FF"/>
                  <w:sz w:val="18"/>
                  <w:u w:val="single"/>
                </w:rPr>
                <w:t>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31">
              <w:r>
                <w:rPr>
                  <w:rStyle w:val="InternetLink"/>
                  <w:rFonts w:ascii="Times New Roman;serif" w:hAnsi="Times New Roman;serif"/>
                  <w:b w:val="false"/>
                  <w:strike w:val="false"/>
                  <w:dstrike w:val="false"/>
                  <w:color w:val="0000FF"/>
                  <w:sz w:val="18"/>
                  <w:u w:val="none"/>
                  <w:effect w:val="none"/>
                </w:rPr>
                <w:t>8</w:t>
              </w:r>
            </w:hyperlink>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34">
              <w:r>
                <w:rPr>
                  <w:rStyle w:val="InternetLink"/>
                  <w:rFonts w:ascii="Times New Roman;serif" w:hAnsi="Times New Roman;serif"/>
                  <w:b w:val="false"/>
                  <w:color w:val="0000FF"/>
                  <w:sz w:val="18"/>
                  <w:u w:val="single"/>
                </w:rPr>
                <w:t>Notes to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34">
              <w:r>
                <w:rPr>
                  <w:rStyle w:val="InternetLink"/>
                  <w:rFonts w:ascii="Times New Roman;serif" w:hAnsi="Times New Roman;serif"/>
                  <w:b w:val="false"/>
                  <w:strike w:val="false"/>
                  <w:dstrike w:val="false"/>
                  <w:color w:val="0000FF"/>
                  <w:sz w:val="18"/>
                  <w:u w:val="none"/>
                  <w:effect w:val="none"/>
                </w:rPr>
                <w:t>9</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21">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21">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21">
              <w:r>
                <w:rPr>
                  <w:rStyle w:val="InternetLink"/>
                  <w:rFonts w:ascii="Times New Roman;serif" w:hAnsi="Times New Roman;serif"/>
                  <w:b w:val="false"/>
                  <w:strike w:val="false"/>
                  <w:dstrike w:val="false"/>
                  <w:color w:val="0000FF"/>
                  <w:sz w:val="18"/>
                  <w:u w:val="none"/>
                  <w:effect w:val="none"/>
                </w:rPr>
                <w:t>23</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0">
              <w:r>
                <w:rPr>
                  <w:rStyle w:val="InternetLink"/>
                  <w:rFonts w:ascii="Times New Roman;serif" w:hAnsi="Times New Roman;serif"/>
                  <w:b w:val="false"/>
                  <w:color w:val="0000FF"/>
                  <w:sz w:val="18"/>
                  <w:u w:val="single"/>
                </w:rPr>
                <w:t>Item 3.</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0">
              <w:r>
                <w:rPr>
                  <w:rStyle w:val="InternetLink"/>
                  <w:rFonts w:ascii="Times New Roman;serif" w:hAnsi="Times New Roman;serif"/>
                  <w:b w:val="false"/>
                  <w:color w:val="0000FF"/>
                  <w:sz w:val="18"/>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60">
              <w:r>
                <w:rPr>
                  <w:rStyle w:val="InternetLink"/>
                  <w:rFonts w:ascii="Times New Roman;serif" w:hAnsi="Times New Roman;serif"/>
                  <w:b w:val="false"/>
                  <w:strike w:val="false"/>
                  <w:dstrike w:val="false"/>
                  <w:color w:val="0000FF"/>
                  <w:sz w:val="18"/>
                  <w:u w:val="none"/>
                  <w:effect w:val="none"/>
                </w:rPr>
                <w:t>40</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3">
              <w:r>
                <w:rPr>
                  <w:rStyle w:val="InternetLink"/>
                  <w:rFonts w:ascii="Times New Roman;serif" w:hAnsi="Times New Roman;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3">
              <w:r>
                <w:rPr>
                  <w:rStyle w:val="InternetLink"/>
                  <w:rFonts w:ascii="Times New Roman;serif" w:hAnsi="Times New Roman;serif"/>
                  <w:b w:val="false"/>
                  <w:color w:val="0000FF"/>
                  <w:sz w:val="18"/>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63">
              <w:r>
                <w:rPr>
                  <w:rStyle w:val="InternetLink"/>
                  <w:rFonts w:ascii="Times New Roman;serif" w:hAnsi="Times New Roman;serif"/>
                  <w:b w:val="false"/>
                  <w:strike w:val="false"/>
                  <w:dstrike w:val="false"/>
                  <w:color w:val="0000FF"/>
                  <w:sz w:val="18"/>
                  <w:u w:val="none"/>
                  <w:effect w:val="none"/>
                </w:rPr>
                <w:t>41</w:t>
              </w:r>
            </w:hyperlink>
          </w:p>
        </w:tc>
      </w:tr>
      <w:tr>
        <w:trPr/>
        <w:tc>
          <w:tcPr>
            <w:tcW w:w="81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6">
              <w:r>
                <w:rPr>
                  <w:rStyle w:val="InternetLink"/>
                  <w:rFonts w:ascii="Times New Roman;serif" w:hAnsi="Times New Roman;serif"/>
                  <w:b/>
                  <w:color w:val="0000FF"/>
                  <w:sz w:val="18"/>
                  <w:u w:val="single"/>
                </w:rPr>
                <w:t>PART II.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9">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69">
              <w:r>
                <w:rPr>
                  <w:rStyle w:val="InternetLink"/>
                  <w:rFonts w:ascii="Times New Roman;serif" w:hAnsi="Times New Roman;serif"/>
                  <w:b w:val="false"/>
                  <w:color w:val="0000FF"/>
                  <w:sz w:val="18"/>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69">
              <w:r>
                <w:rPr>
                  <w:rStyle w:val="InternetLink"/>
                  <w:rFonts w:ascii="Times New Roman;serif" w:hAnsi="Times New Roman;serif"/>
                  <w:b w:val="false"/>
                  <w:strike w:val="false"/>
                  <w:dstrike w:val="false"/>
                  <w:color w:val="0000FF"/>
                  <w:sz w:val="18"/>
                  <w:u w:val="none"/>
                  <w:effect w:val="none"/>
                </w:rPr>
                <w:t>42</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72">
              <w:r>
                <w:rPr>
                  <w:rStyle w:val="InternetLink"/>
                  <w:rFonts w:ascii="Times New Roman;serif" w:hAnsi="Times New Roman;serif"/>
                  <w:b w:val="false"/>
                  <w:color w:val="0000FF"/>
                  <w:sz w:val="18"/>
                  <w:u w:val="single"/>
                </w:rPr>
                <w:t>Item 1A.</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72">
              <w:r>
                <w:rPr>
                  <w:rStyle w:val="InternetLink"/>
                  <w:rFonts w:ascii="Times New Roman;serif" w:hAnsi="Times New Roman;serif"/>
                  <w:b w:val="false"/>
                  <w:color w:val="0000FF"/>
                  <w:sz w:val="18"/>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72">
              <w:r>
                <w:rPr>
                  <w:rStyle w:val="InternetLink"/>
                  <w:rFonts w:ascii="Times New Roman;serif" w:hAnsi="Times New Roman;serif"/>
                  <w:b w:val="false"/>
                  <w:strike w:val="false"/>
                  <w:dstrike w:val="false"/>
                  <w:color w:val="0000FF"/>
                  <w:sz w:val="18"/>
                  <w:u w:val="none"/>
                  <w:effect w:val="none"/>
                </w:rPr>
                <w:t>42</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78">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78">
              <w:r>
                <w:rPr>
                  <w:rStyle w:val="InternetLink"/>
                  <w:rFonts w:ascii="Times New Roman;serif" w:hAnsi="Times New Roman;serif"/>
                  <w:b w:val="false"/>
                  <w:color w:val="0000FF"/>
                  <w:sz w:val="18"/>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78">
              <w:r>
                <w:rPr>
                  <w:rStyle w:val="InternetLink"/>
                  <w:rFonts w:ascii="Times New Roman;serif" w:hAnsi="Times New Roman;serif"/>
                  <w:b w:val="false"/>
                  <w:strike w:val="false"/>
                  <w:dstrike w:val="false"/>
                  <w:color w:val="0000FF"/>
                  <w:sz w:val="18"/>
                  <w:u w:val="none"/>
                  <w:effect w:val="none"/>
                </w:rPr>
                <w:t>42</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84">
              <w:r>
                <w:rPr>
                  <w:rStyle w:val="InternetLink"/>
                  <w:rFonts w:ascii="Times New Roman;serif" w:hAnsi="Times New Roman;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84">
              <w:r>
                <w:rPr>
                  <w:rStyle w:val="InternetLink"/>
                  <w:rFonts w:ascii="Times New Roman;serif" w:hAnsi="Times New Roman;serif"/>
                  <w:b w:val="false"/>
                  <w:color w:val="0000FF"/>
                  <w:sz w:val="18"/>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84">
              <w:r>
                <w:rPr>
                  <w:rStyle w:val="InternetLink"/>
                  <w:rFonts w:ascii="Times New Roman;serif" w:hAnsi="Times New Roman;serif"/>
                  <w:b w:val="false"/>
                  <w:strike w:val="false"/>
                  <w:dstrike w:val="false"/>
                  <w:color w:val="0000FF"/>
                  <w:sz w:val="18"/>
                  <w:u w:val="none"/>
                  <w:effect w:val="none"/>
                </w:rPr>
                <w:t>42</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87">
              <w:r>
                <w:rPr>
                  <w:rStyle w:val="InternetLink"/>
                  <w:rFonts w:ascii="Times New Roman;serif" w:hAnsi="Times New Roman;serif"/>
                  <w:b w:val="false"/>
                  <w:color w:val="0000FF"/>
                  <w:sz w:val="18"/>
                  <w:u w:val="single"/>
                </w:rPr>
                <w:t>Item 5.</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87">
              <w:r>
                <w:rPr>
                  <w:rStyle w:val="InternetLink"/>
                  <w:rFonts w:ascii="Times New Roman;serif" w:hAnsi="Times New Roman;serif"/>
                  <w:b w:val="false"/>
                  <w:color w:val="0000FF"/>
                  <w:sz w:val="18"/>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87">
              <w:r>
                <w:rPr>
                  <w:rStyle w:val="InternetLink"/>
                  <w:rFonts w:ascii="Times New Roman;serif" w:hAnsi="Times New Roman;serif"/>
                  <w:b w:val="false"/>
                  <w:strike w:val="false"/>
                  <w:dstrike w:val="false"/>
                  <w:color w:val="0000FF"/>
                  <w:sz w:val="18"/>
                  <w:u w:val="none"/>
                  <w:effect w:val="none"/>
                </w:rPr>
                <w:t>42</w:t>
              </w:r>
            </w:hyperlink>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93">
              <w:r>
                <w:rPr>
                  <w:rStyle w:val="InternetLink"/>
                  <w:rFonts w:ascii="Times New Roman;serif" w:hAnsi="Times New Roman;serif"/>
                  <w:b w:val="false"/>
                  <w:color w:val="0000FF"/>
                  <w:sz w:val="18"/>
                  <w:u w:val="single"/>
                </w:rPr>
                <w:t>Item 6.</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93">
              <w:r>
                <w:rPr>
                  <w:rStyle w:val="InternetLink"/>
                  <w:rFonts w:ascii="Times New Roman;serif" w:hAnsi="Times New Roman;serif"/>
                  <w:b w:val="false"/>
                  <w:color w:val="0000FF"/>
                  <w:sz w:val="18"/>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93">
              <w:r>
                <w:rPr>
                  <w:rStyle w:val="InternetLink"/>
                  <w:rFonts w:ascii="Times New Roman;serif" w:hAnsi="Times New Roman;serif"/>
                  <w:b w:val="false"/>
                  <w:strike w:val="false"/>
                  <w:dstrike w:val="false"/>
                  <w:color w:val="0000FF"/>
                  <w:sz w:val="18"/>
                  <w:u w:val="none"/>
                  <w:effect w:val="none"/>
                </w:rPr>
                <w:t>42</w:t>
              </w:r>
            </w:hyperlink>
          </w:p>
        </w:tc>
      </w:tr>
      <w:tr>
        <w:trPr/>
        <w:tc>
          <w:tcPr>
            <w:tcW w:w="81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e19a4089ef4d738c3845da0f874ed3_199">
              <w:r>
                <w:rPr>
                  <w:rStyle w:val="InternetLink"/>
                  <w:rFonts w:ascii="Times New Roman;serif" w:hAnsi="Times New Roman;serif"/>
                  <w:b w:val="false"/>
                  <w:color w:val="0000FF"/>
                  <w:sz w:val="18"/>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e19a4089ef4d738c3845da0f874ed3_199">
              <w:r>
                <w:rPr>
                  <w:rStyle w:val="InternetLink"/>
                  <w:rFonts w:ascii="Times New Roman;serif" w:hAnsi="Times New Roman;serif"/>
                  <w:b w:val="false"/>
                  <w:strike w:val="false"/>
                  <w:dstrike w:val="false"/>
                  <w:color w:val="0000FF"/>
                  <w:sz w:val="18"/>
                  <w:u w:val="none"/>
                  <w:effect w:val="none"/>
                </w:rPr>
                <w:t>44</w:t>
              </w:r>
            </w:hyperlink>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649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649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649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649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450"/>
        <w:jc w:val="left"/>
        <w:rPr>
          <w:color w:val="000000"/>
        </w:rPr>
      </w:pPr>
      <w:r>
        <w:rPr>
          <w:color w:val="000000"/>
        </w:rPr>
        <w: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our guidance, industry prospects, future business, future results of operations or financial condition,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costs related to litigation or infringement claims, indemnification claims and the inability to prevent misuse of our content;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 Form 10-K, which was filed with the Securities and Exchange Commission (the “SEC”) on February 17, 2026 (our “2025 Form 10-K”) and in our consolidated financial statements, related notes, and the other information appearing elsewhere in the 2025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 </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logos are registered trademarks and are the property of Shutterstock, Inc. or one of our subsidiaries. All other trademarks, service marks and trade names appearing in this Quarterly Report on Form 10-Q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amount)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0"/>
        <w:gridCol w:w="2076"/>
        <w:gridCol w:w="2117"/>
        <w:gridCol w:w="196"/>
        <w:gridCol w:w="871"/>
        <w:gridCol w:w="109"/>
        <w:gridCol w:w="178"/>
        <w:gridCol w:w="178"/>
        <w:gridCol w:w="180"/>
        <w:gridCol w:w="230"/>
        <w:gridCol w:w="1026"/>
        <w:gridCol w:w="184"/>
      </w:tblGrid>
      <w:tr>
        <w:trPr/>
        <w:tc>
          <w:tcPr>
            <w:tcW w:w="28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053"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June 30,</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053"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$3,750 and $3,431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338,639 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61,289 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93,398 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1,355,936 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LIABILITIES AND STOCKHOLDERS</w:t>
            </w:r>
            <w:r>
              <w:rPr>
                <w:color w:val="000000"/>
              </w:rPr>
              <w:t xml:space="preserve">’ </w:t>
            </w:r>
            <w:r>
              <w:rPr>
                <w:rFonts w:ascii="Times New Roman;serif" w:hAnsi="Times New Roman;serif"/>
                <w:b/>
                <w:color w:val="000000"/>
                <w:sz w:val="18"/>
              </w:rPr>
              <w:t>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129,952 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Contributor royalties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628,402 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116,639 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774,898 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200,000 shares authorized; 42,328 and 41,049 shares issued and 36,807 and 35,528 shares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5,521 shares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(269,804)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581,038 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1,092,277 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1,355,936 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843" w:type="dxa"/>
        <w:jc w:val="center"/>
        <w:tblInd w:w="0" w:type="dxa"/>
        <w:tblLayout w:type="fixed"/>
        <w:tblCellMar>
          <w:top w:w="28" w:type="dxa"/>
          <w:left w:w="28" w:type="dxa"/>
          <w:bottom w:w="28" w:type="dxa"/>
          <w:right w:w="28" w:type="dxa"/>
        </w:tblCellMar>
      </w:tblPr>
      <w:tblGrid>
        <w:gridCol w:w="1240"/>
        <w:gridCol w:w="1089"/>
        <w:gridCol w:w="1120"/>
        <w:gridCol w:w="196"/>
        <w:gridCol w:w="811"/>
        <w:gridCol w:w="109"/>
        <w:gridCol w:w="178"/>
        <w:gridCol w:w="178"/>
        <w:gridCol w:w="180"/>
        <w:gridCol w:w="196"/>
        <w:gridCol w:w="736"/>
        <w:gridCol w:w="109"/>
        <w:gridCol w:w="178"/>
        <w:gridCol w:w="178"/>
        <w:gridCol w:w="180"/>
        <w:gridCol w:w="196"/>
        <w:gridCol w:w="811"/>
        <w:gridCol w:w="109"/>
        <w:gridCol w:w="178"/>
        <w:gridCol w:w="178"/>
        <w:gridCol w:w="180"/>
        <w:gridCol w:w="196"/>
        <w:gridCol w:w="736"/>
        <w:gridCol w:w="581"/>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5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206,882 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106,741 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impairment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464,678 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44,932 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before income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63,549 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 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 Earnings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58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36,703</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35,257</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36,126</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36,703</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35,958</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36,126</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35,642</w:t>
            </w:r>
          </w:p>
        </w:tc>
      </w:tr>
    </w:tbl>
    <w:p>
      <w:pPr>
        <w:pStyle w:val="TextBody"/>
        <w:bidi w:val="0"/>
        <w:spacing w:lineRule="auto" w:line="288" w:before="3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59" w:type="dxa"/>
        <w:jc w:val="center"/>
        <w:tblInd w:w="0" w:type="dxa"/>
        <w:tblLayout w:type="fixed"/>
        <w:tblCellMar>
          <w:top w:w="28" w:type="dxa"/>
          <w:left w:w="28" w:type="dxa"/>
          <w:bottom w:w="28" w:type="dxa"/>
          <w:right w:w="28" w:type="dxa"/>
        </w:tblCellMar>
      </w:tblPr>
      <w:tblGrid>
        <w:gridCol w:w="1100"/>
        <w:gridCol w:w="967"/>
        <w:gridCol w:w="978"/>
        <w:gridCol w:w="196"/>
        <w:gridCol w:w="811"/>
        <w:gridCol w:w="109"/>
        <w:gridCol w:w="178"/>
        <w:gridCol w:w="178"/>
        <w:gridCol w:w="180"/>
        <w:gridCol w:w="196"/>
        <w:gridCol w:w="646"/>
        <w:gridCol w:w="109"/>
        <w:gridCol w:w="178"/>
        <w:gridCol w:w="178"/>
        <w:gridCol w:w="180"/>
        <w:gridCol w:w="196"/>
        <w:gridCol w:w="811"/>
        <w:gridCol w:w="109"/>
        <w:gridCol w:w="178"/>
        <w:gridCol w:w="178"/>
        <w:gridCol w:w="180"/>
        <w:gridCol w:w="196"/>
        <w:gridCol w:w="646"/>
        <w:gridCol w:w="581"/>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translation (loss) / gain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14,312 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(158,839)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62,440 </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color w:val="000000"/>
        </w:rPr>
      </w:pPr>
      <w:r>
        <w:rPr>
          <w:color w:val="000000"/>
        </w:rPr>
        <w:t> </w:t>
      </w:r>
    </w:p>
    <w:p>
      <w:pPr>
        <w:pStyle w:val="TextBody"/>
        <w:bidi w:val="0"/>
        <w:spacing w:lineRule="auto" w:line="288" w:before="3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145" w:type="dxa"/>
        <w:jc w:val="center"/>
        <w:tblInd w:w="0" w:type="dxa"/>
        <w:tblLayout w:type="fixed"/>
        <w:tblCellMar>
          <w:top w:w="28" w:type="dxa"/>
          <w:left w:w="28" w:type="dxa"/>
          <w:bottom w:w="28" w:type="dxa"/>
          <w:right w:w="28" w:type="dxa"/>
        </w:tblCellMar>
      </w:tblPr>
      <w:tblGrid>
        <w:gridCol w:w="749"/>
        <w:gridCol w:w="210"/>
        <w:gridCol w:w="212"/>
        <w:gridCol w:w="109"/>
        <w:gridCol w:w="451"/>
        <w:gridCol w:w="323"/>
        <w:gridCol w:w="323"/>
        <w:gridCol w:w="109"/>
        <w:gridCol w:w="175"/>
        <w:gridCol w:w="175"/>
        <w:gridCol w:w="176"/>
        <w:gridCol w:w="196"/>
        <w:gridCol w:w="421"/>
        <w:gridCol w:w="109"/>
        <w:gridCol w:w="150"/>
        <w:gridCol w:w="150"/>
        <w:gridCol w:w="151"/>
        <w:gridCol w:w="278"/>
        <w:gridCol w:w="278"/>
        <w:gridCol w:w="109"/>
        <w:gridCol w:w="175"/>
        <w:gridCol w:w="175"/>
        <w:gridCol w:w="176"/>
        <w:gridCol w:w="196"/>
        <w:gridCol w:w="751"/>
        <w:gridCol w:w="109"/>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25"/>
        <w:gridCol w:w="125"/>
        <w:gridCol w:w="126"/>
        <w:gridCol w:w="196"/>
        <w:gridCol w:w="73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 /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employee stock option exercises and RSU vesting</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withheld for settlement of taxes in connection with 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employee stock option exercises and RSU vesting</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withheld for settlement of taxes in connection with 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employee stock option exercises and RSU vesting</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withheld for settlement of taxes in connection with 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employee stock option exercises and RSU vesting</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withheld for settlement of taxes in connection with 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496,883 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95" w:type="dxa"/>
        <w:jc w:val="center"/>
        <w:tblInd w:w="0" w:type="dxa"/>
        <w:tblLayout w:type="fixed"/>
        <w:tblCellMar>
          <w:top w:w="28" w:type="dxa"/>
          <w:left w:w="28" w:type="dxa"/>
          <w:bottom w:w="28" w:type="dxa"/>
          <w:right w:w="28" w:type="dxa"/>
        </w:tblCellMar>
      </w:tblPr>
      <w:tblGrid>
        <w:gridCol w:w="2286"/>
        <w:gridCol w:w="2009"/>
        <w:gridCol w:w="2035"/>
        <w:gridCol w:w="196"/>
        <w:gridCol w:w="811"/>
        <w:gridCol w:w="109"/>
        <w:gridCol w:w="178"/>
        <w:gridCol w:w="178"/>
        <w:gridCol w:w="180"/>
        <w:gridCol w:w="196"/>
        <w:gridCol w:w="736"/>
        <w:gridCol w:w="581"/>
      </w:tblGrid>
      <w:tr>
        <w:trPr/>
        <w:tc>
          <w:tcPr>
            <w:tcW w:w="228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 income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(6,798)</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equity-based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impairment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 of long-term investment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 (gain) on investments,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(31,288)</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(55,674)</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and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and 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(14,587)</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Contributor royalties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52,083 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(22,120)</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related to Giphy Retention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content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 receipt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(26,199)</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settlement of employee taxes related to RSU vesting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(5,012)</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cash dividends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(23,124)</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(29,699)</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 increase in cash and cash equivalents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111,251 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116,410 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income taxes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14,689 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Summary of Operations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Summary of Operations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Shutterstock, Inc. (the “Company” or “Shutterstock”) is a leading global creative platform connecting brands and businesses to high quality content.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Content offering includes: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Images - consisting of photographs, vectors and illustrations. Images are typically used in visual communications, such as websites, digital and print marketing materials, corporate communications, books, publications and other similar uses.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Footage - consisting of video clips, premium footage filmed by industry experts and cinema grade video effects, available in HD and 4K formats. Footage is often integrated into websites, social media, marketing campaigns and cinematic productions.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Music - consisting of high-quality music tracks and sound effects, which are often used to complement images and footage.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3 Dimensional (“3D”) Models - consisting of 3D models, used in a variety of industries such as advertising, media and video production, gaming, retail, education, design and architecture.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Generative AI Content - consisting of images generated from algorithms trained with high-quality, ethically sourced content. Customers can generate images by entering a description of their desired content into model prompts.</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 Terminated Merger Agreement with Getty Images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6, 2025, the Company entered into an Agreement and Plan of Merger (the “Merger Agreement”) to combine in a merger-of-equals transaction with Getty Images Holdings, Inc. (NYSE:GETY) (“Getty Images”) (such transaction referred to herein as the “Merger”).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30, 2026, Getty Images filed a Current Report on Form 8-K announcing that its Board of Directors unanimously resolved to terminate the Merger Agreement. The Merger Agreement was terminated on July 7, 2026.</w:t>
      </w:r>
    </w:p>
    <w:p>
      <w:pPr>
        <w:pStyle w:val="TextBody"/>
        <w:bidi w:val="0"/>
        <w:spacing w:before="0" w:after="12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(3) Summary of Significant Accounting Policies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interim Consolidated Balance Sheet as of June 30, 2026, and the Consolidated Statements of Operations, Comprehensive Income and Stockholders’ Equity for the three and six months ended June 30, 2026 and 2025, and the Consolidated Statements of Cash Flows for the six months ended June 30, 2026 and 2025 are unaudited. The Consolidated Balance Sheet as of December 31, 2025,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June 30, 2026, and its consolidated results of operations, comprehensive income, stockholders’ equity and cash flows for the three and six months ended June 30, 2026 and 2025. The financial data and the other financial information disclosed in the notes to the financial statements related to these periods are also unaudited. The results of operations for the six months ended June 30, 2026 are not necessarily indicative of the results to be expected for the fiscal year ending December 31, 2026 or for any other future annual or interim period.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should be read in conjunction with the Company’s audited consolidated financial statements and notes thereto as of and for the year ended December 31, 2025 included in the Company’s Annual Report on Form 10-K, which was filed with the SEC on February 17, 2026.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and cash equivalents consist primarily of bank deposits.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Accounts Receivable and Allowance for Doubtful Accounts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certain Data, Distribution, and Services transactions, the Company has $56.1 million of unbilled receivables of which $36.8 million are recorded in Accounts Receivable and $19.3 million are recorded in Other Assets, as of June 30, 2026.</w:t>
      </w:r>
    </w:p>
    <w:p>
      <w:pPr>
        <w:pStyle w:val="TextBody"/>
        <w:bidi w:val="0"/>
        <w:spacing w:lineRule="auto" w:line="288" w:before="0" w:after="120"/>
        <w:ind w:left="0" w:right="0" w:firstLine="450"/>
        <w:jc w:val="left"/>
        <w:rPr/>
      </w:pPr>
      <w:r>
        <w:rPr>
          <w:rFonts w:ascii="Times New Roman;serif" w:hAnsi="Times New Roman;serif"/>
          <w:b w:val="false"/>
          <w:color w:val="000000"/>
          <w:sz w:val="20"/>
        </w:rPr>
        <w:t>During the six months ended June 30, 2026, the Company recorded bad debt expense of $0.3 million. As of June 30, 2026 and December 31, 2025, the Company’s allowance for doubtful accounts was approximately</w:t>
      </w:r>
      <w:r>
        <w:rPr>
          <w:color w:val="EE2724"/>
        </w:rPr>
        <w:t xml:space="preserve"> </w:t>
      </w:r>
      <w:r>
        <w:rPr>
          <w:rFonts w:ascii="Times New Roman;serif" w:hAnsi="Times New Roman;serif"/>
          <w:b w:val="false"/>
          <w:color w:val="000000"/>
          <w:sz w:val="20"/>
        </w:rPr>
        <w:t xml:space="preserve">$3.8 million and $3.4 million, respectively. The allowance for doubtful accounts is included as a reduction of accounts receivable on the Consolidated Balance Sheets.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certain customer arrangements that contain financing elements. Interest income earned from these financing receivables is recorded on the effective interest method and is included within interest income on the Consolidated Statements of Operations. As of June 30, 2026 and December 31, 2025, approximately $5.6 million and $9.8 million of financing receivables, respectively, were included in accounts receivable and other assets on the Consolidated Balance Sheets.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as of June 30, 2026 two customers accounted for approximately 16% and 12%, respectively, of the accounts receivable balance. As of December 31, 2025, one customer accounted for approximately 15% of the accounts receivable balance.</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Chargeback and Sales Refund Allowance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establishes a chargeback allowance and sales refund reserve allowance based on factors surrounding historical credit card chargeback trends, historical sales refund trends and other information. As of June 30, 2026 and December 31, 2025, the Company’s combined allowance for chargebacks and sales refunds was $0.2 million and $0.2 million, respectively, which was included as a component of other current liabilities on the Consolidated Balance Sheets.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customers making electronic payments, collectability is probable at the time the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reports revenue net of return and chargeback allowances. These allowances are based off historical trends when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(4) Fair Value Measurements and Long-term Investments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no assets or liabilities requiring fair value hierarchy disclosures as of June 30, 2026 or December 31, 2025, except as noted below.</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Other Fair Value Measurements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 </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Long-term Investments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Investment in Meitu, Inc. (“Meitu”)</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27, 2024, ZCool was acquired by Meitu, and the Company’s Preferred Shares in ZCool were exchanged for $18.4 million of Meitu common shares, resulting in an investment carrying value increase of $3.4 million, which was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income, net in the Consolidated Statement of Operations. The investment is subject to a contractual sale restriction that limits the sale or transfer of the investment for a period of 3 years, ending March 2027. Its fair value level hierarchy and amount at June 30, 2026 are as follows (in thousands):</w:t>
      </w:r>
    </w:p>
    <w:tbl>
      <w:tblPr>
        <w:tblW w:w="4480" w:type="dxa"/>
        <w:jc w:val="left"/>
        <w:tblInd w:w="0" w:type="dxa"/>
        <w:tblLayout w:type="fixed"/>
        <w:tblCellMar>
          <w:top w:w="28" w:type="dxa"/>
          <w:left w:w="28" w:type="dxa"/>
          <w:bottom w:w="28" w:type="dxa"/>
          <w:right w:w="28" w:type="dxa"/>
        </w:tblCellMar>
      </w:tblPr>
      <w:tblGrid>
        <w:gridCol w:w="233"/>
        <w:gridCol w:w="204"/>
        <w:gridCol w:w="207"/>
        <w:gridCol w:w="318"/>
        <w:gridCol w:w="1050"/>
        <w:gridCol w:w="177"/>
        <w:gridCol w:w="109"/>
        <w:gridCol w:w="109"/>
        <w:gridCol w:w="109"/>
        <w:gridCol w:w="386"/>
        <w:gridCol w:w="1275"/>
        <w:gridCol w:w="303"/>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2291" w:type="dxa"/>
            <w:gridSpan w:val="6"/>
            <w:tcBorders/>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1</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Long-Term Investments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its Data, Distribution, and Services business, the Company may receive equity instruments in addition to cash for revenue contract consideration. As of June 30, 2026 and December 31, 2025, the Company had $30.5 million and $30.5 million, respectively, recorded in Other Assets in the Consolidated Balance Sheets from equity instruments received. The Company estimated the value of these equity instruments based on issuers’ recent market transactions at the time the instruments were received from the customers. The Company uses the measurement alternative for fair value since the equity instruments do not have readily determinable fair values and report the instruments at cost, adjusted for impairments or any observable price changes in ordinary transactions with identical or similar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is summarized as follows (in thousands):</w:t>
      </w:r>
    </w:p>
    <w:tbl>
      <w:tblPr>
        <w:tblW w:w="6401" w:type="dxa"/>
        <w:jc w:val="left"/>
        <w:tblInd w:w="0" w:type="dxa"/>
        <w:tblLayout w:type="fixed"/>
        <w:tblCellMar>
          <w:top w:w="28" w:type="dxa"/>
          <w:left w:w="28" w:type="dxa"/>
          <w:bottom w:w="28" w:type="dxa"/>
          <w:right w:w="28" w:type="dxa"/>
        </w:tblCellMar>
      </w:tblPr>
      <w:tblGrid>
        <w:gridCol w:w="929"/>
        <w:gridCol w:w="815"/>
        <w:gridCol w:w="821"/>
        <w:gridCol w:w="291"/>
        <w:gridCol w:w="1093"/>
        <w:gridCol w:w="161"/>
        <w:gridCol w:w="109"/>
        <w:gridCol w:w="109"/>
        <w:gridCol w:w="109"/>
        <w:gridCol w:w="354"/>
        <w:gridCol w:w="1332"/>
        <w:gridCol w:w="278"/>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and software</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382,472 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394,200 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411,702 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425,770 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(363,217)</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62,553 </w:t>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related to property and equipment was $10.9 million and $10.9 million for the three months ended June 30, 2026 and 2025, respectively, and $21.8 million and $21.5 million for the six months ended June 30, 2026 and 2025, respectively. Cost of revenues included depreciation and amortization expense of $10.6 million and $10.6 million for the three months ended June 30, 2026 and 2025, respectively, and $21.2 million and $20.9 million for the six months ended June 30, 2026 and 2025, respectively. General and administrative expense included depreciation and amortization expense of $0.3 million and $0.3 million for the three months ended June 30, 2026 and 2025, respectively, and $0.5 million and $0.6 million for the six months ended June 30, 2026 and 2025, </w:t>
      </w:r>
    </w:p>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is included in cost of revenue and general and administrative expense in the Consolidated Statements of Operations based on the nature of the asset being depreciated.</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Capitalized Internal-Use Software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costs related to the development of internal-use software of $10.1 million and $11.3 million for the three months ended June 30, 2026 and 2025, respectively, and $20.6 million and $20.3 million for the six months ended June 30, 2026 and 2025, respectively. Capitalized amounts are included as a component of property and equipment under computer equipment and software on the Consolidated Balance Sheets.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portion of total depreciation expense related to capitalized internal-use software was $10.4 million and $10.3 million for the three months ended June 30, 2026 and 2025, respectively, and $20.8 million and $20.4 million for the six months ended June 30, 2026 and 2025, respectively. Depreciation expense related to capitalized internal-use software is included in cost of revenue in the Consolidated Statements of Operations.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capitalized internal-use software of $57.6 million and $57.7 million, respectively, net of accumulated depreciation, which was included in property and equipment, net.</w:t>
      </w:r>
    </w:p>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(6) Goodwill and Intangible Assets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goodwill balance is tested for impairment annually on October 1 or upon a triggering event.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management determined that Getty Image's termination of the Merger Agreement which was announced after the market close on June 30, 2026 resulted in a triggering event and required the performance of a quantitative goodwill impairment test for its single reporting unit. The Company estimated the fair value of its single reporting unit using a market approach to be $363.7 million based on the Company’s market capitalization and a 10% control premium. Due to the post-market close announcement of the merger termination, the Company utilized an average of the Company’s market capitalization from July 1, 2026 to July 13, 2026, as that was determined to most appropriately reflect the impact of the termination of the Merger Agreement that was known as of the balance sheet date. The control premium reflected management’s estimate of market-participant benefits associated with control and represented a significant unobservable input. Management has determined the use of the control premium results in the non-recurring fair value to be based on Level 3 fair value inputs.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the reporting unit's carrying amount exceeded its estimated fair value as of June 30, 2026, the Company recorded a goodwill impairment charge of $173.7 million within total operating expenses on the statement of operations. This charge includes an impact to deferred taxes associated with the goodwill of $10.4 million.</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Company’s stock price and market capitalization and the financial performance of the reporting unit declines, then it is possible these financial and economic conditions could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result in another triggering event for the reporting unit in the future and could lead to a potential impairment.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value of the Company’s goodwill balance during the six months ended June 30, 2026 (in thousands):</w:t>
      </w:r>
    </w:p>
    <w:tbl>
      <w:tblPr>
        <w:tblW w:w="4446" w:type="dxa"/>
        <w:jc w:val="left"/>
        <w:tblInd w:w="0" w:type="dxa"/>
        <w:tblLayout w:type="fixed"/>
        <w:tblCellMar>
          <w:top w:w="28" w:type="dxa"/>
          <w:left w:w="28" w:type="dxa"/>
          <w:bottom w:w="28" w:type="dxa"/>
          <w:right w:w="28" w:type="dxa"/>
        </w:tblCellMar>
      </w:tblPr>
      <w:tblGrid>
        <w:gridCol w:w="1057"/>
        <w:gridCol w:w="932"/>
        <w:gridCol w:w="935"/>
        <w:gridCol w:w="196"/>
        <w:gridCol w:w="736"/>
        <w:gridCol w:w="109"/>
        <w:gridCol w:w="109"/>
        <w:gridCol w:w="109"/>
        <w:gridCol w:w="109"/>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all of which are subject to amortization, consisted of the following as of June 30, 2026 and December 31, 2025 (in thousands):</w:t>
      </w:r>
    </w:p>
    <w:tbl>
      <w:tblPr>
        <w:tblW w:w="10405" w:type="dxa"/>
        <w:jc w:val="left"/>
        <w:tblInd w:w="0" w:type="dxa"/>
        <w:tblLayout w:type="fixed"/>
        <w:tblCellMar>
          <w:top w:w="28" w:type="dxa"/>
          <w:left w:w="28" w:type="dxa"/>
          <w:bottom w:w="28" w:type="dxa"/>
          <w:right w:w="28" w:type="dxa"/>
        </w:tblCellMar>
      </w:tblPr>
      <w:tblGrid>
        <w:gridCol w:w="427"/>
        <w:gridCol w:w="296"/>
        <w:gridCol w:w="298"/>
        <w:gridCol w:w="196"/>
        <w:gridCol w:w="736"/>
        <w:gridCol w:w="109"/>
        <w:gridCol w:w="109"/>
        <w:gridCol w:w="109"/>
        <w:gridCol w:w="109"/>
        <w:gridCol w:w="196"/>
        <w:gridCol w:w="776"/>
        <w:gridCol w:w="109"/>
        <w:gridCol w:w="109"/>
        <w:gridCol w:w="109"/>
        <w:gridCol w:w="109"/>
        <w:gridCol w:w="196"/>
        <w:gridCol w:w="736"/>
        <w:gridCol w:w="109"/>
        <w:gridCol w:w="109"/>
        <w:gridCol w:w="109"/>
        <w:gridCol w:w="109"/>
        <w:gridCol w:w="350"/>
        <w:gridCol w:w="350"/>
        <w:gridCol w:w="351"/>
        <w:gridCol w:w="109"/>
        <w:gridCol w:w="109"/>
        <w:gridCol w:w="109"/>
        <w:gridCol w:w="196"/>
        <w:gridCol w:w="736"/>
        <w:gridCol w:w="109"/>
        <w:gridCol w:w="109"/>
        <w:gridCol w:w="109"/>
        <w:gridCol w:w="109"/>
        <w:gridCol w:w="196"/>
        <w:gridCol w:w="776"/>
        <w:gridCol w:w="109"/>
        <w:gridCol w:w="109"/>
        <w:gridCol w:w="109"/>
        <w:gridCol w:w="109"/>
        <w:gridCol w:w="196"/>
        <w:gridCol w:w="736"/>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Contributor content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Amortization expense was $11.6 million and $11.7 million for the three months ended June 30, 2026 and 2025, respectively, and $23.3 million and $23.8 million for the six months ended June 30, 2026 and 2025, respectively. Cost of revenue included amortization expense of $10.2 million and $10.2 million for the three months ended June 30, 2026 and 2025, respectively, and $20.4 million and $20.7 million for the six months ended June 30, 2026 and 2025, respectively. General and administrative expense included amortization expense of $1.5 million for the three months ended June 30, 2026 and 2025, respectively, and $2.9 million and $3.1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there was no indication of impairment of the intangible assets for any period presented. Estimated amortization expense is: $22.0 million for the remaining six months of 2026, $38.9 million in 2027, $36.1 million in 2028, $29.3 million in 2029, $17.9 million in 2030, $12.8 million in 2031 and $35.1 million thereafter.</w:t>
      </w:r>
    </w:p>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(7) Accrued Expenses</w:t>
      </w:r>
      <w:r>
        <w:rPr>
          <w:color w:val="000000"/>
        </w:rPr>
        <w: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6475" w:type="dxa"/>
        <w:jc w:val="left"/>
        <w:tblInd w:w="0" w:type="dxa"/>
        <w:tblLayout w:type="fixed"/>
        <w:tblCellMar>
          <w:top w:w="28" w:type="dxa"/>
          <w:left w:w="28" w:type="dxa"/>
          <w:bottom w:w="28" w:type="dxa"/>
          <w:right w:w="28" w:type="dxa"/>
        </w:tblCellMar>
      </w:tblPr>
      <w:tblGrid>
        <w:gridCol w:w="955"/>
        <w:gridCol w:w="839"/>
        <w:gridCol w:w="845"/>
        <w:gridCol w:w="291"/>
        <w:gridCol w:w="1093"/>
        <w:gridCol w:w="161"/>
        <w:gridCol w:w="109"/>
        <w:gridCol w:w="109"/>
        <w:gridCol w:w="109"/>
        <w:gridCol w:w="354"/>
        <w:gridCol w:w="1332"/>
        <w:gridCol w:w="278"/>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49,705 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Non-income taxes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Website hosting and marketing fees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104,227 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129,952 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compensation-related accrued expenses included amounts due to Giphy employees for compensation earned pre-acquisition and severance costs associated with workforce optimizations. Approximately $1.7 million and $1.5 million of severance costs associated with workforce optimization is included within accrued expenses as of June 30, 2026 and December 31, 2025, respectively.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2022, the Company entered into a five-year $100 million unsecured revolving loan facility (the “Credit Facility”) with Bank of America, N.A., as Administrative Agent, and other lenders. The Credit Facility includes a letter of credit sub-facility and a swingline facility and also permits, subject to the satisfaction of certain conditions, up to $100 million of additional revolving loan commitments with the consent of the Administrative Agent.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$125,000,000 and (ii) senior unsecured revolving credit facility (the “Revolver”) in an aggregate principal amount of $250 million. The A&amp;R Credit Agreement also provides for a letter of credit subfacility and a swingline facility.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a remaining borrowing capacity of $94 million, net of standby letters of credit.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June 30, 2026, the Company was in compliance with these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outstanding debt (in thousands) is reflected in the table below. The Company classifies the Revolver as a current liability since the Company could draw upon and repay the outstanding amount as needed. The maturity of the Revolver is in 2029. </w:t>
      </w:r>
    </w:p>
    <w:tbl>
      <w:tblPr>
        <w:tblW w:w="6580" w:type="dxa"/>
        <w:jc w:val="left"/>
        <w:tblInd w:w="0" w:type="dxa"/>
        <w:tblLayout w:type="fixed"/>
        <w:tblCellMar>
          <w:top w:w="28" w:type="dxa"/>
          <w:left w:w="28" w:type="dxa"/>
          <w:bottom w:w="28" w:type="dxa"/>
          <w:right w:w="28" w:type="dxa"/>
        </w:tblCellMar>
      </w:tblPr>
      <w:tblGrid>
        <w:gridCol w:w="994"/>
        <w:gridCol w:w="873"/>
        <w:gridCol w:w="877"/>
        <w:gridCol w:w="514"/>
        <w:gridCol w:w="514"/>
        <w:gridCol w:w="517"/>
        <w:gridCol w:w="109"/>
        <w:gridCol w:w="109"/>
        <w:gridCol w:w="109"/>
        <w:gridCol w:w="575"/>
        <w:gridCol w:w="575"/>
        <w:gridCol w:w="81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Debt: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 A&amp;R Credit Agreement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 A&amp;R Credit Agreement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Debt:</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 A&amp;R Credit Agreement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115,157 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116,639 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interest expense of $3.8 million and $7.6 million, respectively. As of June 30, 2026, unamortized debt issuance cost related to the Term Loan - A&amp;R Credit Agreement is $0.5 million.</w:t>
      </w:r>
    </w:p>
    <w:p>
      <w:pPr>
        <w:pStyle w:val="TextBody"/>
        <w:bidi w:val="0"/>
        <w:spacing w:before="18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(9) Stockholders’ Equity and Equity-Based Compensation</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0" w:after="120"/>
        <w:ind w:left="0" w:right="0" w:firstLine="450"/>
        <w:jc w:val="left"/>
        <w:rPr/>
      </w:pPr>
      <w:r>
        <w:rPr>
          <w:rFonts w:ascii="Times New Roman;serif" w:hAnsi="Times New Roman;serif"/>
          <w:b w:val="false"/>
          <w:color w:val="000000"/>
          <w:sz w:val="20"/>
        </w:rPr>
        <w:t>The Company issued approximately</w:t>
      </w:r>
      <w:r>
        <w:rPr>
          <w:color w:val="EE2724"/>
        </w:rPr>
        <w:t xml:space="preserve"> </w:t>
      </w:r>
      <w:r>
        <w:rPr>
          <w:rFonts w:ascii="Times New Roman;serif" w:hAnsi="Times New Roman;serif"/>
          <w:b w:val="false"/>
          <w:color w:val="000000"/>
          <w:sz w:val="20"/>
        </w:rPr>
        <w:t>1,252,000 and 386,000 shares of common stock during the three months ended June 30, 2026 and 2025, respectively, related to the exercise of stock options and the vesting of restricted stock units.</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2023, the Company’s Board of Directors approved a share repurchase program (the “2023 Share Repurchase Program”), providing authorization to repurchase up to $100 million of its common stock.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repurchased approximately 5.5 million shares of common stock in total since 2015 under the repurchase programs (including the 2015 and 2017 Share Repurchase Programs and the 2023 Share Repurchase Program) at an average per-share cost of $48.86. During the three and six months ended June 30, 2026 and 2025, the Company did not repurchase any shares of common stock. As of June 30, 2026, the Company had $30.2 million of remaining authorization for purchases under the 2023 Share Repurchase Program.</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declared and paid cash dividends of $0.36 and $0.72 per share of common stock, or $13.2 million and $26.0 million during the three and six months ended June 30, 2026, respectively, and $0.33 and $0.66 per share of common stock, or $11.6 million and $23.1 million during the three and six months ended June 30, 2025, respectively.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non-cash equity-based compensation expense, net of forfeitures, by financial statement line item included in the accompanying Consolidated Statements of Operations for the three and six months ended June 30, 2026 and 2025 (in thousands): </w:t>
      </w:r>
    </w:p>
    <w:tbl>
      <w:tblPr>
        <w:tblW w:w="6871" w:type="dxa"/>
        <w:jc w:val="left"/>
        <w:tblInd w:w="0" w:type="dxa"/>
        <w:tblLayout w:type="fixed"/>
        <w:tblCellMar>
          <w:top w:w="28" w:type="dxa"/>
          <w:left w:w="28" w:type="dxa"/>
          <w:bottom w:w="28" w:type="dxa"/>
          <w:right w:w="28" w:type="dxa"/>
        </w:tblCellMar>
      </w:tblPr>
      <w:tblGrid>
        <w:gridCol w:w="728"/>
        <w:gridCol w:w="639"/>
        <w:gridCol w:w="643"/>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substantially all of the Company’s non-cash equity-based compensation expense related to RSUs. </w:t>
      </w:r>
    </w:p>
    <w:p>
      <w:pPr>
        <w:pStyle w:val="TextBody"/>
        <w:bidi w:val="0"/>
        <w:spacing w:lineRule="auto" w:line="288" w:before="240" w:after="6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 Awards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had RSU grants, net of forfeitures, of approximately 1,108,000. As of June 30, 2026, there are approximately 4,016,000 non-vested RSUs outstanding with a weighted average grant-date fair value of $18.63. As of June 30, 2026, the total unrecognized non-cash equity-based compensation expense related to the non-vested RSUs was approximately $52.9 million, which is expected to be recognized through 2030.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shares of common stock with an aggregate value of $9.3 million and $5.0 million were withheld upon vesting of RSUs and paid in connection with related remittance of employee withholding taxes to taxing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(10) Revenue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distributes its products through two primary offerings: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Content</w:t>
      </w:r>
      <w:r>
        <w:rPr>
          <w:rFonts w:ascii="Times New Roman;serif" w:hAnsi="Times New Roman;serif"/>
          <w:b w:val="false"/>
          <w:color w:val="000000"/>
          <w:sz w:val="20"/>
        </w:rPr>
        <w:t xml:space="preserve">: The majority of the Company’s customers license image, video, music and 3D content for commercial purposes either directly through the 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Data, Distribution, and Services</w:t>
      </w:r>
      <w:r>
        <w:rPr>
          <w:rFonts w:ascii="Times New Roman;serif" w:hAnsi="Times New Roman;serif"/>
          <w:b w:val="false"/>
          <w:color w:val="000000"/>
          <w:sz w:val="20"/>
        </w:rPr>
        <w:t>: The Company’s Data, Distribution, and Services offerings address customer demand for products and services that are 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revenues by product offering for the three and six months ended June 30, 2026 and 2025 are as follows (in thousands):</w:t>
      </w:r>
    </w:p>
    <w:tbl>
      <w:tblPr>
        <w:tblW w:w="8629" w:type="dxa"/>
        <w:jc w:val="left"/>
        <w:tblInd w:w="0" w:type="dxa"/>
        <w:tblLayout w:type="fixed"/>
        <w:tblCellMar>
          <w:top w:w="28" w:type="dxa"/>
          <w:left w:w="28" w:type="dxa"/>
          <w:bottom w:w="28" w:type="dxa"/>
          <w:right w:w="28" w:type="dxa"/>
        </w:tblCellMar>
      </w:tblPr>
      <w:tblGrid>
        <w:gridCol w:w="860"/>
        <w:gridCol w:w="754"/>
        <w:gridCol w:w="771"/>
        <w:gridCol w:w="196"/>
        <w:gridCol w:w="736"/>
        <w:gridCol w:w="109"/>
        <w:gridCol w:w="178"/>
        <w:gridCol w:w="178"/>
        <w:gridCol w:w="180"/>
        <w:gridCol w:w="196"/>
        <w:gridCol w:w="736"/>
        <w:gridCol w:w="109"/>
        <w:gridCol w:w="178"/>
        <w:gridCol w:w="178"/>
        <w:gridCol w:w="180"/>
        <w:gridCol w:w="196"/>
        <w:gridCol w:w="736"/>
        <w:gridCol w:w="109"/>
        <w:gridCol w:w="178"/>
        <w:gridCol w:w="178"/>
        <w:gridCol w:w="180"/>
        <w:gridCol w:w="196"/>
        <w:gridCol w:w="736"/>
        <w:gridCol w:w="581"/>
      </w:tblGrid>
      <w:tr>
        <w:trPr/>
        <w:tc>
          <w:tcPr>
            <w:tcW w:w="8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cMar>
              <w:top w:w="0" w:type="dxa"/>
              <w:left w:w="0" w:type="dxa"/>
              <w:bottom w:w="0" w:type="dxa"/>
              <w:right w:w="0" w:type="dxa"/>
            </w:tcMar>
            <w:vAlign w:val="center"/>
          </w:tcPr>
          <w:p>
            <w:pPr>
              <w:pStyle w:val="TableContents"/>
              <w:bidi w:val="0"/>
              <w:spacing w:lineRule="auto" w:line="240" w:before="0" w:after="283"/>
              <w:ind w:left="0" w:right="0" w:firstLine="45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402,684 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Distribution,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106,926 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reported on the balance sheet represents unfulfilled performance obligations for which the Company has either received payment or has outstanding receivables. The June 30, 2026 deferred revenue balance will be earned as content is downloaded or upon the expiration of subscription-based products, and nearly all is expected to be earned within the next twelve months. $175.1 million of total revenue recognized for the six months ended June 30, 2026 was reflected in deferred revenue as of December 31, 2025. In addition, as of June 30, 2026, the Company has approximately $35.3 million of contracted but unsatisfied performance obligations relating primarily to our data deal offerings, which are not included as a component of deferred revenue and that the Company expects to recognize over a five 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Other (expense) / income, net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other income and expense activity included in the accompanying Consolidated Statements of Operations for the three and six months ended June 30, 2026 and 2025 (in thousands):</w:t>
      </w:r>
    </w:p>
    <w:tbl>
      <w:tblPr>
        <w:tblW w:w="9691" w:type="dxa"/>
        <w:jc w:val="left"/>
        <w:tblInd w:w="0" w:type="dxa"/>
        <w:tblLayout w:type="fixed"/>
        <w:tblCellMar>
          <w:top w:w="28" w:type="dxa"/>
          <w:left w:w="28" w:type="dxa"/>
          <w:bottom w:w="28" w:type="dxa"/>
          <w:right w:w="28" w:type="dxa"/>
        </w:tblCellMar>
      </w:tblPr>
      <w:tblGrid>
        <w:gridCol w:w="1717"/>
        <w:gridCol w:w="1512"/>
        <w:gridCol w:w="1525"/>
        <w:gridCol w:w="200"/>
        <w:gridCol w:w="645"/>
        <w:gridCol w:w="111"/>
        <w:gridCol w:w="111"/>
        <w:gridCol w:w="111"/>
        <w:gridCol w:w="111"/>
        <w:gridCol w:w="200"/>
        <w:gridCol w:w="661"/>
        <w:gridCol w:w="111"/>
        <w:gridCol w:w="109"/>
        <w:gridCol w:w="109"/>
        <w:gridCol w:w="109"/>
        <w:gridCol w:w="196"/>
        <w:gridCol w:w="721"/>
        <w:gridCol w:w="109"/>
        <w:gridCol w:w="109"/>
        <w:gridCol w:w="109"/>
        <w:gridCol w:w="109"/>
        <w:gridCol w:w="196"/>
        <w:gridCol w:w="64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(loss) / gain</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long-term investment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unrealized (loss) / gain on investments, and other</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 income, net</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12,624 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were a benefit of 3.1% and an expense of 31.7% for the three months ended June 30, 2026 and 2025, respectively, and a benefit of 3.2% and an expense of 24.3% for the six months ended June 30, 2026 and 2025, respectively.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net effect of discrete items decreased the effective tax rate by 45.3% and 42.5%, respectively. The discrete items for the three and six months ended June 30, 2026, primarily relate to the book goodwill impairment which is non-deductible for tax purposes, partially offset by shortfalls on equity award vestings. Excluding discrete items, the Company’s effective tax rate would have been 48.4% and 45.7% for the three and six months ended June 30, 2026.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 net effect of discrete items increased the effective tax rate by 2.3% and decreased the effective tax rate by 4.7%, respectively. The discrete items for the three months ended June 30, 2025, primarily relate to shortfalls on equity award vestings, partially offset by a decrease in the valuation allowance. The discrete items for the six months ended June 30, 2025 primarily relate to a decrease in the valuation allowance, partially offset by shortfalls on equity award vestings. Excluding discrete items, the Company’s effective tax rate would have been 29.4% and 29.0% for the three and six months ended June 30, 2025, respectively.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computed the provision for income taxes based on the estimated annual effective tax rate excluding loss jurisdictions with no tax benefit and the application of discrete items, if any, in the applicable period.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uncertain tax positions recorded by the Company were not material. To the extent the remaining uncertain tax positions are ultimately recognized, the Company’s effective tax rate may be impacted in future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and six months ended June 30, 2026 and 2025.</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had net cash taxes paid of $7.7 million and during the six months ended June 30, 2025, the Company had net cash taxes paid of $14.7 million. </w:t>
      </w:r>
    </w:p>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Net (Loss) / Income Per Share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share for the three and six months ended June 30, 2026 and 2025 (in thousands, except for per share data):</w:t>
      </w:r>
    </w:p>
    <w:tbl>
      <w:tblPr>
        <w:tblW w:w="9525" w:type="dxa"/>
        <w:jc w:val="left"/>
        <w:tblInd w:w="0" w:type="dxa"/>
        <w:tblLayout w:type="fixed"/>
        <w:tblCellMar>
          <w:top w:w="28" w:type="dxa"/>
          <w:left w:w="28" w:type="dxa"/>
          <w:bottom w:w="28" w:type="dxa"/>
          <w:right w:w="28" w:type="dxa"/>
        </w:tblCellMar>
      </w:tblPr>
      <w:tblGrid>
        <w:gridCol w:w="1577"/>
        <w:gridCol w:w="1386"/>
        <w:gridCol w:w="1402"/>
        <w:gridCol w:w="196"/>
        <w:gridCol w:w="811"/>
        <w:gridCol w:w="109"/>
        <w:gridCol w:w="109"/>
        <w:gridCol w:w="109"/>
        <w:gridCol w:w="109"/>
        <w:gridCol w:w="196"/>
        <w:gridCol w:w="646"/>
        <w:gridCol w:w="109"/>
        <w:gridCol w:w="109"/>
        <w:gridCol w:w="109"/>
        <w:gridCol w:w="109"/>
        <w:gridCol w:w="196"/>
        <w:gridCol w:w="811"/>
        <w:gridCol w:w="109"/>
        <w:gridCol w:w="109"/>
        <w:gridCol w:w="109"/>
        <w:gridCol w:w="109"/>
        <w:gridCol w:w="196"/>
        <w:gridCol w:w="64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to compute basic net (loss) / income per share</w:t>
            </w:r>
          </w:p>
        </w:tc>
        <w:tc>
          <w:tcPr>
            <w:tcW w:w="10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potential common shares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to compute diluted net (loss) / income per share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 income per share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 income per share</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shares included in the calculation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shares excluded from the calculation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(14) Segment and Geographic Information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currently organized and operates as one operating and reportable segment on a consolidated basis. The Company’s revenues are supported by its searchable creative platform and driven by its large contributor network. The Company’s chief executive officer, who is its chief operating decision maker (“CODM”), evaluates the performance of the Company’s operating segment based on net income. The CODM considers budget-to-actual variances when making decisions about capital allocation to the segment. Asset information is not provided to the Company’s CODM as that information is not used in the determination of resource allocation or in assessing the performance of the Company’s segment.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company’s revenues and significant operating expense categories used to evaluate the business and allocate resources to Net income:</w:t>
      </w:r>
    </w:p>
    <w:tbl>
      <w:tblPr>
        <w:tblW w:w="8115" w:type="dxa"/>
        <w:jc w:val="left"/>
        <w:tblInd w:w="0" w:type="dxa"/>
        <w:tblLayout w:type="fixed"/>
        <w:tblCellMar>
          <w:top w:w="28" w:type="dxa"/>
          <w:left w:w="28" w:type="dxa"/>
          <w:bottom w:w="28" w:type="dxa"/>
          <w:right w:w="28" w:type="dxa"/>
        </w:tblCellMar>
      </w:tblPr>
      <w:tblGrid>
        <w:gridCol w:w="1003"/>
        <w:gridCol w:w="884"/>
        <w:gridCol w:w="888"/>
        <w:gridCol w:w="196"/>
        <w:gridCol w:w="811"/>
        <w:gridCol w:w="109"/>
        <w:gridCol w:w="109"/>
        <w:gridCol w:w="109"/>
        <w:gridCol w:w="109"/>
        <w:gridCol w:w="196"/>
        <w:gridCol w:w="736"/>
        <w:gridCol w:w="109"/>
        <w:gridCol w:w="109"/>
        <w:gridCol w:w="109"/>
        <w:gridCol w:w="109"/>
        <w:gridCol w:w="196"/>
        <w:gridCol w:w="811"/>
        <w:gridCol w:w="109"/>
        <w:gridCol w:w="109"/>
        <w:gridCol w:w="109"/>
        <w:gridCol w:w="109"/>
        <w:gridCol w:w="196"/>
        <w:gridCol w:w="73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color w:val="000000"/>
                <w:sz w:val="16"/>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w:t>
            </w:r>
            <w:r>
              <w:rPr>
                <w:rFonts w:ascii="Times New Roman;serif" w:hAnsi="Times New Roman;serif"/>
                <w:b w:val="false"/>
                <w:color w:val="000000"/>
                <w:sz w:val="12"/>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sales and marketing</w:t>
            </w:r>
            <w:r>
              <w:rPr>
                <w:rFonts w:ascii="Times New Roman;serif" w:hAnsi="Times New Roman;serif"/>
                <w:b w:val="false"/>
                <w:color w:val="000000"/>
                <w:sz w:val="12"/>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product and development</w:t>
            </w:r>
            <w:r>
              <w:rPr>
                <w:rFonts w:ascii="Times New Roman;serif" w:hAnsi="Times New Roman;serif"/>
                <w:b w:val="false"/>
                <w:color w:val="000000"/>
                <w:sz w:val="12"/>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general and administrative</w:t>
            </w:r>
            <w:r>
              <w:rPr>
                <w:rFonts w:ascii="Times New Roman;serif" w:hAnsi="Times New Roman;serif"/>
                <w:b w:val="false"/>
                <w:color w:val="000000"/>
                <w:sz w:val="12"/>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before income taxes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 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rFonts w:ascii="Times New Roman;serif" w:hAnsi="Times New Roman;serif"/>
          <w:b w:val="false"/>
          <w:color w:val="000000"/>
          <w:sz w:val="16"/>
        </w:rPr>
        <w:t>Excludes technology and advertising costs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Company’s depreciation and amortization by expense category:</w:t>
      </w:r>
    </w:p>
    <w:tbl>
      <w:tblPr>
        <w:tblW w:w="7455" w:type="dxa"/>
        <w:jc w:val="left"/>
        <w:tblInd w:w="0" w:type="dxa"/>
        <w:tblLayout w:type="fixed"/>
        <w:tblCellMar>
          <w:top w:w="28" w:type="dxa"/>
          <w:left w:w="28" w:type="dxa"/>
          <w:bottom w:w="28" w:type="dxa"/>
          <w:right w:w="28" w:type="dxa"/>
        </w:tblCellMar>
      </w:tblPr>
      <w:tblGrid>
        <w:gridCol w:w="938"/>
        <w:gridCol w:w="825"/>
        <w:gridCol w:w="831"/>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based on customer location (in thousands): </w:t>
      </w:r>
    </w:p>
    <w:tbl>
      <w:tblPr>
        <w:tblW w:w="6540" w:type="dxa"/>
        <w:jc w:val="left"/>
        <w:tblInd w:w="0" w:type="dxa"/>
        <w:tblLayout w:type="fixed"/>
        <w:tblCellMar>
          <w:top w:w="28" w:type="dxa"/>
          <w:left w:w="28" w:type="dxa"/>
          <w:bottom w:w="28" w:type="dxa"/>
          <w:right w:w="28" w:type="dxa"/>
        </w:tblCellMar>
      </w:tblPr>
      <w:tblGrid>
        <w:gridCol w:w="489"/>
        <w:gridCol w:w="429"/>
        <w:gridCol w:w="43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the world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United States, included in North America in the above table, accounted for 38% and 42% of consolidated revenue for the six months ended June 30, 2026 and 2025, respectively. No other country accounts for more than 10% of the Company’s revenue in any period presented.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long-lived tangible assets were located as follows (in thousands):</w:t>
      </w:r>
    </w:p>
    <w:tbl>
      <w:tblPr>
        <w:tblW w:w="5337" w:type="dxa"/>
        <w:jc w:val="left"/>
        <w:tblInd w:w="0" w:type="dxa"/>
        <w:tblLayout w:type="fixed"/>
        <w:tblCellMar>
          <w:top w:w="28" w:type="dxa"/>
          <w:left w:w="28" w:type="dxa"/>
          <w:bottom w:w="28" w:type="dxa"/>
          <w:right w:w="28" w:type="dxa"/>
        </w:tblCellMar>
      </w:tblPr>
      <w:tblGrid>
        <w:gridCol w:w="837"/>
        <w:gridCol w:w="734"/>
        <w:gridCol w:w="739"/>
        <w:gridCol w:w="235"/>
        <w:gridCol w:w="775"/>
        <w:gridCol w:w="130"/>
        <w:gridCol w:w="109"/>
        <w:gridCol w:w="109"/>
        <w:gridCol w:w="109"/>
        <w:gridCol w:w="307"/>
        <w:gridCol w:w="1012"/>
        <w:gridCol w:w="241"/>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the world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tangible assets</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61,237 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62,553 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United States, included in North America in the above table, accounted for 44% and 48% of total long-lived tangible assets as of June 30, 2026 and December 31, 2025, respectively. Ireland, included in Europe in the above table, accounted for 22% and 23% of total long-lived tangible assets as of June 30, 2026 and December 31, 2025, respectively. Australia, included in Rest of the world in the above table, accounted for 27% and 20% of the total long-lived tangible assets as of June 30, 2026 and December 31, 2025, respectively. No other country accounts for more than 10% of the Company’s long-lived tangible assets in any period presented.</w:t>
      </w:r>
    </w:p>
    <w:p>
      <w:pPr>
        <w:pStyle w:val="TextBody"/>
        <w:bidi w:val="0"/>
        <w:spacing w:before="24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(15) Commitments and Contingencies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Unconditional purchase obligations and other obligations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total other non-lease obligations in the amount of approximately $99.4 million, which consisted primarily of minimum royalty guarantees and unconditional purchase obligations related to contracts for infrastructure and other business services. As of June 30, 2026, the Company’s other obligations for the remainder of 2026 and for the years ending December 31, 2027, and 2028 were approximately $9.4 million, $51.8 million, and $38.2 million, respectively.</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are not currently a party to any material pending litigation (except as described below),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 Except as described below, the Company currently has no material active litigation matters and, accordingly, no material reserves related to litigation.</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definitive proxy statement for the Merger was filed with the SEC on April 30, 2025 (the “Proxy Statement”), two complaints were filed against Shutterstock and each member of Shutterstock’s board of directors (the “Individual Defendants”). The two complaints were captioned as follows: Johnson v. Shutterstock, Inc., et al., 682860/2025 (filed in the Supreme Court of the State of New York, County of New York, Commercial Division (the “Johnson Action”) and Weiss v. Shutterstock, Inc., et al., 652853/2025 at ECF No. 1, filed in the Supreme Court of the State of New York, County of New York, Commercial Division (the “Weiss Action”, and together with the Johnson Action, the “Stockholder Actions”). The Stockholder Actions allege that, among other things, the Proxy Statement contains false and misleading and/or incomplete information regarding the Merger. The Stockholder Actions asserted claims for (i) negligent misrepresentation and concealment, and (ii) negligence in connection with the filing of the allegedly false and misleading Proxy Statement. The Stockholder Actions sought an injunction enjoining the consummation of the Merger unless and until the Individual Defendants disclose the allegedly omitted material information, in the event that the Merger are consummated, rescission of the Merger and awarding actual and punitive damages to plaintiff, and an award of attorneys’ and experts’ fees. The Stockholders Actions were voluntarily discontinued on July 6,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Shutterstock,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Stockholder Actions, beginning on April 25, 2025, certain purported stockholders of Shutterstock and Getty Images sent demand letters (the “Demand Letters”, and together with the Stockholder Actions, the “Matters”) alleging similar deficiencies regarding the disclosures made in the Proxy Statement and seeking additional disclosures to address those alleged deficiencies.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Shutterstock believes it has substantial defenses in connection with the Matters and no supplemental disclosure was required under applicable law. However, in order to avoid the risk that the Matters may delay or otherwise adversely affect the implementation of the Merger, to minimize the costs, risks and uncertainties inherent in litigation, and without admitting any liability or wrongdoing, Shutterstock determined to voluntarily supplement the Proxy Statement as described in the Current Report on Form 8-K filed with the SEC on May 30, 2025, to provide additional information to Shutterstock stockholders. Nothing in said Current Report on Form 8-K shall be deemed an admission of the legal necessity or materiality under applicable law of any of the disclosures set forth therein or in the Proxy Statement. To the contrary, Shutterstock denies all allegations in the Matters that any additional disclosure was or is required.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received a Civil Investigative Demand (a “CID”) from the Federal Trade Commission (the “FTC”) regarding its investigation into the Company’s disclosure and subscription enrollment and cancellation practices under Section 5 of the Federal Trade Commission Act (“FTC Act”) and the Restore Online Shoppers’ Confidence Act (“ROSCA”). The Company has cooperated throughout the investigation, and in January 2026 the FTC entered into discussions with management to resolve this matter. On May 13, 2026, the FTC filed a civil complaint in the United States District Court for the Southern District of New York (the “Court”) against the Company alleging violations of Section 5 of the FTC Act and the ROSCA. Also on May 13, 2026, the parties reached an agreement in principle to settle the matter and the parties filed a stipulated order for permanent injunction, monetary judgment and other relief with the Court (the “Settlement Agreement”). Pursuant to the Settlement Agreement, the Company paid $35 million to the FTC from cash on hand in June 2026 and the Company also agreed to provide additional disclosure regarding, and implement certain changes to, its subscription enrollment and cancellation practices. Accordingly, the Company recorded legal settlement expenses of $33 million in the first half of 2026. The Company had accrued a $2 million legal contingency as of December 31, 2025.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 xml:space="preserve">Customer Indemnifications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three months ended June 30, 2026, the Company made no material payments for losses on customer indemnification claims and recorded no liabilities related to indemnification for loss contingencies, before considering any insurance recoveries.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Employment Agreements and Indemnification Agreements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2025 Form 10-K.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and the “Risk Factors” disclosures contained in our 2025 Form 10-K for additional discussion of the risks and uncertainties that could cause our actual results to differ materially from those expressed or implied in our forward-looking statements.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Merger Agreement with Getty Images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6, 2025, we entered into an Agreement and Plan of Merger (the “Merger Agreement”) to combine in a merger-of-equals transaction with Getty Images Holdings, Inc. (NYSE:GETY) (“Getty Images”) (such transaction referred to herein as the “Merger”).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30, 2026, Getty Images filed an 8-K announcing that its Board of Directors unanimously resolved to terminate the Merger Agreement.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 and Recent Developments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Shutterstock, Inc. (referred to herein as the “Company”, “we,” “our,” and “us”) is a leading global creative platform connecting brands and businesses to high quality content.</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Content Offering</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Content offering includes licenses for: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Images - consisting of photographs, vectors and illustrations. Images are typically used in visual communications, such as websites, digital and print marketing materials, corporate communications, books, publications and other similar uses.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Footage - consisting of video clips, premium footage filmed by industry experts and cinema grade video effects, available in HD and 4K formats. Footage is often integrated into websites, social media, marketing campaigns and cinematic productions.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Music - consisting of high-quality music tracks and sound effects, which are often used to complement images and footage.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3 Dimensional (“3D”) Models - consisting of 3D models available in a variety of formats, used in a variety of industries such as advertising, media and video production, gaming, retail, education, design and architecture.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Generative AI Content - consisting of images generated from algorithms trained with high-quality, ethically sourced content. Customers can generate images by entering a description of their desired content into model prompts.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Content is distributed to customers under the following brands: Shutterstock; Pond5; TurboSquid; PicMonkey; PremiumBeat; Splash News; Bigstock; and Envato. Shutterstock, our flagship brand, includes various content types such as image, footage, music and editorial.</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Envato enhances digital creative assets and templates.</w:t>
      </w:r>
    </w:p>
    <w:p>
      <w:pPr>
        <w:pStyle w:val="TextBody"/>
        <w:bidi w:val="0"/>
        <w:spacing w:before="0" w:after="0"/>
        <w:ind w:left="0" w:right="0" w:firstLine="45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Data, Distribution, and Services Offering:</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for the three and six months ended June 30, 2025, which was acquired in July 22, 2024.</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Subscribers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Subscriber Revenue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subscriber revenue as the revenue generated from subscribers during the period. We believe subscriber revenue, together with our number of subscribers, provide insight into the portion of our business driven by our monthly recurring products.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Average Revenue Per Customer</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Paid Downloads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key operating metrics, which are unaudited, for the three and six months ended June 30, 2026 and 2025:</w:t>
      </w:r>
    </w:p>
    <w:tbl>
      <w:tblPr>
        <w:tblW w:w="8516" w:type="dxa"/>
        <w:jc w:val="left"/>
        <w:tblInd w:w="0" w:type="dxa"/>
        <w:tblLayout w:type="fixed"/>
        <w:tblCellMar>
          <w:top w:w="28" w:type="dxa"/>
          <w:left w:w="28" w:type="dxa"/>
          <w:bottom w:w="28" w:type="dxa"/>
          <w:right w:w="28" w:type="dxa"/>
        </w:tblCellMar>
      </w:tblPr>
      <w:tblGrid>
        <w:gridCol w:w="1385"/>
        <w:gridCol w:w="1217"/>
        <w:gridCol w:w="1222"/>
        <w:gridCol w:w="217"/>
        <w:gridCol w:w="519"/>
        <w:gridCol w:w="109"/>
        <w:gridCol w:w="109"/>
        <w:gridCol w:w="109"/>
        <w:gridCol w:w="109"/>
        <w:gridCol w:w="227"/>
        <w:gridCol w:w="644"/>
        <w:gridCol w:w="109"/>
        <w:gridCol w:w="109"/>
        <w:gridCol w:w="109"/>
        <w:gridCol w:w="109"/>
        <w:gridCol w:w="196"/>
        <w:gridCol w:w="556"/>
        <w:gridCol w:w="109"/>
        <w:gridCol w:w="109"/>
        <w:gridCol w:w="109"/>
        <w:gridCol w:w="109"/>
        <w:gridCol w:w="227"/>
        <w:gridCol w:w="644"/>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847" w:type="dxa"/>
            <w:gridSpan w:val="18"/>
            <w:tcBorders/>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Subscribers (end of period)</w:t>
            </w:r>
            <w:r>
              <w:rPr>
                <w:rFonts w:ascii="Times New Roman;serif" w:hAnsi="Times New Roman;serif"/>
                <w:b w:val="false"/>
                <w:color w:val="000000"/>
                <w:sz w:val="12"/>
              </w:rPr>
              <w:t>1</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Subscriber revenue (in millions)</w:t>
            </w:r>
            <w:r>
              <w:rPr>
                <w:rFonts w:ascii="Times New Roman;serif" w:hAnsi="Times New Roman;serif"/>
                <w:b w:val="false"/>
                <w:color w:val="000000"/>
                <w:sz w:val="12"/>
              </w:rPr>
              <w:t>1</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revenue per customer (last twelve months)</w:t>
            </w:r>
            <w:r>
              <w:rPr>
                <w:rFonts w:ascii="Times New Roman;serif" w:hAnsi="Times New Roman;serif"/>
                <w:b w:val="false"/>
                <w:color w:val="000000"/>
                <w:sz w:val="12"/>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 downloads (in millions)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4"/>
        </w:rPr>
      </w:pPr>
      <w:r>
        <w:rPr>
          <w:rFonts w:ascii="Times New Roman;serif" w:hAnsi="Times New Roman;serif"/>
          <w:b w:val="false"/>
          <w:color w:val="000000"/>
          <w:sz w:val="14"/>
        </w:rPr>
        <w:t>________________________</w:t>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which was acquired in July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description of our critical accounting policies that involve significant management judgments appears in our 2025 Form 10-K, under “Management’s Discussion and Analysis of Financial Condition and Results of Operations—Critical Accounting Estimates.”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See Note 3 to our Unaudited Consolidated Financial Statements included in Part I, Item 1 of this Quarterly Report on Form 10-Q for a full description of the impact of the adoption of any new accounting standards on our financial statements. There have been no material changes to our critical accounting estimates as compared to our critical accounting policies and estimates included in our 2025 Form 10-K.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0" w:after="0"/>
        <w:ind w:left="0" w:right="0" w:firstLine="450"/>
        <w:jc w:val="left"/>
        <w:rPr/>
      </w:pPr>
      <w:r>
        <w:rPr/>
      </w:r>
    </w:p>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Key Components of Our Results of Operations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distribute our product offerings through two primary channels: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Content:</w:t>
      </w:r>
      <w:r>
        <w:rPr>
          <w:color w:val="000000"/>
        </w:rPr>
        <w:t xml:space="preserve"> </w:t>
      </w:r>
      <w:r>
        <w:rPr>
          <w:rFonts w:ascii="Times New Roman;serif" w:hAnsi="Times New Roman;serif"/>
          <w:b w:val="false"/>
          <w:color w:val="000000"/>
          <w:sz w:val="20"/>
        </w:rPr>
        <w:t xml:space="preserve">The majority of our customers license image, video, music and 3D content for commercial purposes either directly through our self-service web 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Data, Distribution, and Services:</w:t>
      </w:r>
      <w:r>
        <w:rPr>
          <w:color w:val="000000"/>
        </w:rPr>
        <w:t xml:space="preserve"> </w:t>
      </w:r>
      <w:r>
        <w:rPr>
          <w:rFonts w:ascii="Times New Roman;serif" w:hAnsi="Times New Roman;serif"/>
          <w:b w:val="false"/>
          <w:color w:val="000000"/>
          <w:sz w:val="20"/>
        </w:rPr>
        <w:t xml:space="preserve">Our Data, Distribution, and Services offering addresses customer demand for products and services that are beyond our stock image, footage music and 3D model licenses. We have seen increased demand for access to our metadata for machine learning and generative artificial intelligence model training. We offer ethically sourced and licenseable metadata at unique scales and quality. Our metadata customer base ranges from large technology and media companies to smaller start-up organizations.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revenues by distribution channel for the three and six months ended June 30, 2026 and 2025 are as follows (in thousands):</w:t>
      </w:r>
    </w:p>
    <w:tbl>
      <w:tblPr>
        <w:tblW w:w="8629" w:type="dxa"/>
        <w:jc w:val="left"/>
        <w:tblInd w:w="0" w:type="dxa"/>
        <w:tblLayout w:type="fixed"/>
        <w:tblCellMar>
          <w:top w:w="28" w:type="dxa"/>
          <w:left w:w="28" w:type="dxa"/>
          <w:bottom w:w="28" w:type="dxa"/>
          <w:right w:w="28" w:type="dxa"/>
        </w:tblCellMar>
      </w:tblPr>
      <w:tblGrid>
        <w:gridCol w:w="860"/>
        <w:gridCol w:w="754"/>
        <w:gridCol w:w="771"/>
        <w:gridCol w:w="196"/>
        <w:gridCol w:w="736"/>
        <w:gridCol w:w="109"/>
        <w:gridCol w:w="178"/>
        <w:gridCol w:w="178"/>
        <w:gridCol w:w="180"/>
        <w:gridCol w:w="196"/>
        <w:gridCol w:w="736"/>
        <w:gridCol w:w="109"/>
        <w:gridCol w:w="178"/>
        <w:gridCol w:w="178"/>
        <w:gridCol w:w="180"/>
        <w:gridCol w:w="196"/>
        <w:gridCol w:w="736"/>
        <w:gridCol w:w="109"/>
        <w:gridCol w:w="178"/>
        <w:gridCol w:w="178"/>
        <w:gridCol w:w="180"/>
        <w:gridCol w:w="196"/>
        <w:gridCol w:w="736"/>
        <w:gridCol w:w="581"/>
      </w:tblGrid>
      <w:tr>
        <w:trPr/>
        <w:tc>
          <w:tcPr>
            <w:tcW w:w="8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6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45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c>
          <w:tcPr>
            <w:tcW w:w="536"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2026</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402,684 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Distribution,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106,926 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 xml:space="preserve">Cost of Revenue. </w:t>
      </w:r>
      <w:r>
        <w:rPr>
          <w:rFonts w:ascii="Times New Roman;serif" w:hAnsi="Times New Roman;serif"/>
          <w:b w:val="false"/>
          <w:color w:val="000000"/>
          <w:sz w:val="20"/>
        </w:rPr>
        <w:t xml:space="preserve">Cost of revenue consists of royalties paid to contributors, credit card processing fees, content review costs, customer service expenses, 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 </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 xml:space="preserve">Sales and marketing expenses include third-party marketing, advertising, branding, public relations and sales expenses. Sales and marketing expenses also include associated employee compensation, including non-cash equity-based compensation, bonuses and benefits, and commissions as well as allocated facility and other supporting overhead costs. </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 xml:space="preserve">Product Development. </w:t>
      </w:r>
      <w:r>
        <w:rPr>
          <w:rFonts w:ascii="Times New Roman;serif" w:hAnsi="Times New Roman;serif"/>
          <w:b w:val="false"/>
          <w:color w:val="000000"/>
          <w:sz w:val="20"/>
        </w:rPr>
        <w:t xml:space="preserve">Product development expenses consist of employee compensation, including non-cash equity-based compensation, bonuses and benefits, and expenses related to vendors engaged in product management, design, development and testing of our websites and products. Product development costs also include software and other IT equipment costs, allocated facility expenses and other supporting overhead costs. </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 xml:space="preserve">General and administrative expenses include employee compensation, including non-cash equity-based compensation, bonuses and benefits for executive, finance, accounting, legal, human resources, internal information technology, internet security, business intelligence and other administrative personnel. In addition, general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administrative expenses include outside legal, tax and accounting services, bad debt expense, insurance, facilities costs, other supporting overhead costs and depreciation and amortization expense. </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Interest expense consists of interest on our debt and amortization of deferred financing fees.</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 xml:space="preserve">Other (Expense) / Income, Net. </w:t>
      </w:r>
      <w:r>
        <w:rPr>
          <w:rFonts w:ascii="Times New Roman;serif" w:hAnsi="Times New Roman;serif"/>
          <w:b w:val="false"/>
          <w:color w:val="000000"/>
          <w:sz w:val="20"/>
        </w:rPr>
        <w:t xml:space="preserve">Other (expense) / income, net consists of non-operating costs such as foreign currency transaction gains and losses, in addition to unrealized gains and losses on investments and interest income and expense. </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Income Taxes</w:t>
      </w:r>
      <w:r>
        <w:rPr>
          <w:rFonts w:ascii="Times New Roman;serif" w:hAnsi="Times New Roman;serif"/>
          <w:b w:val="false"/>
          <w:color w:val="000000"/>
          <w:sz w:val="20"/>
        </w:rPr>
        <w:t xml:space="preserve">. We compute income taxes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 </w:t>
      </w:r>
    </w:p>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 The period-to-period comparisons of results are not necessarily indicative of results for future periods.</w:t>
      </w:r>
    </w:p>
    <w:tbl>
      <w:tblPr>
        <w:tblW w:w="8534" w:type="dxa"/>
        <w:jc w:val="left"/>
        <w:tblInd w:w="0" w:type="dxa"/>
        <w:tblLayout w:type="fixed"/>
        <w:tblCellMar>
          <w:top w:w="28" w:type="dxa"/>
          <w:left w:w="28" w:type="dxa"/>
          <w:bottom w:w="28" w:type="dxa"/>
          <w:right w:w="28" w:type="dxa"/>
        </w:tblCellMar>
      </w:tblPr>
      <w:tblGrid>
        <w:gridCol w:w="1156"/>
        <w:gridCol w:w="1016"/>
        <w:gridCol w:w="1022"/>
        <w:gridCol w:w="196"/>
        <w:gridCol w:w="811"/>
        <w:gridCol w:w="109"/>
        <w:gridCol w:w="109"/>
        <w:gridCol w:w="109"/>
        <w:gridCol w:w="109"/>
        <w:gridCol w:w="196"/>
        <w:gridCol w:w="736"/>
        <w:gridCol w:w="109"/>
        <w:gridCol w:w="109"/>
        <w:gridCol w:w="109"/>
        <w:gridCol w:w="109"/>
        <w:gridCol w:w="196"/>
        <w:gridCol w:w="811"/>
        <w:gridCol w:w="109"/>
        <w:gridCol w:w="109"/>
        <w:gridCol w:w="109"/>
        <w:gridCol w:w="109"/>
        <w:gridCol w:w="196"/>
        <w:gridCol w:w="73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before income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 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results of operations for the periods indicated as a percentage of revenue:</w:t>
      </w:r>
    </w:p>
    <w:tbl>
      <w:tblPr>
        <w:tblW w:w="8106" w:type="dxa"/>
        <w:jc w:val="left"/>
        <w:tblInd w:w="0" w:type="dxa"/>
        <w:tblLayout w:type="fixed"/>
        <w:tblCellMar>
          <w:top w:w="28" w:type="dxa"/>
          <w:left w:w="28" w:type="dxa"/>
          <w:bottom w:w="28" w:type="dxa"/>
          <w:right w:w="28" w:type="dxa"/>
        </w:tblCellMar>
      </w:tblPr>
      <w:tblGrid>
        <w:gridCol w:w="1156"/>
        <w:gridCol w:w="1016"/>
        <w:gridCol w:w="1022"/>
        <w:gridCol w:w="210"/>
        <w:gridCol w:w="211"/>
        <w:gridCol w:w="454"/>
        <w:gridCol w:w="193"/>
        <w:gridCol w:w="193"/>
        <w:gridCol w:w="193"/>
        <w:gridCol w:w="210"/>
        <w:gridCol w:w="211"/>
        <w:gridCol w:w="454"/>
        <w:gridCol w:w="109"/>
        <w:gridCol w:w="109"/>
        <w:gridCol w:w="109"/>
        <w:gridCol w:w="210"/>
        <w:gridCol w:w="211"/>
        <w:gridCol w:w="410"/>
        <w:gridCol w:w="174"/>
        <w:gridCol w:w="174"/>
        <w:gridCol w:w="174"/>
        <w:gridCol w:w="210"/>
        <w:gridCol w:w="211"/>
        <w:gridCol w:w="482"/>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w:t>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from operations</w:t>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4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 income, net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before income taxes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 (provision) for income taxes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120"/>
        <w:ind w:left="0" w:right="0" w:firstLine="450"/>
        <w:jc w:val="left"/>
        <w:rPr>
          <w:rFonts w:ascii="Times New Roman;serif" w:hAnsi="Times New Roman;serif"/>
          <w:b w:val="false"/>
          <w:color w:val="000000"/>
          <w:sz w:val="16"/>
        </w:rPr>
      </w:pPr>
      <w:r>
        <w:rPr>
          <w:rFonts w:ascii="Times New Roman;serif" w:hAnsi="Times New Roman;serif"/>
          <w:b w:val="false"/>
          <w:color w:val="000000"/>
          <w:sz w:val="16"/>
        </w:rPr>
        <w:t xml:space="preserve">Note: Due to rounding, percentages may not sum to totals.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 (in thousands):</w:t>
      </w:r>
    </w:p>
    <w:tbl>
      <w:tblPr>
        <w:tblW w:w="8476" w:type="dxa"/>
        <w:jc w:val="left"/>
        <w:tblInd w:w="0" w:type="dxa"/>
        <w:tblLayout w:type="fixed"/>
        <w:tblCellMar>
          <w:top w:w="28" w:type="dxa"/>
          <w:left w:w="28" w:type="dxa"/>
          <w:bottom w:w="28" w:type="dxa"/>
          <w:right w:w="28" w:type="dxa"/>
        </w:tblCellMar>
      </w:tblPr>
      <w:tblGrid>
        <w:gridCol w:w="1156"/>
        <w:gridCol w:w="1016"/>
        <w:gridCol w:w="1022"/>
        <w:gridCol w:w="196"/>
        <w:gridCol w:w="811"/>
        <w:gridCol w:w="109"/>
        <w:gridCol w:w="109"/>
        <w:gridCol w:w="109"/>
        <w:gridCol w:w="109"/>
        <w:gridCol w:w="196"/>
        <w:gridCol w:w="736"/>
        <w:gridCol w:w="109"/>
        <w:gridCol w:w="109"/>
        <w:gridCol w:w="109"/>
        <w:gridCol w:w="109"/>
        <w:gridCol w:w="196"/>
        <w:gridCol w:w="811"/>
        <w:gridCol w:w="109"/>
        <w:gridCol w:w="109"/>
        <w:gridCol w:w="109"/>
        <w:gridCol w:w="109"/>
        <w:gridCol w:w="248"/>
        <w:gridCol w:w="248"/>
        <w:gridCol w:w="532"/>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98" w:type="dxa"/>
            <w:gridSpan w:val="12"/>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 Income before income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 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120"/>
        <w:ind w:left="0" w:right="0" w:firstLine="450"/>
        <w:jc w:val="left"/>
        <w:rPr>
          <w:rFonts w:ascii="Times New Roman;serif" w:hAnsi="Times New Roman;serif"/>
          <w:b w:val="false"/>
          <w:color w:val="000000"/>
          <w:sz w:val="16"/>
        </w:rPr>
      </w:pPr>
      <w:r>
        <w:rPr>
          <w:rFonts w:ascii="Times New Roman;serif" w:hAnsi="Times New Roman;serif"/>
          <w:b w:val="false"/>
          <w:color w:val="000000"/>
          <w:sz w:val="16"/>
        </w:rPr>
        <w:t xml:space="preserve">Note: Due to rounding, percentages may not sum to totals.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decreased by $45.2 million, or 17%, to $221.8 million for the three months ended June 30, 2026, compared to the same period in 2025. On a constant currency basis, revenue decreased by 17% in the three months ended June 30, 2026, compared to the same period in 2025.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Content revenues decreased by 17%, to $165.7 million in the three months ended June 30, 2026, compared to the same period in 2025. On a constant currency basis, content revenue decreased by 16% in the three months ended June 30, 2026, compared to the same period in 2025. During the three months ended June 30, 2026, the reduction in our Content revenue was driven primarily by weakness in new customer acquisition.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Data, Distribution, and Services revenues decreased by 16%, to $56.1 million in the three months ended June 30, 2026, compared to the same period in 2025. On a constant currency basis, Data, Distribution, and Services revenues decreased by 19% in the three months ended June 30, 2026, compared to the same period in 2025. The decrease in Data, Distribution, and Services revenues was primarily driven by a decline in our data offering, which decreased by 11% in the three months ended June 30, 2026 compared to the same period in 2025. Revenue recognition in our data offering may vary from quarter-to-quarter based on the delivery timing of metadata licenses.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revenue by region were as follows: revenue from North America decreased by $29.8 million, or 20%, to $118.1 million, revenue from Europe decreased by $5.2 million, or 8%, to $59.2 million and revenue from outside Europe and North America decreased by $10.2 million, or 19%, to $44.5 million, in the three months ended June 30, 2026 compared to the same period in 2025.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Cost of revenue decreased by $12.2 million to $93.8 million in the three months ended June 30, 2026 compared to the same period in 2025. This decrease is primarily due to lower royalty expenses as a result of the decline in revenue for the quarter. As a percentage of revenue, cost of revenue increased to 42% for the three months ended June 30, 2026, from 40% for the same period in 2025, and this increase related to AI token usage fees and website hosting costs which do not fluctuate with revenue. We expect that our cost of revenue will continue to fluctuate in-line with changes in revenue.</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 xml:space="preserve">Sales and marketing expenses decreased by $9.1 million, or 16%, to $48.0 million in the three months ended June 30, 2026 compared to the same period in 2025. This was driven by a decrease in brand and performance-based marketing expenses. As a percentage of revenue, sales and marketing expenses increased to 22%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June 30, 2026, from 21% for the same period in 2025. We expect sales and marketing expenses to continue to fluctuate as we optimize our sales channels and invest in new customer acquisition, products and geographies.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Product Development</w:t>
      </w:r>
      <w:r>
        <w:rPr>
          <w:rFonts w:ascii="Times New Roman;serif" w:hAnsi="Times New Roman;serif"/>
          <w:b w:val="false"/>
          <w:color w:val="000000"/>
          <w:sz w:val="20"/>
        </w:rPr>
        <w:t xml:space="preserve">. Product development expenses decreased by $3.2 million to $17.6 million in the three months ended June 30, 2026 compared to the same period in 2025. The decrease in product development was driven by a decrease in employee-related costs and decreases in software licenses and third-party contractor related costs, net of capitalized labor. We expect product development expenses, of which a portion will be capitalized, to continue in the foreseeable future, as we pursue opportunities to invest in developing new products and internal tools and enhance the functionality of our existing products and technologies. </w:t>
      </w:r>
    </w:p>
    <w:p>
      <w:pPr>
        <w:pStyle w:val="TextBody"/>
        <w:bidi w:val="0"/>
        <w:spacing w:lineRule="auto" w:line="288" w:before="0" w:after="60"/>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expenses decreased by $4.5 million, to $43.9 million, in the three months ended June 30, 2026 compared to the same period in 2025. The decrease was driven by decreases in employee-related costs, offset by $3.7 million of expenses associated with the Merger.</w:t>
      </w:r>
    </w:p>
    <w:p>
      <w:pPr>
        <w:pStyle w:val="TextBody"/>
        <w:bidi w:val="0"/>
        <w:spacing w:lineRule="auto" w:line="288" w:before="0" w:after="60"/>
        <w:ind w:left="0" w:right="0" w:firstLine="450"/>
        <w:jc w:val="left"/>
        <w:rPr/>
      </w:pPr>
      <w:r>
        <w:rPr>
          <w:rFonts w:ascii="Times New Roman;serif" w:hAnsi="Times New Roman;serif"/>
          <w:b w:val="false"/>
          <w:i/>
          <w:color w:val="000000"/>
          <w:sz w:val="20"/>
        </w:rPr>
        <w:t xml:space="preserve">Goodwill Impairment. </w:t>
      </w:r>
      <w:r>
        <w:rPr>
          <w:rFonts w:ascii="Times New Roman;serif" w:hAnsi="Times New Roman;serif"/>
          <w:b w:val="false"/>
          <w:color w:val="000000"/>
          <w:sz w:val="20"/>
        </w:rPr>
        <w:t xml:space="preserve">As of June 30, 2026, management determined that Getty Image's June 30, 2026 announcement to terminate the Merger Agreement resulted in a triggering event and required the performance of a quantitative goodwill impairment test. The analysis resulted in a goodwill impairment charge of $173.7 million.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Interest Expense</w:t>
      </w:r>
      <w:r>
        <w:rPr>
          <w:rFonts w:ascii="Times New Roman;serif" w:hAnsi="Times New Roman;serif"/>
          <w:b w:val="false"/>
          <w:color w:val="000000"/>
          <w:sz w:val="20"/>
        </w:rPr>
        <w:t>. In the three months ended June 30, 2026 and June 30, 2025, we recognized interest expense of $3.8 million and $4.2 million, respectively, related to our credit facility and the amortization of deferred financing fees. Interest expense for the three months ended June 30, 2026 decreased due to lower interest rates in the three months ended June 30, 2026 as compared to the same period in 2025.</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 xml:space="preserve">Other (Expense) / Income, Net. </w:t>
      </w:r>
      <w:r>
        <w:rPr>
          <w:rFonts w:ascii="Times New Roman;serif" w:hAnsi="Times New Roman;serif"/>
          <w:b w:val="false"/>
          <w:color w:val="000000"/>
          <w:sz w:val="20"/>
        </w:rPr>
        <w:t xml:space="preserve">In the three months ended June 30, 2026, other (expense) / income, net was driven by $3.0 million of unrealized losses related to our investment in Meitu, Inc. In addition, other income, net had $0.5 million of interest income and $0.6 million of unrealized foreign currency losses. In the three months ended June 30, 2025, other income, net was primarily driven by $18.0 million of unrealized gains related to our investment in Meitu, Inc. In addition, other income, net had $1.1 million of interest income and $1.5 million of unrealized foreign currency gains. As we increase the volume of business transacted in foreign currencies resulting from international expansion and as currency rates fluctuate, we expect foreign currency gains and losses to continue to fluctuate.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Income Taxes</w:t>
      </w:r>
      <w:r>
        <w:rPr>
          <w:rFonts w:ascii="Times New Roman;serif" w:hAnsi="Times New Roman;serif"/>
          <w:b w:val="false"/>
          <w:color w:val="000000"/>
          <w:sz w:val="20"/>
        </w:rPr>
        <w:t>. The income tax expense decreased by $18.7 million for the three months ended June 30, 2026, compared to the same period in 2025. Our effective tax rates were a net benefit of 3.1% and an expense of 31.7% for the three months ended June 30, 2026 and 2025, respectively.</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net effect of discrete items decreased the effective tax rate by 45.3%. The discrete items for the three months ended June 30, 2026 primarily relate to the book goodwill impairment which is non-deductible for tax purposes, partially offset by shortfalls on equity award vestings. Excluding discrete items, our effective tax rate would have been 48.4% for the three months ended June 30, 2026.</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the net effect of discrete items increased the effective tax rate by 2.3%. The discrete items for the three months ended June 30, 2025 primarily relate to shortfalls on equity award vestings, partially offset by a decrease in valuation allowance. Excluding discrete items, our effective tax rate would have been 29.4% for the three months ended June 30, 2025.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continue to expand our operations outside of the United States, we have been and may continue to become subject to taxation in additional non-U.S. jurisdictions and our effective tax rate could fluctuate accordingly.</w:t>
      </w:r>
    </w:p>
    <w:p>
      <w:pPr>
        <w:pStyle w:val="TextBody"/>
        <w:bidi w:val="0"/>
        <w:spacing w:before="16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8896" w:type="dxa"/>
        <w:jc w:val="left"/>
        <w:tblInd w:w="0" w:type="dxa"/>
        <w:tblLayout w:type="fixed"/>
        <w:tblCellMar>
          <w:top w:w="28" w:type="dxa"/>
          <w:left w:w="28" w:type="dxa"/>
          <w:bottom w:w="28" w:type="dxa"/>
          <w:right w:w="28" w:type="dxa"/>
        </w:tblCellMar>
      </w:tblPr>
      <w:tblGrid>
        <w:gridCol w:w="1308"/>
        <w:gridCol w:w="1150"/>
        <w:gridCol w:w="1156"/>
        <w:gridCol w:w="196"/>
        <w:gridCol w:w="811"/>
        <w:gridCol w:w="109"/>
        <w:gridCol w:w="109"/>
        <w:gridCol w:w="109"/>
        <w:gridCol w:w="109"/>
        <w:gridCol w:w="196"/>
        <w:gridCol w:w="736"/>
        <w:gridCol w:w="109"/>
        <w:gridCol w:w="109"/>
        <w:gridCol w:w="109"/>
        <w:gridCol w:w="109"/>
        <w:gridCol w:w="196"/>
        <w:gridCol w:w="811"/>
        <w:gridCol w:w="109"/>
        <w:gridCol w:w="109"/>
        <w:gridCol w:w="109"/>
        <w:gridCol w:w="109"/>
        <w:gridCol w:w="248"/>
        <w:gridCol w:w="248"/>
        <w:gridCol w:w="532"/>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Data:</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 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20"/>
        <w:ind w:left="0" w:right="0" w:firstLine="450"/>
        <w:jc w:val="left"/>
        <w:rPr/>
      </w:pPr>
      <w:r>
        <w:rPr/>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ind w:left="0" w:right="0" w:firstLine="450"/>
        <w:jc w:val="left"/>
        <w:rPr/>
      </w:pPr>
      <w:r>
        <w:rPr>
          <w:rFonts w:ascii="Times New Roman;serif" w:hAnsi="Times New Roman;serif"/>
          <w:b w:val="false"/>
          <w:color w:val="000000"/>
          <w:sz w:val="20"/>
        </w:rPr>
        <w:t>Revenue decreased by $88.6 million, or 17%, to $421.0 million in the six months ended June 30, 2026, compared to the same period in 2025. On a constant currency basis, revenue decreased by 18% in the six months ended June 30, 2026, compared to the same period in 2025.</w:t>
      </w:r>
      <w:r>
        <w:rPr>
          <w:color w:val="EE2724"/>
        </w:rPr>
        <w:t xml:space="preserve"> </w:t>
      </w:r>
    </w:p>
    <w:p>
      <w:pPr>
        <w:pStyle w:val="TextBody"/>
        <w:bidi w:val="0"/>
        <w:spacing w:lineRule="auto" w:line="288" w:before="16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Content revenues decreased by 15%, to $343.8 million in the six months ended June 30, 2026, compared to the same period in 2025. On a constant currency basis, content revenue decreased by 15% in the six months ended June 30, 2026, compared to the same period in 2025. During the six months ended June 30, 2026, the reduction in our Content revenue was driven primarily by weakness in new customer acquisition.</w:t>
      </w:r>
    </w:p>
    <w:p>
      <w:pPr>
        <w:pStyle w:val="TextBody"/>
        <w:bidi w:val="0"/>
        <w:spacing w:lineRule="auto" w:line="288" w:before="16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Data, Distribution, and Services revenues decreased by 28%, to $77.2 million in the six months ended June 30, 2026, compared to the same period in 2025. Foreign currency fluctuations did not have a significant impact on our Data, Distribution, and Services revenues in the six months ended June 30, 2026. The decrease in Data, Distribution, and Services revenues was primarily driven by a decline in our data offering, which decreased by 26% in the six months ended June 30, 2026 compared to the same period in 2025. Revenue recognition in our data offering may vary from quarter-to-quarter based on the delivery timing of metadata licenses.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revenue by region were as follows: revenue from North America decreased by $60.9 million, or 23%, to $207.2 million, revenue from Europe decreased by $8.7 million, or 7%, to $121.9 million and revenue from outside Europe and North America decreased by $19.0 million, or 17%, to $91.9 million, in the six months ended June 30, 2026, compared to the same period in 2025.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 xml:space="preserve">Cost of revenue decreased by $18.3 million, or 9%, to $188.6 million in the six months ended June 30, 2026 compared to the same period in 2025. This decrease was driven by decreased royalty and content costs, costs associated with website hosting, hardware and software licenses, and employee related costs, Giphy Retention Compensation expenses, and depreciation and amortization driven by the acquisition of Envato. As a percent of revenue, cost of revenue increased to 45% for the six months ended June 30, 2026, from 41% for the same period in 2025. We expect that our cost of revenue will continue to fluctuate in line with changes in revenue.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 xml:space="preserve">Sales and marketing expenses decreased by $14.1 million, or 13%, to $96.4 million in the six months ended June 30, 2026 compared to the same period in 2025. This decrease was driven by a decrease in brand and performance-based marketing expenses. As a percentage of revenue, sales and marketing expenses increased to 23% for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months ended June 30, 2026, from 22% for the same period in 2025. We expect sales and marketing expenses to continue to fluctuate as we optimize our sales channels and invest in new customer acquisition, products and geographies.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Product Development.</w:t>
      </w:r>
      <w:r>
        <w:rPr>
          <w:color w:val="000000"/>
        </w:rPr>
        <w:t xml:space="preserve"> </w:t>
      </w:r>
      <w:r>
        <w:rPr>
          <w:rFonts w:ascii="Times New Roman;serif" w:hAnsi="Times New Roman;serif"/>
          <w:b w:val="false"/>
          <w:color w:val="000000"/>
          <w:sz w:val="20"/>
        </w:rPr>
        <w:t xml:space="preserve">Product development expenses decreased by $3.6 million, or 9%, to $37.0 million in the six months ended June 30, 2026 as compared to the same period in 2025. The decrease in product development was driven by a decrease in employee-related costs and decreases in software licenses and third-party contractor related costs, net of capitalized labor. We expect product development expenses, of which a portion will be capitalized, to continue in the foreseeable future, as we pursue opportunities to invest in developing new products and internal tools and enhance the functionality of our existing products and technologies.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General and administrative expenses increased by $4.8 million, or 4%, to $111.5 million in the six months ended June 30, 2026 compared to the same period in 2025. The increase was driven by $6.5 million of expenses associated with the Merger, increases in legal contingencies of $33.0 million (see “Note 15 — Commitments and Contingencies — Legal Matters” for more information), offset by decreases in employee-related costs. </w:t>
      </w:r>
    </w:p>
    <w:p>
      <w:pPr>
        <w:pStyle w:val="TextBody"/>
        <w:bidi w:val="0"/>
        <w:spacing w:lineRule="auto" w:line="288" w:before="0" w:after="60"/>
        <w:ind w:left="0" w:right="0" w:firstLine="450"/>
        <w:jc w:val="left"/>
        <w:rPr/>
      </w:pPr>
      <w:r>
        <w:rPr>
          <w:rFonts w:ascii="Times New Roman;serif" w:hAnsi="Times New Roman;serif"/>
          <w:b w:val="false"/>
          <w:i/>
          <w:color w:val="000000"/>
          <w:sz w:val="20"/>
        </w:rPr>
        <w:t xml:space="preserve">Goodwill Impairment. </w:t>
      </w:r>
      <w:r>
        <w:rPr>
          <w:rFonts w:ascii="Times New Roman;serif" w:hAnsi="Times New Roman;serif"/>
          <w:b w:val="false"/>
          <w:color w:val="000000"/>
          <w:sz w:val="20"/>
        </w:rPr>
        <w:t xml:space="preserve">As of June 30, 2026, management determined that Getty Image's June 30, 2026 announcement to terminate the Merger Agreement resulted in a triggering event and required the performance of a quantitative goodwill impairment test. The analysis resulting in a goodwill impairment charge of $173.7 million.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Interest Expense</w:t>
      </w:r>
      <w:r>
        <w:rPr>
          <w:rFonts w:ascii="Times New Roman;serif" w:hAnsi="Times New Roman;serif"/>
          <w:b w:val="false"/>
          <w:color w:val="000000"/>
          <w:sz w:val="20"/>
        </w:rPr>
        <w:t xml:space="preserve">. In the six months ended June 30, 2026 and June 30, 2025, we recognized interest expense of $7.6 million and $8.5 million, respectively related to our credit facility and the amortization of deferred financing fees. Interest expense for the six months ended June 30, 2026 decreased due to lower interest rates in the six months ended June 30, 2026 as compared to the same period in 2025.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 xml:space="preserve">Other (Expense) / Income, Net. </w:t>
      </w:r>
      <w:r>
        <w:rPr>
          <w:rFonts w:ascii="Times New Roman;serif" w:hAnsi="Times New Roman;serif"/>
          <w:b w:val="false"/>
          <w:color w:val="000000"/>
          <w:sz w:val="20"/>
        </w:rPr>
        <w:t>In the six months ended June 30, 2026, other (expense) / income decreased by $43.7 million, or 161%, to ($16.5 million). In the six months ended June 30, 2026, other (expense) / income, net was driven by $18.3 million of unrealized losses related to our investment in Meitu, Inc.</w:t>
      </w:r>
      <w:r>
        <w:rPr>
          <w:color w:val="000000"/>
        </w:rPr>
        <w:t xml:space="preserve"> </w:t>
      </w:r>
      <w:r>
        <w:rPr>
          <w:rFonts w:ascii="Times New Roman;serif" w:hAnsi="Times New Roman;serif"/>
          <w:b w:val="false"/>
          <w:color w:val="000000"/>
          <w:sz w:val="20"/>
        </w:rPr>
        <w:t>In addition, other income, net had $1.3 million of interest income and $0.5 million of unrealized foreign currency losses.</w:t>
      </w:r>
      <w:r>
        <w:rPr>
          <w:color w:val="000000"/>
        </w:rPr>
        <w:t xml:space="preserve"> </w:t>
      </w:r>
      <w:r>
        <w:rPr>
          <w:rFonts w:ascii="Times New Roman;serif" w:hAnsi="Times New Roman;serif"/>
          <w:b w:val="false"/>
          <w:color w:val="000000"/>
          <w:sz w:val="20"/>
        </w:rPr>
        <w:t xml:space="preserve">In the six months ended June 30, 2025, other income, net was primarily driven by $31.3 million of unrealized gains related to our investment in Meitu, Inc. In addition, other income, net had $2.0 million of interest income and $1.2 million of unrealized foreign currency gains. As we increase the volume of business transacted in foreign currencies resulting from international expansion and as currency rates fluctuate, we expect foreign currency gains and losses to continue to fluctuate.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Income Taxes</w:t>
      </w:r>
      <w:r>
        <w:rPr>
          <w:rFonts w:ascii="Times New Roman;serif" w:hAnsi="Times New Roman;serif"/>
          <w:b w:val="false"/>
          <w:color w:val="000000"/>
          <w:sz w:val="20"/>
        </w:rPr>
        <w:t>. Income tax expense decreased by $22.2 million for the six months ended June 30, 2026, compared to the same period in 2025. Our effective tax rates were a benefit of 3.2% and an expense of 24.3% for the six months ended June 30, 2026 and 2025, respectively.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net effect of discrete items decreased the effective tax rate by 42.5%. The discrete items for the six months ended June 30, 2026, primarily relate to the book goodwill impairment, which is non-deductible for tax purposes, partially offset by shortfalls on equity award vestings. Excluding discrete items, our effective tax rate would have been 45.7% for the six months ended June 30, 2026.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the net effect of discrete items decreased the effective tax rate by 4.7%. The discrete items for the six months ended June 30, 2025 relate to shortfalls on equity award vestings. Excluding discrete items, our effective tax rate would have been 29.0% for the six months ended June 30, 2025.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our operations outside of the United States, we have been and may continue to become subject to taxation in additional non-U.S. jurisdictions, and our effective tax rate could fluctuate accordingly. </w:t>
      </w:r>
    </w:p>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Quarterly Trends</w:t>
      </w:r>
    </w:p>
    <w:p>
      <w:pPr>
        <w:pStyle w:val="TextBody"/>
        <w:bidi w:val="0"/>
        <w:spacing w:lineRule="auto" w:line="288" w:before="16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w:t>
      </w:r>
    </w:p>
    <w:p>
      <w:pPr>
        <w:pStyle w:val="TextBody"/>
        <w:bidi w:val="0"/>
        <w:spacing w:lineRule="auto" w:line="288" w:before="16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totaling $133.2 million which consisted primarily of bank deposits. Since inception, we have financed our operations primarily through cash flows generated from operations. In addition, if necessary, we have the ability to draw on our A&amp;R Credit Agreement.</w:t>
      </w:r>
    </w:p>
    <w:p>
      <w:pPr>
        <w:pStyle w:val="TextBody"/>
        <w:bidi w:val="0"/>
        <w:spacing w:lineRule="auto" w:line="288" w:before="0" w:after="120"/>
        <w:ind w:left="0" w:right="0" w:firstLine="450"/>
        <w:jc w:val="left"/>
        <w:rPr/>
      </w:pPr>
      <w:r>
        <w:rPr>
          <w:rFonts w:ascii="Times New Roman;serif" w:hAnsi="Times New Roman;serif"/>
          <w:b w:val="false"/>
          <w:color w:val="000000"/>
          <w:sz w:val="20"/>
        </w:rPr>
        <w:t>Historically, our principal uses of cash have included funding our operations, capital expenditures, and content acquisitions. In addition, our capital allocation strategies also include funding business combinations and asset acquisitions that enhance our strategic positio</w:t>
      </w:r>
      <w:r>
        <w:rPr>
          <w:rFonts w:ascii="Times New Roman;serif" w:hAnsi="Times New Roman;serif"/>
          <w:b w:val="false"/>
          <w:color w:val="242424"/>
          <w:sz w:val="20"/>
        </w:rPr>
        <w:t>n, cash dividend payments,</w:t>
      </w:r>
      <w:r>
        <w:rPr>
          <w:color w:val="000000"/>
        </w:rPr>
        <w:t xml:space="preserve"> </w:t>
      </w:r>
      <w:r>
        <w:rPr>
          <w:rFonts w:ascii="Times New Roman;serif" w:hAnsi="Times New Roman;serif"/>
          <w:b w:val="false"/>
          <w:color w:val="000000"/>
          <w:sz w:val="20"/>
        </w:rPr>
        <w:t xml:space="preserve">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declared and paid cash dividends of $0.72 per share of common stock, or $26.0 million during the six months ended June 30, 2026.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2023, our Board of Directors approved a share repurchase program (the “Share Repurchase Program”), providing authorization to repurchase up to $100 million of our common stock.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repurchased approximately 5.5 million shares of our common stock in total since 2015 under the Share repurchase programs (including the 2015 and 2017 Share Repurchase Programs and the 2023 Share Repurchase Program) at an average per-share cost of $48.86. During the three and six months ended June 30, 2026 and 2025, we did not repurchase shares of our common stock. As of June 30, 2026, we had $30.2 million of remaining authorization for repurchases under the Share Repurchase Program.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Credit Facility and A&amp;R Credit Agreement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2022, we entered into a five-year $100 million unsecured revolving loan facility (the “Credit Facility”) with Bank of America, N.A., as Administrative Agent, and other lenders. The Credit Facility includes a letter of credit sub-facility and a swingline facility and also permits, subject to the satisfaction of certain conditions, up to $100 million of additional revolving loan commitments with the consent of the Administrative Agent.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2024, we entered into an amended and restated credit agreement (the “A&amp;R Credit Agreement”), which was entered into among us, as borrower, certain of our direct and indirect subsidiaries as guarantors, the lenders party thereto, and Bank of America, N.A., as Administrative Agent for the lenders. The A&amp;R Credit Agreement provides for a five-year (i) senior unsecured term loan facility (the “Term Loan”) in an aggregate principal amount of $125 million and (ii) senior unsecured revolving credit facility (the “Revolver”) in an aggregate principal amount of $250 million. The A&amp;R Credit Agreement provides for a letter of credit subfacility and a swingline facility.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our option, loans under the A&amp;R Credit Agreement accrue interest at a per annum rate based on either (i) the base rate plus a margin ranging from 0.375% to 0.750%, determined based on our consolidated leverage ratio or (ii) the Term Secured Overnight Financing Rate (“SOFR”) (for interest periods of 1, 3 or 6 months) plus a margin ranging from 1.375% to 1.750%, determined based on our consolidated leverage ratio, plus a credit spread of 0.100%. We are also required to pay an unused commitment fee ranging from 0.175% to 0.250%, determined based on our consolidated leverage ratio. In connection with the execution of this agreement, we paid debt issuance costs of approximately $2.2 million.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 remaining borrowing capacity of $94 million, net of standby letters of credit.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A&amp;R Credit Agreement contains financial covenants and requirements restricting certain of our activities, which are customary for this type of credit facility. We are also required to maintain compliance with a consolidated leverage ratio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interest coverage ratio, in each case, determined in accordance with the terms of the A&amp;R Credit Agreement. As of June 30, 2026, we were in compliance with these covenants.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outstanding debt (in thousands) is reflected in the table below. We classify the Revolver as a current liability since we could draw upon and repay the outstanding amount as needed. The maturity of the Revolver is in 2029.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debt consists of the following (in thousands):</w:t>
      </w:r>
    </w:p>
    <w:tbl>
      <w:tblPr>
        <w:tblW w:w="6580" w:type="dxa"/>
        <w:jc w:val="left"/>
        <w:tblInd w:w="0" w:type="dxa"/>
        <w:tblLayout w:type="fixed"/>
        <w:tblCellMar>
          <w:top w:w="28" w:type="dxa"/>
          <w:left w:w="28" w:type="dxa"/>
          <w:bottom w:w="28" w:type="dxa"/>
          <w:right w:w="28" w:type="dxa"/>
        </w:tblCellMar>
      </w:tblPr>
      <w:tblGrid>
        <w:gridCol w:w="994"/>
        <w:gridCol w:w="873"/>
        <w:gridCol w:w="877"/>
        <w:gridCol w:w="514"/>
        <w:gridCol w:w="514"/>
        <w:gridCol w:w="517"/>
        <w:gridCol w:w="109"/>
        <w:gridCol w:w="109"/>
        <w:gridCol w:w="109"/>
        <w:gridCol w:w="575"/>
        <w:gridCol w:w="575"/>
        <w:gridCol w:w="81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Debt: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 A&amp;R Credit Agreement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 A&amp;R Credit Agreement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Debt:</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 A&amp;R Credit Agreement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115,157 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116,639 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interest expense of $3.8 million and $7.6 million, respectively. As of June 30, 2026, unamortized debt issuance cost related to the Term Loan - A&amp;R Credit Agreement is $0.5 million.</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approximately $99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June 30, 2026, we had approximately $24 million in operating lease obligations with lease payments extending through 2029.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15 to our Unaudited Consolidated Financial Statements included in Part I, Item 1 of this Quarterly Report on Form 10-Q for information regarding our existing capital commitments as of June 30, 2026. </w:t>
      </w:r>
    </w:p>
    <w:p>
      <w:pPr>
        <w:pStyle w:val="TextBody"/>
        <w:bidi w:val="0"/>
        <w:spacing w:lineRule="auto" w:line="288" w:before="180" w:after="120"/>
        <w:jc w:val="left"/>
        <w:rPr/>
      </w:pPr>
      <w:r>
        <w:rPr>
          <w:rFonts w:ascii="Times New Roman;serif" w:hAnsi="Times New Roman;serif"/>
          <w:b/>
          <w:i/>
          <w:color w:val="000000"/>
          <w:sz w:val="20"/>
        </w:rPr>
        <w:t>Cash Flows</w:t>
      </w:r>
      <w:r>
        <w:rPr>
          <w:color w:val="000000"/>
        </w:rPr>
        <w: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data for the six months ended June 30, 2026 and 2025 (in thousands):</w:t>
      </w:r>
    </w:p>
    <w:tbl>
      <w:tblPr>
        <w:tblW w:w="5423" w:type="dxa"/>
        <w:jc w:val="left"/>
        <w:tblInd w:w="0" w:type="dxa"/>
        <w:tblLayout w:type="fixed"/>
        <w:tblCellMar>
          <w:top w:w="28" w:type="dxa"/>
          <w:left w:w="28" w:type="dxa"/>
          <w:bottom w:w="28" w:type="dxa"/>
          <w:right w:w="28" w:type="dxa"/>
        </w:tblCellMar>
      </w:tblPr>
      <w:tblGrid>
        <w:gridCol w:w="1087"/>
        <w:gridCol w:w="952"/>
        <w:gridCol w:w="960"/>
        <w:gridCol w:w="196"/>
        <w:gridCol w:w="721"/>
        <w:gridCol w:w="109"/>
        <w:gridCol w:w="109"/>
        <w:gridCol w:w="109"/>
        <w:gridCol w:w="109"/>
        <w:gridCol w:w="196"/>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$18.0 million for the six months ended June 30, 2026, compared to $52.1 million for the six months ended June 30, 2025. The decline in cash flows for the six months ended June 30, 2026, compared to the prior year, is primarily attributed to the year-over-year decline in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for the six months ended June 30, 2026 was $21.3 million, consisting primarily of (i) capital expenditures of $21.7 million for internal-use software and website development costs and purchases of software and equipment; and (ii) $0.3 million paid to acquire the rights to distribute certain digital content into perpetuity. These cash outflows were partially offset by $0.5 million of Giphy Retention Compensation, as reimbursed by the Giphy seller.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in the six months ended June 30, 2025 was $26.2 million, consisting primarily of (i) capital expenditures of $22.1 million for internal-use software and website development costs and purchases of software and equipment; and (ii) $5.0 million paid to acquire the rights to distribute certain digital content in perpetuity. These cash outflows were partially offset by $0.9 million of Giphy Retention Compensation, as reimbursed by the Giphy seller.</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for the six months ended June 30, 2026 was $38.4 million, consisting of (i) $26.0 million related to the payment of quarterly cash dividends; (ii) $10.8 million paid in the settlement of tax withholding obligations related to employee stock-based compensation awards; and (ii) $1.6 million used for the repayment of our A&amp;R Credit Agreement.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in the six months ended June 30, 2025 was $29.7 million, consisting of (i) $23.1 million related to the payment of quarterly cash dividends; (ii) $5.0 million paid in the settlement of tax withholding obligations related to employee stock-based compensation awards; and (iii) $1.6 million used for the repayment of our A&amp;R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 (decline)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tbl>
      <w:tblPr>
        <w:tblW w:w="9678" w:type="dxa"/>
        <w:jc w:val="left"/>
        <w:tblInd w:w="0" w:type="dxa"/>
        <w:tblLayout w:type="fixed"/>
        <w:tblCellMar>
          <w:top w:w="28" w:type="dxa"/>
          <w:left w:w="28" w:type="dxa"/>
          <w:bottom w:w="28" w:type="dxa"/>
          <w:right w:w="28" w:type="dxa"/>
        </w:tblCellMar>
      </w:tblPr>
      <w:tblGrid>
        <w:gridCol w:w="1476"/>
        <w:gridCol w:w="1298"/>
        <w:gridCol w:w="1306"/>
        <w:gridCol w:w="196"/>
        <w:gridCol w:w="64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301"/>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Financial Measures (in thousands):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(decline) / growth on a constant currency basis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20"/>
        <w:ind w:left="0" w:right="0" w:hanging="18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investments.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adjusted net income, adjusted net income per diluted common share, adjusted EBITDA, adjusted EBITDA margin, revenue growth / (decline)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 (decline)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method for calculating adjusted net income, adjusted net income per diluted common share, adjusted EBITDA, adjusted EBITDA margin, revenue growth / (decline) (including by product offering) on a constant currency basis (expressed as a percentage) and adjusted free cash flow, as well as a reconciliation of the differences between each of our non-GAAP financial measures (adjusted EBITDA, adjusted net income, revenue growth / (decline) (including by product offering) on a constant currency basis (expressed as a percentage) and adjusted free cash flow), and each measure’s most directly comparable financial measure calculated and presented in accordance with GAAP, is presented below.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Adjusted Net Income and Adjusted Net Income Per Diluted Common Share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net income as net income adjusted for the impact of non-cash equity-based compensation, the amortization of acquisition-related intangible assets, legal contingencies, goodwill impairment and related tax effects, workforce optimization, Giphy Retention Compensation Expense - non-recurring, unrealized gains and losses on investments, severance costs associated with strategic workforce optimizations, costs incurred associated with the Merger, and the estimated tax impact of such adjustments. We define adjusted net income per diluted common share as adjusted net income divided by weighted average diluted shares.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to adjusted net income for each of the periods indicated (in thousands, except per share data):</w:t>
      </w:r>
    </w:p>
    <w:tbl>
      <w:tblPr>
        <w:tblW w:w="10205" w:type="dxa"/>
        <w:jc w:val="left"/>
        <w:tblInd w:w="0" w:type="dxa"/>
        <w:tblLayout w:type="fixed"/>
        <w:tblCellMar>
          <w:top w:w="28" w:type="dxa"/>
          <w:left w:w="28" w:type="dxa"/>
          <w:bottom w:w="28" w:type="dxa"/>
          <w:right w:w="28" w:type="dxa"/>
        </w:tblCellMar>
      </w:tblPr>
      <w:tblGrid>
        <w:gridCol w:w="1828"/>
        <w:gridCol w:w="1600"/>
        <w:gridCol w:w="1616"/>
        <w:gridCol w:w="196"/>
        <w:gridCol w:w="810"/>
        <w:gridCol w:w="109"/>
        <w:gridCol w:w="109"/>
        <w:gridCol w:w="109"/>
        <w:gridCol w:w="109"/>
        <w:gridCol w:w="196"/>
        <w:gridCol w:w="646"/>
        <w:gridCol w:w="109"/>
        <w:gridCol w:w="109"/>
        <w:gridCol w:w="109"/>
        <w:gridCol w:w="109"/>
        <w:gridCol w:w="196"/>
        <w:gridCol w:w="810"/>
        <w:gridCol w:w="109"/>
        <w:gridCol w:w="109"/>
        <w:gridCol w:w="109"/>
        <w:gridCol w:w="109"/>
        <w:gridCol w:w="196"/>
        <w:gridCol w:w="646"/>
        <w:gridCol w:w="157"/>
      </w:tblGrid>
      <w:tr>
        <w:trPr/>
        <w:tc>
          <w:tcPr>
            <w:tcW w:w="182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46" w:type="dxa"/>
            <w:gridSpan w:val="18"/>
            <w:tcBorders/>
          </w:tcPr>
          <w:p>
            <w:pPr>
              <w:pStyle w:val="TableContents"/>
              <w:bidi w:val="0"/>
              <w:spacing w:before="0" w:after="283"/>
              <w:jc w:val="left"/>
              <w:rPr>
                <w:sz w:val="4"/>
                <w:szCs w:val="4"/>
              </w:rPr>
            </w:pPr>
            <w:r>
              <w:rPr>
                <w:sz w:val="4"/>
                <w:szCs w:val="4"/>
              </w:rPr>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8"/>
              </w:rPr>
            </w:pPr>
            <w:r>
              <w:rPr>
                <w:rFonts w:ascii="Times New Roman;serif" w:hAnsi="Times New Roman;serif"/>
                <w:b w:val="false"/>
                <w:color w:val="242424"/>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8"/>
              </w:rPr>
            </w:pPr>
            <w:r>
              <w:rPr>
                <w:rFonts w:ascii="Times New Roman;serif" w:hAnsi="Times New Roman;serif"/>
                <w:b w:val="false"/>
                <w:color w:val="242424"/>
                <w:sz w:val="18"/>
              </w:rPr>
              <w:t>48,128 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 (less) Non-GAAP adjustments: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equity-based compensation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non-cash equity-based compensation</w:t>
            </w:r>
            <w:r>
              <w:rPr>
                <w:rFonts w:ascii="Times New Roman;serif" w:hAnsi="Times New Roman;serif"/>
                <w:b w:val="false"/>
                <w:color w:val="000000"/>
                <w:sz w:val="12"/>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Acquisition-related amortization expense</w:t>
            </w:r>
            <w:r>
              <w:rPr>
                <w:rFonts w:ascii="Times New Roman;serif" w:hAnsi="Times New Roman;serif"/>
                <w:b w:val="false"/>
                <w:color w:val="000000"/>
                <w:sz w:val="12"/>
              </w:rPr>
              <w:t>(2)</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acquisition-related amortization expense</w:t>
            </w:r>
            <w:r>
              <w:rPr>
                <w:rFonts w:ascii="Times New Roman;serif" w:hAnsi="Times New Roman;serif"/>
                <w:b w:val="false"/>
                <w:color w:val="000000"/>
                <w:sz w:val="12"/>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 (gain) on investment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04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goodwill impairment</w:t>
            </w:r>
            <w:r>
              <w:rPr>
                <w:rFonts w:ascii="Times New Roman;serif" w:hAnsi="Times New Roman;serif"/>
                <w:b w:val="false"/>
                <w:color w:val="000000"/>
                <w:sz w:val="12"/>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Workforce optimization - severance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workforce optimization - severance</w:t>
            </w:r>
            <w:r>
              <w:rPr>
                <w:rFonts w:ascii="Times New Roman;serif" w:hAnsi="Times New Roman;serif"/>
                <w:b w:val="false"/>
                <w:color w:val="000000"/>
                <w:sz w:val="12"/>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Giphy retention compensation expense - non-recurring</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Giphy retention compensation expense - non-recurring</w:t>
            </w:r>
            <w:r>
              <w:rPr>
                <w:rFonts w:ascii="Times New Roman;serif" w:hAnsi="Times New Roman;serif"/>
                <w:b w:val="false"/>
                <w:color w:val="000000"/>
                <w:sz w:val="12"/>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Merger related costs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Merger related costs</w:t>
            </w:r>
            <w:r>
              <w:rPr>
                <w:rFonts w:ascii="Times New Roman;serif" w:hAnsi="Times New Roman;serif"/>
                <w:b w:val="false"/>
                <w:color w:val="000000"/>
                <w:sz w:val="12"/>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contingency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effect of legal contingency </w:t>
            </w:r>
            <w:r>
              <w:rPr>
                <w:rFonts w:ascii="Times New Roman;serif" w:hAnsi="Times New Roman;serif"/>
                <w:b w:val="false"/>
                <w:color w:val="000000"/>
                <w:sz w:val="12"/>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 per diluted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diluted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35,642 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(1)Statutory tax rates are used to calculate the tax effect of the adjustments.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(2)Of these amounts, $8.9 million and $8.9 million are included in cost of revenue for the three months ended June 30, 2026 and 2025, respectively. The remainder of acquisition-related amortization expense is included in general and administrative expense in the Statement of Operations.</w:t>
      </w:r>
    </w:p>
    <w:p>
      <w:pPr>
        <w:pStyle w:val="TextBody"/>
        <w:bidi w:val="0"/>
        <w:spacing w:before="0" w:after="0"/>
        <w:jc w:val="left"/>
        <w:rPr/>
      </w:pPr>
      <w:r>
        <w:rPr/>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Adjusted EBITDA and Adjusted EBITDA Margin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adjusted for depreciation and amortization, non-cash equity-based compensation, Giphy Retention Compensation Expense - non-recurring, costs incurred associated with the Merger, foreign currency transaction gains and losses, severance costs associated with strategic workforce optimizations, legal contingencies, goodwill impairment, unrealized gains and losses on investments, interest income and expense and income taxes. We define adjusted EBITDA margin as the ratio of adjusted EBITDA to revenue.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to adjusted EBITDA for each of the periods indicated (in thousands):</w:t>
      </w:r>
    </w:p>
    <w:tbl>
      <w:tblPr>
        <w:tblW w:w="9918" w:type="dxa"/>
        <w:jc w:val="left"/>
        <w:tblInd w:w="0" w:type="dxa"/>
        <w:tblLayout w:type="fixed"/>
        <w:tblCellMar>
          <w:top w:w="28" w:type="dxa"/>
          <w:left w:w="28" w:type="dxa"/>
          <w:bottom w:w="28" w:type="dxa"/>
          <w:right w:w="28" w:type="dxa"/>
        </w:tblCellMar>
      </w:tblPr>
      <w:tblGrid>
        <w:gridCol w:w="1442"/>
        <w:gridCol w:w="1268"/>
        <w:gridCol w:w="1280"/>
        <w:gridCol w:w="196"/>
        <w:gridCol w:w="811"/>
        <w:gridCol w:w="256"/>
        <w:gridCol w:w="109"/>
        <w:gridCol w:w="109"/>
        <w:gridCol w:w="109"/>
        <w:gridCol w:w="196"/>
        <w:gridCol w:w="736"/>
        <w:gridCol w:w="256"/>
        <w:gridCol w:w="109"/>
        <w:gridCol w:w="109"/>
        <w:gridCol w:w="109"/>
        <w:gridCol w:w="196"/>
        <w:gridCol w:w="811"/>
        <w:gridCol w:w="256"/>
        <w:gridCol w:w="109"/>
        <w:gridCol w:w="109"/>
        <w:gridCol w:w="109"/>
        <w:gridCol w:w="196"/>
        <w:gridCol w:w="736"/>
        <w:gridCol w:w="301"/>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665" w:type="dxa"/>
            <w:gridSpan w:val="18"/>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 (less) Non-GAAP adjustments:</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 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(135,161)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68,889 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(158,873)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Giphy retention compensation expense - non-recurring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related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loss /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8"/>
              </w:rPr>
            </w:pPr>
            <w:r>
              <w:rPr>
                <w:rFonts w:ascii="Times New Roman;serif" w:hAnsi="Times New Roman;serif"/>
                <w:b w:val="false"/>
                <w:color w:val="242424"/>
                <w:sz w:val="18"/>
              </w:rPr>
              <w:t>Unrealized loss / (gain) on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8"/>
              </w:rPr>
            </w:pPr>
            <w:r>
              <w:rPr>
                <w:rFonts w:ascii="Times New Roman;serif" w:hAnsi="Times New Roman;serif"/>
                <w:b w:val="false"/>
                <w:color w:val="242424"/>
                <w:sz w:val="18"/>
              </w:rPr>
              <w:t>(13,029)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8"/>
              </w:rPr>
            </w:pPr>
            <w:r>
              <w:rPr>
                <w:rFonts w:ascii="Times New Roman;serif" w:hAnsi="Times New Roman;serif"/>
                <w:b w:val="false"/>
                <w:color w:val="242424"/>
                <w:sz w:val="18"/>
              </w:rPr>
              <w:t>(26,289)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8"/>
              </w:rPr>
            </w:pPr>
            <w:r>
              <w:rPr>
                <w:rFonts w:ascii="Times New Roman;serif" w:hAnsi="Times New Roman;serif"/>
                <w:b w:val="false"/>
                <w:color w:val="242424"/>
                <w:sz w:val="18"/>
              </w:rPr>
              <w:t>Legal contingency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8"/>
              </w:rPr>
            </w:pPr>
            <w:r>
              <w:rPr>
                <w:rFonts w:ascii="Times New Roman;serif" w:hAnsi="Times New Roman;serif"/>
                <w:b w:val="false"/>
                <w:color w:val="242424"/>
                <w:sz w:val="18"/>
              </w:rPr>
              <w:t>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Workforce optimization - severance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8"/>
              </w:rPr>
            </w:pPr>
            <w:r>
              <w:rPr>
                <w:rFonts w:ascii="Times New Roman;serif" w:hAnsi="Times New Roman;serif"/>
                <w:b w:val="false"/>
                <w:color w:val="242424"/>
                <w:sz w:val="18"/>
              </w:rPr>
              <w:t>Goodwill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65,097 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 income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Growth / (Decline) (including by product offering) on a Constant Currency Basis </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tbl>
      <w:tblPr>
        <w:tblW w:w="10205" w:type="dxa"/>
        <w:jc w:val="left"/>
        <w:tblInd w:w="0" w:type="dxa"/>
        <w:tblLayout w:type="fixed"/>
        <w:tblCellMar>
          <w:top w:w="28" w:type="dxa"/>
          <w:left w:w="28" w:type="dxa"/>
          <w:bottom w:w="28" w:type="dxa"/>
          <w:right w:w="28" w:type="dxa"/>
        </w:tblCellMar>
      </w:tblPr>
      <w:tblGrid>
        <w:gridCol w:w="1599"/>
        <w:gridCol w:w="1410"/>
        <w:gridCol w:w="1417"/>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2"/>
      </w:tblGrid>
      <w:tr>
        <w:trPr/>
        <w:tc>
          <w:tcPr>
            <w:tcW w:w="159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591" w:type="dxa"/>
            <w:gridSpan w:val="18"/>
            <w:tcBorders/>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revenue (in thousands)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Revenue (decline) /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Revenue (decline) / growth on a constant currency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reported revenue (in thousands)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402,684 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Content revenue (decline) /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Content revenue (decline) / growth on a constant currency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Distribution, and Services reported revenue (in thousands)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106,926 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Data, Distribution, and Services revenue (decline) /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Data, Distribution, and Services revenue (decline) / growth on a constant currency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0" w:after="120"/>
        <w:ind w:left="0" w:right="0" w:firstLine="450"/>
        <w:jc w:val="left"/>
        <w:rPr/>
      </w:pPr>
      <w:r>
        <w:rPr/>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Adjusted Free Cash Flow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free cash flow as our net cash provided by operating activities, adjusted for capital expenditures, content acquisition, cash received related to Giphy Retention Compensation in connection with the acquisition of Giphy, and cash paid for Merger related costs.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cash provided by operating activities to adjusted free cash flow for each of the periods indicated (in thousands):</w:t>
      </w:r>
    </w:p>
    <w:tbl>
      <w:tblPr>
        <w:tblW w:w="9209" w:type="dxa"/>
        <w:jc w:val="left"/>
        <w:tblInd w:w="0" w:type="dxa"/>
        <w:tblLayout w:type="fixed"/>
        <w:tblCellMar>
          <w:top w:w="28" w:type="dxa"/>
          <w:left w:w="28" w:type="dxa"/>
          <w:bottom w:w="28" w:type="dxa"/>
          <w:right w:w="28" w:type="dxa"/>
        </w:tblCellMar>
      </w:tblPr>
      <w:tblGrid>
        <w:gridCol w:w="1475"/>
        <w:gridCol w:w="1297"/>
        <w:gridCol w:w="1307"/>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information:</w:t>
            </w:r>
          </w:p>
        </w:tc>
        <w:tc>
          <w:tcPr>
            <w:tcW w:w="513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acquisitions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received related to Giphy Retention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contingency settlement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related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including risks related to foreign currency exchange rate fluctuation, interest rate fluctuation and inflation.</w:t>
      </w:r>
    </w:p>
    <w:p>
      <w:pPr>
        <w:pStyle w:val="TextBody"/>
        <w:bidi w:val="0"/>
        <w:spacing w:lineRule="auto" w:line="288" w:before="180" w:after="120"/>
        <w:jc w:val="left"/>
        <w:rPr/>
      </w:pPr>
      <w:r>
        <w:rPr>
          <w:rFonts w:ascii="Times New Roman;serif" w:hAnsi="Times New Roman;serif"/>
          <w:b/>
          <w:i/>
          <w:color w:val="000000"/>
          <w:sz w:val="20"/>
        </w:rPr>
        <w:t>Foreign Currency Exchange Risk</w:t>
      </w:r>
      <w:r>
        <w:rPr>
          <w:color w:val="000000"/>
        </w:rPr>
        <w: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29% and 26% for the six months ended June 30, 2026 and 2025,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six months ended June 30, 2026, we estimate that a 10% change in the exchange rate of the U.S. dollar against all foreign currency denominated revenues would result in an approximately 3% impact on our revenue.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historical revenue by currency is as follows (in thousands):</w:t>
      </w:r>
    </w:p>
    <w:tbl>
      <w:tblPr>
        <w:tblW w:w="11635" w:type="dxa"/>
        <w:jc w:val="left"/>
        <w:tblInd w:w="0" w:type="dxa"/>
        <w:tblLayout w:type="fixed"/>
        <w:tblCellMar>
          <w:top w:w="28" w:type="dxa"/>
          <w:left w:w="28" w:type="dxa"/>
          <w:bottom w:w="28" w:type="dxa"/>
          <w:right w:w="28" w:type="dxa"/>
        </w:tblCellMar>
      </w:tblPr>
      <w:tblGrid>
        <w:gridCol w:w="420"/>
        <w:gridCol w:w="257"/>
        <w:gridCol w:w="209"/>
        <w:gridCol w:w="109"/>
        <w:gridCol w:w="109"/>
        <w:gridCol w:w="109"/>
        <w:gridCol w:w="196"/>
        <w:gridCol w:w="736"/>
        <w:gridCol w:w="109"/>
        <w:gridCol w:w="109"/>
        <w:gridCol w:w="109"/>
        <w:gridCol w:w="109"/>
        <w:gridCol w:w="226"/>
        <w:gridCol w:w="646"/>
        <w:gridCol w:w="109"/>
        <w:gridCol w:w="109"/>
        <w:gridCol w:w="109"/>
        <w:gridCol w:w="109"/>
        <w:gridCol w:w="196"/>
        <w:gridCol w:w="736"/>
        <w:gridCol w:w="109"/>
        <w:gridCol w:w="109"/>
        <w:gridCol w:w="109"/>
        <w:gridCol w:w="109"/>
        <w:gridCol w:w="226"/>
        <w:gridCol w:w="646"/>
        <w:gridCol w:w="109"/>
        <w:gridCol w:w="109"/>
        <w:gridCol w:w="109"/>
        <w:gridCol w:w="109"/>
        <w:gridCol w:w="196"/>
        <w:gridCol w:w="736"/>
        <w:gridCol w:w="109"/>
        <w:gridCol w:w="109"/>
        <w:gridCol w:w="109"/>
        <w:gridCol w:w="109"/>
        <w:gridCol w:w="226"/>
        <w:gridCol w:w="646"/>
        <w:gridCol w:w="109"/>
        <w:gridCol w:w="109"/>
        <w:gridCol w:w="109"/>
        <w:gridCol w:w="109"/>
        <w:gridCol w:w="196"/>
        <w:gridCol w:w="736"/>
        <w:gridCol w:w="109"/>
        <w:gridCol w:w="109"/>
        <w:gridCol w:w="109"/>
        <w:gridCol w:w="109"/>
        <w:gridCol w:w="226"/>
        <w:gridCol w:w="646"/>
        <w:gridCol w:w="154"/>
      </w:tblGrid>
      <w:tr>
        <w:trPr/>
        <w:tc>
          <w:tcPr>
            <w:tcW w:w="42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Originating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Originating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Originating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Originating Currency</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70,569 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British pounds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All other non-U.S. currencies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no single currency which exceeded 5% of total revenue for any of the periods presented.</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A hypothetical 10% change in interest rates would not have a material impact on our interest expense as of June 30, 2026.</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Interim Chief Executive Officer and Chief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evaluation of our disclosure controls and procedures as of June 30, 2026, our Interim Chief Executive Officer and Chief Financial Officer concluded that, as of such date, our disclosure controls and procedures were effective at the reasonable assurance level. </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Item 1 of Part I, “Financial Statements — Note 15 — Commitments and Contingencies — Legal Matters.”</w:t>
      </w:r>
    </w:p>
    <w:p>
      <w:pPr>
        <w:pStyle w:val="TextBody"/>
        <w:bidi w:val="0"/>
        <w:spacing w:before="16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2025 Form 10-K, which could materially affect our business, financial condition or future results. During the three months ended June 30, 2026, there were no material changes to these risk factors as described in our 2025 Form 10-K.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 Insider Trading Arrangements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See the Exhibit Index, which immediately precedes the signature page of this Quarterly Report on Form 10-Q,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75"/>
        <w:gridCol w:w="241"/>
        <w:gridCol w:w="244"/>
        <w:gridCol w:w="109"/>
        <w:gridCol w:w="109"/>
        <w:gridCol w:w="109"/>
        <w:gridCol w:w="2665"/>
        <w:gridCol w:w="2665"/>
        <w:gridCol w:w="3788"/>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_2026xq2exhibit311.htm">
              <w:r>
                <w:rPr>
                  <w:rStyle w:val="InternetLink"/>
                  <w:rFonts w:ascii="Times New Roman;serif" w:hAnsi="Times New Roman;serif"/>
                  <w:b w:val="false"/>
                  <w:color w:val="0000FF"/>
                  <w:sz w:val="18"/>
                  <w:u w:val="single"/>
                </w:rPr>
                <w:t>Certification of the Interim Chief Executive Officer and Chief Financial Officer of Shutterstock Inc., pursuant to Section 302 of the Sarbanes-Oxley Act of 2002</w:t>
              </w:r>
            </w:hyperlink>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8"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_2026xq2exhibit32.htm">
              <w:r>
                <w:rPr>
                  <w:rStyle w:val="InternetLink"/>
                  <w:rFonts w:ascii="Times New Roman;serif" w:hAnsi="Times New Roman;serif"/>
                  <w:b w:val="false"/>
                  <w:color w:val="0000FF"/>
                  <w:sz w:val="18"/>
                  <w:u w:val="single"/>
                </w:rPr>
                <w:t>Certification of the Interim Chief Executive Officer and Chief Financial Officer pursuant to 18 U.S.C. Section 1350, as adopted pursuant to Section 906 of the Sarbanes-Oxley Act of 2002</w:t>
              </w:r>
            </w:hyperlink>
            <w:r>
              <w:rPr>
                <w:color w:val="000000"/>
              </w:rPr>
              <w:t xml:space="preserve"> </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XBRL Instance Document - the instance document does not appear in the Interactive Data File because its XBRL tags are embedded within the Inline XBRL document. </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ind w:left="0" w:right="0" w:firstLine="450"/>
        <w:jc w:val="left"/>
        <w:rPr/>
      </w:pPr>
      <w:hyperlink w:anchor="iede19a4089ef4d738c3845da0f874ed3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2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69" w:type="dxa"/>
        <w:jc w:val="left"/>
        <w:tblInd w:w="0" w:type="dxa"/>
        <w:tblLayout w:type="fixed"/>
        <w:tblCellMar>
          <w:top w:w="28" w:type="dxa"/>
          <w:left w:w="28" w:type="dxa"/>
          <w:bottom w:w="28" w:type="dxa"/>
          <w:right w:w="28" w:type="dxa"/>
        </w:tblCellMar>
      </w:tblPr>
      <w:tblGrid>
        <w:gridCol w:w="629"/>
        <w:gridCol w:w="552"/>
        <w:gridCol w:w="558"/>
        <w:gridCol w:w="332"/>
        <w:gridCol w:w="332"/>
        <w:gridCol w:w="332"/>
        <w:gridCol w:w="1268"/>
        <w:gridCol w:w="1268"/>
        <w:gridCol w:w="1798"/>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SHUTTERSTOCK, INC.</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 August 7, 2026</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Rik Powell</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Rik Powell</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Interim Chief Executive Officer and Chief Financial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 August 7, 2026</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Steven Ciardiello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Ciardiello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Accounting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Accounting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 AS ADOPTED PURSUANT TO SECTION 302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 xml:space="preserve">I, </w:t>
      </w:r>
      <w:r>
        <w:rPr>
          <w:rFonts w:ascii="Times New Roman;serif" w:hAnsi="Times New Roman;serif"/>
          <w:b w:val="false"/>
          <w:color w:val="000000"/>
          <w:sz w:val="20"/>
        </w:rPr>
        <w:t>Rik Powell</w:t>
      </w:r>
      <w:r>
        <w:rPr>
          <w:rFonts w:ascii="Times New Roman;serif" w:hAnsi="Times New Roman;serif"/>
          <w:b w:val="false"/>
          <w:color w:val="000000"/>
          <w:sz w:val="18"/>
        </w:rPr>
        <w:t>,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Shutterstock,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6463" w:type="dxa"/>
        <w:jc w:val="center"/>
        <w:tblInd w:w="0" w:type="dxa"/>
        <w:tblLayout w:type="fixed"/>
        <w:tblCellMar>
          <w:top w:w="28" w:type="dxa"/>
          <w:left w:w="28" w:type="dxa"/>
          <w:bottom w:w="28" w:type="dxa"/>
          <w:right w:w="28" w:type="dxa"/>
        </w:tblCellMar>
      </w:tblPr>
      <w:tblGrid>
        <w:gridCol w:w="595"/>
        <w:gridCol w:w="525"/>
        <w:gridCol w:w="529"/>
        <w:gridCol w:w="120"/>
        <w:gridCol w:w="120"/>
        <w:gridCol w:w="120"/>
        <w:gridCol w:w="1303"/>
        <w:gridCol w:w="1303"/>
        <w:gridCol w:w="1848"/>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Rik Powell</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Rik Powell</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Interim Chief Executive Officer and Chief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 and 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 xml:space="preserve">In connection with the Quarterly Report on Form 10-Q of Shutterstock, Inc., for the quarterly period ended June 30, 2026 as filed with the Securities and Exchange Commission on the date hereof (the “Report”), I, Rik Powell, as </w:t>
      </w:r>
      <w:r>
        <w:rPr>
          <w:rFonts w:ascii="Times New Roman;serif" w:hAnsi="Times New Roman;serif"/>
          <w:b w:val="false"/>
          <w:color w:val="000000"/>
          <w:sz w:val="20"/>
        </w:rPr>
        <w:t xml:space="preserve">Interim Chief Executive Officer and </w:t>
      </w:r>
      <w:r>
        <w:rPr>
          <w:rFonts w:ascii="Times New Roman;serif" w:hAnsi="Times New Roman;serif"/>
          <w:b w:val="false"/>
          <w:color w:val="000000"/>
          <w:sz w:val="18"/>
        </w:rPr>
        <w:t>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pStyle w:val="TextBody"/>
        <w:bidi w:val="0"/>
        <w:spacing w:lineRule="auto" w:line="288" w:before="0" w:after="0"/>
        <w:jc w:val="center"/>
        <w:rPr>
          <w:color w:val="000000"/>
        </w:rPr>
      </w:pPr>
      <w:r>
        <w:rPr>
          <w:color w:val="000000"/>
        </w:rPr>
        <w:t> </w:t>
      </w:r>
    </w:p>
    <w:tbl>
      <w:tblPr>
        <w:tblW w:w="6463" w:type="dxa"/>
        <w:jc w:val="center"/>
        <w:tblInd w:w="0" w:type="dxa"/>
        <w:tblLayout w:type="fixed"/>
        <w:tblCellMar>
          <w:top w:w="28" w:type="dxa"/>
          <w:left w:w="28" w:type="dxa"/>
          <w:bottom w:w="28" w:type="dxa"/>
          <w:right w:w="28" w:type="dxa"/>
        </w:tblCellMar>
      </w:tblPr>
      <w:tblGrid>
        <w:gridCol w:w="595"/>
        <w:gridCol w:w="525"/>
        <w:gridCol w:w="529"/>
        <w:gridCol w:w="120"/>
        <w:gridCol w:w="120"/>
        <w:gridCol w:w="120"/>
        <w:gridCol w:w="1303"/>
        <w:gridCol w:w="1303"/>
        <w:gridCol w:w="1848"/>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Rik Powell</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Rik Powell</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Interim Chief Executive Officer and Chief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 and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21835</Words>
  <Characters>122911</Characters>
  <CharactersWithSpaces>144250</CharactersWithSpaces>
  <Paragraphs>2876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